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B" w:rsidRDefault="00AE664B" w:rsidP="00AE664B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AE664B" w:rsidRDefault="00AE664B" w:rsidP="00AE664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AE664B" w:rsidRDefault="00AE664B" w:rsidP="00AE664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Антиингибиторный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коагулянтный</w:t>
      </w:r>
      <w:proofErr w:type="spellEnd"/>
      <w:r>
        <w:rPr>
          <w:b/>
          <w:bCs/>
          <w:sz w:val="27"/>
          <w:szCs w:val="27"/>
        </w:rPr>
        <w:t xml:space="preserve"> комплекс»</w:t>
      </w:r>
    </w:p>
    <w:p w:rsidR="00AE664B" w:rsidRDefault="00AE664B" w:rsidP="00AE664B">
      <w:pPr>
        <w:pStyle w:val="a3"/>
        <w:spacing w:before="0" w:beforeAutospacing="0" w:after="0"/>
        <w:jc w:val="center"/>
      </w:pP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  <w:proofErr w:type="gramStart"/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Антиингибиторный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коагулянтный</w:t>
      </w:r>
      <w:proofErr w:type="spellEnd"/>
      <w:r>
        <w:rPr>
          <w:sz w:val="27"/>
          <w:szCs w:val="27"/>
        </w:rPr>
        <w:t xml:space="preserve"> комплекс»,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  <w:proofErr w:type="gramEnd"/>
    </w:p>
    <w:p w:rsidR="00AE664B" w:rsidRDefault="00AE664B" w:rsidP="00AE664B">
      <w:pPr>
        <w:pStyle w:val="a3"/>
        <w:spacing w:before="0" w:beforeAutospacing="0" w:after="0"/>
        <w:jc w:val="both"/>
      </w:pP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Антиингибиторный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коагулянтный</w:t>
      </w:r>
      <w:proofErr w:type="spellEnd"/>
      <w:r>
        <w:rPr>
          <w:sz w:val="27"/>
          <w:szCs w:val="27"/>
        </w:rPr>
        <w:t xml:space="preserve"> комплекс».</w:t>
      </w: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</w:p>
    <w:p w:rsidR="00AE664B" w:rsidRDefault="00AE664B" w:rsidP="00AE664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AE664B" w:rsidRDefault="00AE664B" w:rsidP="00AE664B">
      <w:pPr>
        <w:pStyle w:val="a3"/>
        <w:spacing w:before="0" w:beforeAutospacing="0" w:after="0"/>
        <w:jc w:val="both"/>
      </w:pPr>
    </w:p>
    <w:p w:rsidR="00AE664B" w:rsidRDefault="00AE664B" w:rsidP="00AE664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</w:t>
      </w:r>
      <w:proofErr w:type="spellStart"/>
      <w:r>
        <w:rPr>
          <w:sz w:val="27"/>
          <w:szCs w:val="27"/>
        </w:rPr>
        <w:t>Эс</w:t>
      </w:r>
      <w:proofErr w:type="spellEnd"/>
      <w:r>
        <w:rPr>
          <w:sz w:val="27"/>
          <w:szCs w:val="27"/>
        </w:rPr>
        <w:t xml:space="preserve"> Джи </w:t>
      </w:r>
      <w:proofErr w:type="spellStart"/>
      <w:r>
        <w:rPr>
          <w:sz w:val="27"/>
          <w:szCs w:val="27"/>
        </w:rPr>
        <w:t>Биотех</w:t>
      </w:r>
      <w:proofErr w:type="spellEnd"/>
      <w:r>
        <w:rPr>
          <w:sz w:val="27"/>
          <w:szCs w:val="27"/>
        </w:rPr>
        <w:t>» и компания «</w:t>
      </w:r>
      <w:proofErr w:type="spellStart"/>
      <w:r>
        <w:rPr>
          <w:sz w:val="27"/>
          <w:szCs w:val="27"/>
        </w:rPr>
        <w:t>Бакстер</w:t>
      </w:r>
      <w:proofErr w:type="spellEnd"/>
      <w:r>
        <w:rPr>
          <w:sz w:val="27"/>
          <w:szCs w:val="27"/>
        </w:rPr>
        <w:t xml:space="preserve"> АГ», входящие в одну группу лиц, занимают долю более 50 %.</w:t>
      </w:r>
    </w:p>
    <w:p w:rsidR="00AE664B" w:rsidRDefault="00AE664B" w:rsidP="00AE664B">
      <w:pPr>
        <w:pStyle w:val="a3"/>
        <w:spacing w:before="0" w:beforeAutospacing="0" w:after="0"/>
        <w:ind w:firstLine="709"/>
        <w:jc w:val="both"/>
      </w:pPr>
    </w:p>
    <w:p w:rsidR="00AE664B" w:rsidRDefault="00AE664B" w:rsidP="00AE664B">
      <w:pPr>
        <w:pStyle w:val="a3"/>
        <w:spacing w:before="0" w:beforeAutospacing="0" w:after="0"/>
        <w:jc w:val="both"/>
      </w:pPr>
    </w:p>
    <w:p w:rsidR="003F2889" w:rsidRDefault="003F2889" w:rsidP="00AE664B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64B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B745F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E664B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6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2019-03-22T08:05:00Z</dcterms:created>
  <dcterms:modified xsi:type="dcterms:W3CDTF">2019-03-22T08:06:00Z</dcterms:modified>
</cp:coreProperties>
</file>