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2.xml" ContentType="application/vnd.openxmlformats-officedocument.themeOverride+xml"/>
  <Override PartName="/word/drawings/drawing1.xml" ContentType="application/vnd.openxmlformats-officedocument.drawingml.chartshapes+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3.xml" ContentType="application/vnd.openxmlformats-officedocument.themeOverride+xml"/>
  <Override PartName="/word/drawings/drawing2.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7E8D8" w14:textId="77777777" w:rsidR="007C6DC9" w:rsidRPr="00A718B2" w:rsidRDefault="007C6DC9" w:rsidP="007C6DC9">
      <w:pPr>
        <w:rPr>
          <w:sz w:val="28"/>
          <w:szCs w:val="28"/>
        </w:rPr>
      </w:pPr>
    </w:p>
    <w:p w14:paraId="742C90B7" w14:textId="77777777" w:rsidR="007C6DC9" w:rsidRPr="00A718B2" w:rsidRDefault="007C6DC9" w:rsidP="007C6DC9">
      <w:pPr>
        <w:jc w:val="center"/>
        <w:rPr>
          <w:rFonts w:ascii="Times New Roman" w:hAnsi="Times New Roman"/>
          <w:b/>
          <w:sz w:val="36"/>
          <w:szCs w:val="36"/>
        </w:rPr>
      </w:pPr>
      <w:r w:rsidRPr="00A718B2">
        <w:rPr>
          <w:rFonts w:ascii="Times New Roman" w:hAnsi="Times New Roman"/>
          <w:b/>
          <w:sz w:val="36"/>
          <w:szCs w:val="36"/>
        </w:rPr>
        <w:t>ФЕДЕРАЛЬНАЯ АНТИМОНОПОЛЬНАЯ СЛУЖБА</w:t>
      </w:r>
    </w:p>
    <w:p w14:paraId="6CB8AC0C" w14:textId="77777777" w:rsidR="007C6DC9" w:rsidRPr="00A718B2" w:rsidRDefault="007C6DC9" w:rsidP="007C6DC9">
      <w:pPr>
        <w:rPr>
          <w:sz w:val="28"/>
          <w:szCs w:val="28"/>
        </w:rPr>
      </w:pPr>
    </w:p>
    <w:p w14:paraId="03AD3409" w14:textId="77777777" w:rsidR="007C6DC9" w:rsidRPr="00A718B2" w:rsidRDefault="007C6DC9" w:rsidP="007C6DC9">
      <w:pPr>
        <w:rPr>
          <w:sz w:val="28"/>
          <w:szCs w:val="28"/>
        </w:rPr>
      </w:pPr>
    </w:p>
    <w:p w14:paraId="26B1F17F" w14:textId="77777777" w:rsidR="007C6DC9" w:rsidRPr="00A718B2" w:rsidRDefault="007C6DC9" w:rsidP="007C6DC9">
      <w:pPr>
        <w:jc w:val="center"/>
        <w:rPr>
          <w:sz w:val="28"/>
          <w:szCs w:val="28"/>
        </w:rPr>
      </w:pPr>
      <w:r w:rsidRPr="00A718B2">
        <w:rPr>
          <w:noProof/>
          <w:sz w:val="28"/>
          <w:szCs w:val="28"/>
          <w:lang w:eastAsia="ru-RU"/>
        </w:rPr>
        <w:drawing>
          <wp:inline distT="0" distB="0" distL="0" distR="0" wp14:anchorId="1E0B07E8" wp14:editId="283B1411">
            <wp:extent cx="2228850" cy="2314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314575"/>
                    </a:xfrm>
                    <a:prstGeom prst="rect">
                      <a:avLst/>
                    </a:prstGeom>
                    <a:solidFill>
                      <a:srgbClr val="FFFFFF"/>
                    </a:solidFill>
                    <a:ln>
                      <a:noFill/>
                    </a:ln>
                  </pic:spPr>
                </pic:pic>
              </a:graphicData>
            </a:graphic>
          </wp:inline>
        </w:drawing>
      </w:r>
    </w:p>
    <w:p w14:paraId="138A5FC5" w14:textId="77777777" w:rsidR="007C6DC9" w:rsidRPr="00A718B2" w:rsidRDefault="007C6DC9" w:rsidP="007C6DC9">
      <w:pPr>
        <w:rPr>
          <w:sz w:val="28"/>
          <w:szCs w:val="28"/>
        </w:rPr>
      </w:pPr>
    </w:p>
    <w:p w14:paraId="3E88B8BF" w14:textId="77777777" w:rsidR="007C6DC9" w:rsidRPr="00AA2B03" w:rsidRDefault="007C6DC9" w:rsidP="007C6DC9">
      <w:pPr>
        <w:rPr>
          <w:sz w:val="40"/>
          <w:szCs w:val="40"/>
        </w:rPr>
      </w:pPr>
    </w:p>
    <w:p w14:paraId="1E24495C"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ДОКЛАД</w:t>
      </w:r>
    </w:p>
    <w:p w14:paraId="711F1D52"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о состоянии конкуренции</w:t>
      </w:r>
    </w:p>
    <w:p w14:paraId="51B4B6E4"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 xml:space="preserve">в Российской Федерации </w:t>
      </w:r>
    </w:p>
    <w:p w14:paraId="1CD93C72" w14:textId="77777777" w:rsidR="007C6DC9" w:rsidRPr="00A718B2" w:rsidRDefault="007C6DC9" w:rsidP="007C6DC9">
      <w:pPr>
        <w:spacing w:after="0" w:line="240" w:lineRule="auto"/>
        <w:jc w:val="center"/>
        <w:rPr>
          <w:b/>
          <w:sz w:val="72"/>
          <w:szCs w:val="72"/>
        </w:rPr>
      </w:pPr>
      <w:r w:rsidRPr="00897738">
        <w:rPr>
          <w:rFonts w:ascii="Times New Roman" w:hAnsi="Times New Roman" w:cs="Times New Roman"/>
          <w:b/>
          <w:sz w:val="72"/>
          <w:szCs w:val="72"/>
        </w:rPr>
        <w:t>за 2018 год</w:t>
      </w:r>
    </w:p>
    <w:p w14:paraId="54F09F4E" w14:textId="77777777" w:rsidR="007C6DC9" w:rsidRPr="00A718B2" w:rsidRDefault="007C6DC9" w:rsidP="007C6DC9">
      <w:pPr>
        <w:rPr>
          <w:sz w:val="28"/>
          <w:szCs w:val="28"/>
        </w:rPr>
      </w:pPr>
    </w:p>
    <w:p w14:paraId="2E1C4E86" w14:textId="77777777" w:rsidR="007C6DC9" w:rsidRPr="00A718B2" w:rsidRDefault="007C6DC9" w:rsidP="007C6DC9">
      <w:pPr>
        <w:rPr>
          <w:sz w:val="28"/>
          <w:szCs w:val="28"/>
        </w:rPr>
      </w:pPr>
    </w:p>
    <w:p w14:paraId="0EFD46B2" w14:textId="77777777" w:rsidR="007C6DC9" w:rsidRPr="00A718B2" w:rsidRDefault="007C6DC9" w:rsidP="007C6DC9">
      <w:pPr>
        <w:rPr>
          <w:sz w:val="28"/>
          <w:szCs w:val="28"/>
        </w:rPr>
      </w:pPr>
    </w:p>
    <w:p w14:paraId="258DD03D" w14:textId="77777777" w:rsidR="007C6DC9" w:rsidRPr="00A718B2" w:rsidRDefault="007C6DC9" w:rsidP="007C6DC9">
      <w:pPr>
        <w:rPr>
          <w:sz w:val="28"/>
          <w:szCs w:val="28"/>
        </w:rPr>
      </w:pPr>
    </w:p>
    <w:p w14:paraId="4C7A8921" w14:textId="77777777" w:rsidR="007C6DC9" w:rsidRPr="00A718B2" w:rsidRDefault="007C6DC9" w:rsidP="007C6DC9">
      <w:pPr>
        <w:rPr>
          <w:sz w:val="28"/>
          <w:szCs w:val="28"/>
        </w:rPr>
      </w:pPr>
    </w:p>
    <w:p w14:paraId="13EB9015" w14:textId="77777777" w:rsidR="007C6DC9" w:rsidRPr="00A718B2" w:rsidRDefault="007C6DC9" w:rsidP="007C6DC9">
      <w:pPr>
        <w:spacing w:after="0" w:line="240" w:lineRule="auto"/>
        <w:jc w:val="center"/>
        <w:rPr>
          <w:rFonts w:ascii="Times New Roman" w:hAnsi="Times New Roman"/>
          <w:b/>
          <w:sz w:val="28"/>
          <w:szCs w:val="28"/>
        </w:rPr>
      </w:pPr>
      <w:r w:rsidRPr="00A718B2">
        <w:rPr>
          <w:rFonts w:ascii="Times New Roman" w:hAnsi="Times New Roman"/>
          <w:b/>
          <w:sz w:val="28"/>
          <w:szCs w:val="28"/>
        </w:rPr>
        <w:t>МОСКВА</w:t>
      </w:r>
    </w:p>
    <w:p w14:paraId="4F0327FB" w14:textId="77777777" w:rsidR="007C6DC9" w:rsidRPr="000B4BEE" w:rsidRDefault="007C6DC9" w:rsidP="007C6DC9">
      <w:pPr>
        <w:spacing w:after="0" w:line="240" w:lineRule="auto"/>
        <w:jc w:val="center"/>
        <w:rPr>
          <w:rFonts w:ascii="Times New Roman" w:hAnsi="Times New Roman"/>
          <w:b/>
          <w:sz w:val="28"/>
          <w:szCs w:val="28"/>
        </w:rPr>
      </w:pPr>
      <w:r>
        <w:rPr>
          <w:rFonts w:ascii="Times New Roman" w:hAnsi="Times New Roman"/>
          <w:b/>
          <w:sz w:val="28"/>
          <w:szCs w:val="28"/>
        </w:rPr>
        <w:t>201</w:t>
      </w:r>
      <w:r w:rsidRPr="000B4BEE">
        <w:rPr>
          <w:rFonts w:ascii="Times New Roman" w:hAnsi="Times New Roman"/>
          <w:b/>
          <w:sz w:val="28"/>
          <w:szCs w:val="28"/>
        </w:rPr>
        <w:t>9</w:t>
      </w:r>
    </w:p>
    <w:p w14:paraId="4721A46C" w14:textId="77777777" w:rsidR="007C59FF" w:rsidRDefault="007C59FF">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imes New Roman" w:eastAsiaTheme="minorHAnsi" w:hAnsi="Times New Roman" w:cstheme="minorBidi"/>
          <w:b w:val="0"/>
          <w:color w:val="auto"/>
          <w:sz w:val="22"/>
          <w:szCs w:val="28"/>
          <w:lang w:eastAsia="en-US"/>
        </w:rPr>
        <w:id w:val="-853181566"/>
        <w:docPartObj>
          <w:docPartGallery w:val="Table of Contents"/>
          <w:docPartUnique/>
        </w:docPartObj>
      </w:sdtPr>
      <w:sdtEndPr>
        <w:rPr>
          <w:rFonts w:asciiTheme="minorHAnsi" w:hAnsiTheme="minorHAnsi"/>
          <w:bCs/>
          <w:szCs w:val="22"/>
        </w:rPr>
      </w:sdtEndPr>
      <w:sdtContent>
        <w:p w14:paraId="70AD8DB6" w14:textId="77777777" w:rsidR="00A42DBE" w:rsidRPr="00D2443B" w:rsidRDefault="00A42DBE" w:rsidP="00D2443B">
          <w:pPr>
            <w:pStyle w:val="ad"/>
            <w:ind w:left="720"/>
            <w:rPr>
              <w:rFonts w:ascii="Times New Roman" w:hAnsi="Times New Roman"/>
              <w:color w:val="auto"/>
              <w:szCs w:val="28"/>
            </w:rPr>
          </w:pPr>
          <w:r w:rsidRPr="00A42DBE">
            <w:rPr>
              <w:rFonts w:ascii="Times New Roman" w:hAnsi="Times New Roman"/>
              <w:color w:val="auto"/>
              <w:sz w:val="36"/>
              <w:szCs w:val="36"/>
            </w:rPr>
            <w:t>Оглавление</w:t>
          </w:r>
        </w:p>
        <w:p w14:paraId="5BEE49F7" w14:textId="77777777" w:rsidR="00710A0F" w:rsidRDefault="00192312">
          <w:pPr>
            <w:pStyle w:val="12"/>
            <w:rPr>
              <w:rFonts w:asciiTheme="minorHAnsi" w:eastAsiaTheme="minorEastAsia" w:hAnsiTheme="minorHAnsi"/>
              <w:b w:val="0"/>
              <w:bCs w:val="0"/>
              <w:caps w:val="0"/>
              <w:noProof/>
              <w:sz w:val="22"/>
              <w:szCs w:val="22"/>
              <w:lang w:eastAsia="ru-RU"/>
            </w:rPr>
          </w:pPr>
          <w:r>
            <w:fldChar w:fldCharType="begin"/>
          </w:r>
          <w:r>
            <w:instrText xml:space="preserve"> TOC \o "1-3" \h \z \u </w:instrText>
          </w:r>
          <w:r>
            <w:fldChar w:fldCharType="separate"/>
          </w:r>
          <w:hyperlink w:anchor="_Toc7447923" w:history="1">
            <w:r w:rsidR="00710A0F" w:rsidRPr="009470AE">
              <w:rPr>
                <w:rStyle w:val="af1"/>
                <w:noProof/>
              </w:rPr>
              <w:t>ВВЕДЕНИЕ</w:t>
            </w:r>
            <w:r w:rsidR="00710A0F">
              <w:rPr>
                <w:noProof/>
                <w:webHidden/>
              </w:rPr>
              <w:tab/>
            </w:r>
            <w:r w:rsidR="00710A0F">
              <w:rPr>
                <w:noProof/>
                <w:webHidden/>
              </w:rPr>
              <w:fldChar w:fldCharType="begin"/>
            </w:r>
            <w:r w:rsidR="00710A0F">
              <w:rPr>
                <w:noProof/>
                <w:webHidden/>
              </w:rPr>
              <w:instrText xml:space="preserve"> PAGEREF _Toc7447923 \h </w:instrText>
            </w:r>
            <w:r w:rsidR="00710A0F">
              <w:rPr>
                <w:noProof/>
                <w:webHidden/>
              </w:rPr>
            </w:r>
            <w:r w:rsidR="00710A0F">
              <w:rPr>
                <w:noProof/>
                <w:webHidden/>
              </w:rPr>
              <w:fldChar w:fldCharType="separate"/>
            </w:r>
            <w:r w:rsidR="00710A0F">
              <w:rPr>
                <w:noProof/>
                <w:webHidden/>
              </w:rPr>
              <w:t>6</w:t>
            </w:r>
            <w:r w:rsidR="00710A0F">
              <w:rPr>
                <w:noProof/>
                <w:webHidden/>
              </w:rPr>
              <w:fldChar w:fldCharType="end"/>
            </w:r>
          </w:hyperlink>
        </w:p>
        <w:p w14:paraId="5F9862B8" w14:textId="77777777" w:rsidR="00710A0F" w:rsidRDefault="000C4795">
          <w:pPr>
            <w:pStyle w:val="12"/>
            <w:tabs>
              <w:tab w:val="left" w:pos="440"/>
            </w:tabs>
            <w:rPr>
              <w:rFonts w:asciiTheme="minorHAnsi" w:eastAsiaTheme="minorEastAsia" w:hAnsiTheme="minorHAnsi"/>
              <w:b w:val="0"/>
              <w:bCs w:val="0"/>
              <w:caps w:val="0"/>
              <w:noProof/>
              <w:sz w:val="22"/>
              <w:szCs w:val="22"/>
              <w:lang w:eastAsia="ru-RU"/>
            </w:rPr>
          </w:pPr>
          <w:hyperlink w:anchor="_Toc7447924" w:history="1">
            <w:r w:rsidR="00710A0F" w:rsidRPr="009470AE">
              <w:rPr>
                <w:rStyle w:val="af1"/>
                <w:noProof/>
              </w:rPr>
              <w:t>1.</w:t>
            </w:r>
            <w:r w:rsidR="00710A0F">
              <w:rPr>
                <w:rFonts w:asciiTheme="minorHAnsi" w:eastAsiaTheme="minorEastAsia" w:hAnsiTheme="minorHAnsi"/>
                <w:b w:val="0"/>
                <w:bCs w:val="0"/>
                <w:caps w:val="0"/>
                <w:noProof/>
                <w:sz w:val="22"/>
                <w:szCs w:val="22"/>
                <w:lang w:eastAsia="ru-RU"/>
              </w:rPr>
              <w:tab/>
            </w:r>
            <w:r w:rsidR="00710A0F" w:rsidRPr="009470AE">
              <w:rPr>
                <w:rStyle w:val="af1"/>
                <w:noProof/>
              </w:rPr>
              <w:t>СОСТОЯНИЕ КОНКУРЕНЦИИ В РОССИЙСКОЙ ФЕДЕРАЦИИ</w:t>
            </w:r>
            <w:r w:rsidR="00710A0F">
              <w:rPr>
                <w:noProof/>
                <w:webHidden/>
              </w:rPr>
              <w:tab/>
            </w:r>
            <w:r w:rsidR="00710A0F">
              <w:rPr>
                <w:noProof/>
                <w:webHidden/>
              </w:rPr>
              <w:fldChar w:fldCharType="begin"/>
            </w:r>
            <w:r w:rsidR="00710A0F">
              <w:rPr>
                <w:noProof/>
                <w:webHidden/>
              </w:rPr>
              <w:instrText xml:space="preserve"> PAGEREF _Toc7447924 \h </w:instrText>
            </w:r>
            <w:r w:rsidR="00710A0F">
              <w:rPr>
                <w:noProof/>
                <w:webHidden/>
              </w:rPr>
            </w:r>
            <w:r w:rsidR="00710A0F">
              <w:rPr>
                <w:noProof/>
                <w:webHidden/>
              </w:rPr>
              <w:fldChar w:fldCharType="separate"/>
            </w:r>
            <w:r w:rsidR="00710A0F">
              <w:rPr>
                <w:noProof/>
                <w:webHidden/>
              </w:rPr>
              <w:t>8</w:t>
            </w:r>
            <w:r w:rsidR="00710A0F">
              <w:rPr>
                <w:noProof/>
                <w:webHidden/>
              </w:rPr>
              <w:fldChar w:fldCharType="end"/>
            </w:r>
          </w:hyperlink>
        </w:p>
        <w:p w14:paraId="74100C73"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25" w:history="1">
            <w:r w:rsidR="00710A0F" w:rsidRPr="009470AE">
              <w:rPr>
                <w:rStyle w:val="af1"/>
                <w:noProof/>
              </w:rPr>
              <w:t>1.1.</w:t>
            </w:r>
            <w:r w:rsidR="00710A0F">
              <w:rPr>
                <w:rFonts w:eastAsiaTheme="minorEastAsia"/>
                <w:b w:val="0"/>
                <w:bCs w:val="0"/>
                <w:noProof/>
                <w:sz w:val="22"/>
                <w:szCs w:val="22"/>
                <w:lang w:eastAsia="ru-RU"/>
              </w:rPr>
              <w:tab/>
            </w:r>
            <w:r w:rsidR="00710A0F" w:rsidRPr="009470AE">
              <w:rPr>
                <w:rStyle w:val="af1"/>
                <w:noProof/>
              </w:rPr>
              <w:t>Оценка состояния и основные тенденции развития конкуренции в Российской Федерации</w:t>
            </w:r>
            <w:r w:rsidR="00710A0F">
              <w:rPr>
                <w:noProof/>
                <w:webHidden/>
              </w:rPr>
              <w:tab/>
            </w:r>
            <w:r w:rsidR="00710A0F">
              <w:rPr>
                <w:noProof/>
                <w:webHidden/>
              </w:rPr>
              <w:fldChar w:fldCharType="begin"/>
            </w:r>
            <w:r w:rsidR="00710A0F">
              <w:rPr>
                <w:noProof/>
                <w:webHidden/>
              </w:rPr>
              <w:instrText xml:space="preserve"> PAGEREF _Toc7447925 \h </w:instrText>
            </w:r>
            <w:r w:rsidR="00710A0F">
              <w:rPr>
                <w:noProof/>
                <w:webHidden/>
              </w:rPr>
            </w:r>
            <w:r w:rsidR="00710A0F">
              <w:rPr>
                <w:noProof/>
                <w:webHidden/>
              </w:rPr>
              <w:fldChar w:fldCharType="separate"/>
            </w:r>
            <w:r w:rsidR="00710A0F">
              <w:rPr>
                <w:noProof/>
                <w:webHidden/>
              </w:rPr>
              <w:t>8</w:t>
            </w:r>
            <w:r w:rsidR="00710A0F">
              <w:rPr>
                <w:noProof/>
                <w:webHidden/>
              </w:rPr>
              <w:fldChar w:fldCharType="end"/>
            </w:r>
          </w:hyperlink>
        </w:p>
        <w:p w14:paraId="26BA8F4A" w14:textId="77777777" w:rsidR="00710A0F" w:rsidRDefault="000C4795">
          <w:pPr>
            <w:pStyle w:val="31"/>
            <w:tabs>
              <w:tab w:val="left" w:pos="1100"/>
              <w:tab w:val="right" w:leader="dot" w:pos="9344"/>
            </w:tabs>
            <w:rPr>
              <w:rFonts w:eastAsiaTheme="minorEastAsia"/>
              <w:noProof/>
              <w:sz w:val="22"/>
              <w:szCs w:val="22"/>
              <w:lang w:eastAsia="ru-RU"/>
            </w:rPr>
          </w:pPr>
          <w:hyperlink w:anchor="_Toc7447926" w:history="1">
            <w:r w:rsidR="00710A0F" w:rsidRPr="009470AE">
              <w:rPr>
                <w:rStyle w:val="af1"/>
                <w:noProof/>
              </w:rPr>
              <w:t>1.1.1.</w:t>
            </w:r>
            <w:r w:rsidR="00710A0F">
              <w:rPr>
                <w:rFonts w:eastAsiaTheme="minorEastAsia"/>
                <w:noProof/>
                <w:sz w:val="22"/>
                <w:szCs w:val="22"/>
                <w:lang w:eastAsia="ru-RU"/>
              </w:rPr>
              <w:tab/>
            </w:r>
            <w:r w:rsidR="00710A0F" w:rsidRPr="009470AE">
              <w:rPr>
                <w:rStyle w:val="af1"/>
                <w:noProof/>
              </w:rPr>
              <w:t>Вызовы российской экономики</w:t>
            </w:r>
            <w:r w:rsidR="00710A0F">
              <w:rPr>
                <w:noProof/>
                <w:webHidden/>
              </w:rPr>
              <w:tab/>
            </w:r>
            <w:r w:rsidR="00710A0F">
              <w:rPr>
                <w:noProof/>
                <w:webHidden/>
              </w:rPr>
              <w:fldChar w:fldCharType="begin"/>
            </w:r>
            <w:r w:rsidR="00710A0F">
              <w:rPr>
                <w:noProof/>
                <w:webHidden/>
              </w:rPr>
              <w:instrText xml:space="preserve"> PAGEREF _Toc7447926 \h </w:instrText>
            </w:r>
            <w:r w:rsidR="00710A0F">
              <w:rPr>
                <w:noProof/>
                <w:webHidden/>
              </w:rPr>
            </w:r>
            <w:r w:rsidR="00710A0F">
              <w:rPr>
                <w:noProof/>
                <w:webHidden/>
              </w:rPr>
              <w:fldChar w:fldCharType="separate"/>
            </w:r>
            <w:r w:rsidR="00710A0F">
              <w:rPr>
                <w:noProof/>
                <w:webHidden/>
              </w:rPr>
              <w:t>8</w:t>
            </w:r>
            <w:r w:rsidR="00710A0F">
              <w:rPr>
                <w:noProof/>
                <w:webHidden/>
              </w:rPr>
              <w:fldChar w:fldCharType="end"/>
            </w:r>
          </w:hyperlink>
        </w:p>
        <w:p w14:paraId="5E17D8EE" w14:textId="77777777" w:rsidR="00710A0F" w:rsidRDefault="000C4795">
          <w:pPr>
            <w:pStyle w:val="31"/>
            <w:tabs>
              <w:tab w:val="left" w:pos="1100"/>
              <w:tab w:val="right" w:leader="dot" w:pos="9344"/>
            </w:tabs>
            <w:rPr>
              <w:rFonts w:eastAsiaTheme="minorEastAsia"/>
              <w:noProof/>
              <w:sz w:val="22"/>
              <w:szCs w:val="22"/>
              <w:lang w:eastAsia="ru-RU"/>
            </w:rPr>
          </w:pPr>
          <w:hyperlink w:anchor="_Toc7447927" w:history="1">
            <w:r w:rsidR="00710A0F" w:rsidRPr="009470AE">
              <w:rPr>
                <w:rStyle w:val="af1"/>
                <w:noProof/>
              </w:rPr>
              <w:t>1.1.2.</w:t>
            </w:r>
            <w:r w:rsidR="00710A0F">
              <w:rPr>
                <w:rFonts w:eastAsiaTheme="minorEastAsia"/>
                <w:noProof/>
                <w:sz w:val="22"/>
                <w:szCs w:val="22"/>
                <w:lang w:eastAsia="ru-RU"/>
              </w:rPr>
              <w:tab/>
            </w:r>
            <w:r w:rsidR="00710A0F" w:rsidRPr="009470AE">
              <w:rPr>
                <w:rStyle w:val="af1"/>
                <w:noProof/>
              </w:rPr>
              <w:t>Влияние глобальных сделок экономической концентрации на состояние конкуренции на территории Российской Федерации</w:t>
            </w:r>
            <w:r w:rsidR="00710A0F">
              <w:rPr>
                <w:noProof/>
                <w:webHidden/>
              </w:rPr>
              <w:tab/>
            </w:r>
            <w:r w:rsidR="00710A0F">
              <w:rPr>
                <w:noProof/>
                <w:webHidden/>
              </w:rPr>
              <w:fldChar w:fldCharType="begin"/>
            </w:r>
            <w:r w:rsidR="00710A0F">
              <w:rPr>
                <w:noProof/>
                <w:webHidden/>
              </w:rPr>
              <w:instrText xml:space="preserve"> PAGEREF _Toc7447927 \h </w:instrText>
            </w:r>
            <w:r w:rsidR="00710A0F">
              <w:rPr>
                <w:noProof/>
                <w:webHidden/>
              </w:rPr>
            </w:r>
            <w:r w:rsidR="00710A0F">
              <w:rPr>
                <w:noProof/>
                <w:webHidden/>
              </w:rPr>
              <w:fldChar w:fldCharType="separate"/>
            </w:r>
            <w:r w:rsidR="00710A0F">
              <w:rPr>
                <w:noProof/>
                <w:webHidden/>
              </w:rPr>
              <w:t>18</w:t>
            </w:r>
            <w:r w:rsidR="00710A0F">
              <w:rPr>
                <w:noProof/>
                <w:webHidden/>
              </w:rPr>
              <w:fldChar w:fldCharType="end"/>
            </w:r>
          </w:hyperlink>
        </w:p>
        <w:p w14:paraId="53EA1480" w14:textId="77777777" w:rsidR="00710A0F" w:rsidRDefault="000C4795">
          <w:pPr>
            <w:pStyle w:val="31"/>
            <w:tabs>
              <w:tab w:val="left" w:pos="1100"/>
              <w:tab w:val="right" w:leader="dot" w:pos="9344"/>
            </w:tabs>
            <w:rPr>
              <w:rFonts w:eastAsiaTheme="minorEastAsia"/>
              <w:noProof/>
              <w:sz w:val="22"/>
              <w:szCs w:val="22"/>
              <w:lang w:eastAsia="ru-RU"/>
            </w:rPr>
          </w:pPr>
          <w:hyperlink w:anchor="_Toc7447928" w:history="1">
            <w:r w:rsidR="00710A0F" w:rsidRPr="009470AE">
              <w:rPr>
                <w:rStyle w:val="af1"/>
                <w:noProof/>
              </w:rPr>
              <w:t>1.1.3.</w:t>
            </w:r>
            <w:r w:rsidR="00710A0F">
              <w:rPr>
                <w:rFonts w:eastAsiaTheme="minorEastAsia"/>
                <w:noProof/>
                <w:sz w:val="22"/>
                <w:szCs w:val="22"/>
                <w:lang w:eastAsia="ru-RU"/>
              </w:rPr>
              <w:tab/>
            </w:r>
            <w:r w:rsidR="00710A0F" w:rsidRPr="009470AE">
              <w:rPr>
                <w:rStyle w:val="af1"/>
                <w:noProof/>
              </w:rPr>
              <w:t>Инвестиционная привлекательность Российской Федерации как фактор развития конкуренции</w:t>
            </w:r>
            <w:r w:rsidR="00710A0F">
              <w:rPr>
                <w:noProof/>
                <w:webHidden/>
              </w:rPr>
              <w:tab/>
            </w:r>
            <w:r w:rsidR="00710A0F">
              <w:rPr>
                <w:noProof/>
                <w:webHidden/>
              </w:rPr>
              <w:fldChar w:fldCharType="begin"/>
            </w:r>
            <w:r w:rsidR="00710A0F">
              <w:rPr>
                <w:noProof/>
                <w:webHidden/>
              </w:rPr>
              <w:instrText xml:space="preserve"> PAGEREF _Toc7447928 \h </w:instrText>
            </w:r>
            <w:r w:rsidR="00710A0F">
              <w:rPr>
                <w:noProof/>
                <w:webHidden/>
              </w:rPr>
            </w:r>
            <w:r w:rsidR="00710A0F">
              <w:rPr>
                <w:noProof/>
                <w:webHidden/>
              </w:rPr>
              <w:fldChar w:fldCharType="separate"/>
            </w:r>
            <w:r w:rsidR="00710A0F">
              <w:rPr>
                <w:noProof/>
                <w:webHidden/>
              </w:rPr>
              <w:t>24</w:t>
            </w:r>
            <w:r w:rsidR="00710A0F">
              <w:rPr>
                <w:noProof/>
                <w:webHidden/>
              </w:rPr>
              <w:fldChar w:fldCharType="end"/>
            </w:r>
          </w:hyperlink>
        </w:p>
        <w:p w14:paraId="56215DDF" w14:textId="77777777" w:rsidR="00710A0F" w:rsidRDefault="000C4795">
          <w:pPr>
            <w:pStyle w:val="31"/>
            <w:tabs>
              <w:tab w:val="left" w:pos="1100"/>
              <w:tab w:val="right" w:leader="dot" w:pos="9344"/>
            </w:tabs>
            <w:rPr>
              <w:rFonts w:eastAsiaTheme="minorEastAsia"/>
              <w:noProof/>
              <w:sz w:val="22"/>
              <w:szCs w:val="22"/>
              <w:lang w:eastAsia="ru-RU"/>
            </w:rPr>
          </w:pPr>
          <w:hyperlink w:anchor="_Toc7447929" w:history="1">
            <w:r w:rsidR="00710A0F" w:rsidRPr="009470AE">
              <w:rPr>
                <w:rStyle w:val="af1"/>
                <w:noProof/>
              </w:rPr>
              <w:t>1.1.4.</w:t>
            </w:r>
            <w:r w:rsidR="00710A0F">
              <w:rPr>
                <w:rFonts w:eastAsiaTheme="minorEastAsia"/>
                <w:noProof/>
                <w:sz w:val="22"/>
                <w:szCs w:val="22"/>
                <w:lang w:eastAsia="ru-RU"/>
              </w:rPr>
              <w:tab/>
            </w:r>
            <w:r w:rsidR="00710A0F" w:rsidRPr="009470AE">
              <w:rPr>
                <w:rStyle w:val="af1"/>
                <w:noProof/>
              </w:rPr>
              <w:t>Влияние на конкуренцию регулирования закупок и иных обязательных в соответствии с законодательством торгов</w:t>
            </w:r>
            <w:r w:rsidR="00710A0F">
              <w:rPr>
                <w:noProof/>
                <w:webHidden/>
              </w:rPr>
              <w:tab/>
            </w:r>
            <w:r w:rsidR="00710A0F">
              <w:rPr>
                <w:noProof/>
                <w:webHidden/>
              </w:rPr>
              <w:fldChar w:fldCharType="begin"/>
            </w:r>
            <w:r w:rsidR="00710A0F">
              <w:rPr>
                <w:noProof/>
                <w:webHidden/>
              </w:rPr>
              <w:instrText xml:space="preserve"> PAGEREF _Toc7447929 \h </w:instrText>
            </w:r>
            <w:r w:rsidR="00710A0F">
              <w:rPr>
                <w:noProof/>
                <w:webHidden/>
              </w:rPr>
            </w:r>
            <w:r w:rsidR="00710A0F">
              <w:rPr>
                <w:noProof/>
                <w:webHidden/>
              </w:rPr>
              <w:fldChar w:fldCharType="separate"/>
            </w:r>
            <w:r w:rsidR="00710A0F">
              <w:rPr>
                <w:noProof/>
                <w:webHidden/>
              </w:rPr>
              <w:t>28</w:t>
            </w:r>
            <w:r w:rsidR="00710A0F">
              <w:rPr>
                <w:noProof/>
                <w:webHidden/>
              </w:rPr>
              <w:fldChar w:fldCharType="end"/>
            </w:r>
          </w:hyperlink>
        </w:p>
        <w:p w14:paraId="591B1904" w14:textId="77777777" w:rsidR="00710A0F" w:rsidRDefault="000C4795">
          <w:pPr>
            <w:pStyle w:val="31"/>
            <w:tabs>
              <w:tab w:val="left" w:pos="1100"/>
              <w:tab w:val="right" w:leader="dot" w:pos="9344"/>
            </w:tabs>
            <w:rPr>
              <w:rFonts w:eastAsiaTheme="minorEastAsia"/>
              <w:noProof/>
              <w:sz w:val="22"/>
              <w:szCs w:val="22"/>
              <w:lang w:eastAsia="ru-RU"/>
            </w:rPr>
          </w:pPr>
          <w:hyperlink w:anchor="_Toc7447930" w:history="1">
            <w:r w:rsidR="00710A0F" w:rsidRPr="009470AE">
              <w:rPr>
                <w:rStyle w:val="af1"/>
                <w:noProof/>
              </w:rPr>
              <w:t>1.1.5.</w:t>
            </w:r>
            <w:r w:rsidR="00710A0F">
              <w:rPr>
                <w:rFonts w:eastAsiaTheme="minorEastAsia"/>
                <w:noProof/>
                <w:sz w:val="22"/>
                <w:szCs w:val="22"/>
                <w:lang w:eastAsia="ru-RU"/>
              </w:rPr>
              <w:tab/>
            </w:r>
            <w:r w:rsidR="00710A0F" w:rsidRPr="009470AE">
              <w:rPr>
                <w:rStyle w:val="af1"/>
                <w:noProof/>
              </w:rPr>
              <w:t>Современная экономика и картели</w:t>
            </w:r>
            <w:r w:rsidR="00710A0F">
              <w:rPr>
                <w:noProof/>
                <w:webHidden/>
              </w:rPr>
              <w:tab/>
            </w:r>
            <w:r w:rsidR="00710A0F">
              <w:rPr>
                <w:noProof/>
                <w:webHidden/>
              </w:rPr>
              <w:fldChar w:fldCharType="begin"/>
            </w:r>
            <w:r w:rsidR="00710A0F">
              <w:rPr>
                <w:noProof/>
                <w:webHidden/>
              </w:rPr>
              <w:instrText xml:space="preserve"> PAGEREF _Toc7447930 \h </w:instrText>
            </w:r>
            <w:r w:rsidR="00710A0F">
              <w:rPr>
                <w:noProof/>
                <w:webHidden/>
              </w:rPr>
            </w:r>
            <w:r w:rsidR="00710A0F">
              <w:rPr>
                <w:noProof/>
                <w:webHidden/>
              </w:rPr>
              <w:fldChar w:fldCharType="separate"/>
            </w:r>
            <w:r w:rsidR="00710A0F">
              <w:rPr>
                <w:noProof/>
                <w:webHidden/>
              </w:rPr>
              <w:t>36</w:t>
            </w:r>
            <w:r w:rsidR="00710A0F">
              <w:rPr>
                <w:noProof/>
                <w:webHidden/>
              </w:rPr>
              <w:fldChar w:fldCharType="end"/>
            </w:r>
          </w:hyperlink>
        </w:p>
        <w:p w14:paraId="7F9B8298" w14:textId="77777777" w:rsidR="00710A0F" w:rsidRDefault="000C4795">
          <w:pPr>
            <w:pStyle w:val="31"/>
            <w:tabs>
              <w:tab w:val="left" w:pos="1100"/>
              <w:tab w:val="right" w:leader="dot" w:pos="9344"/>
            </w:tabs>
            <w:rPr>
              <w:rFonts w:eastAsiaTheme="minorEastAsia"/>
              <w:noProof/>
              <w:sz w:val="22"/>
              <w:szCs w:val="22"/>
              <w:lang w:eastAsia="ru-RU"/>
            </w:rPr>
          </w:pPr>
          <w:hyperlink w:anchor="_Toc7447931" w:history="1">
            <w:r w:rsidR="00710A0F" w:rsidRPr="009470AE">
              <w:rPr>
                <w:rStyle w:val="af1"/>
                <w:noProof/>
              </w:rPr>
              <w:t>1.1.6.</w:t>
            </w:r>
            <w:r w:rsidR="00710A0F">
              <w:rPr>
                <w:rFonts w:eastAsiaTheme="minorEastAsia"/>
                <w:noProof/>
                <w:sz w:val="22"/>
                <w:szCs w:val="22"/>
                <w:lang w:eastAsia="ru-RU"/>
              </w:rPr>
              <w:tab/>
            </w:r>
            <w:r w:rsidR="00710A0F" w:rsidRPr="009470AE">
              <w:rPr>
                <w:rStyle w:val="af1"/>
                <w:noProof/>
              </w:rPr>
              <w:t>Состояние развития и поддержки малого и среднего предпринимательства</w:t>
            </w:r>
            <w:r w:rsidR="00710A0F">
              <w:rPr>
                <w:noProof/>
                <w:webHidden/>
              </w:rPr>
              <w:tab/>
            </w:r>
            <w:r w:rsidR="00710A0F">
              <w:rPr>
                <w:noProof/>
                <w:webHidden/>
              </w:rPr>
              <w:fldChar w:fldCharType="begin"/>
            </w:r>
            <w:r w:rsidR="00710A0F">
              <w:rPr>
                <w:noProof/>
                <w:webHidden/>
              </w:rPr>
              <w:instrText xml:space="preserve"> PAGEREF _Toc7447931 \h </w:instrText>
            </w:r>
            <w:r w:rsidR="00710A0F">
              <w:rPr>
                <w:noProof/>
                <w:webHidden/>
              </w:rPr>
            </w:r>
            <w:r w:rsidR="00710A0F">
              <w:rPr>
                <w:noProof/>
                <w:webHidden/>
              </w:rPr>
              <w:fldChar w:fldCharType="separate"/>
            </w:r>
            <w:r w:rsidR="00710A0F">
              <w:rPr>
                <w:noProof/>
                <w:webHidden/>
              </w:rPr>
              <w:t>44</w:t>
            </w:r>
            <w:r w:rsidR="00710A0F">
              <w:rPr>
                <w:noProof/>
                <w:webHidden/>
              </w:rPr>
              <w:fldChar w:fldCharType="end"/>
            </w:r>
          </w:hyperlink>
        </w:p>
        <w:p w14:paraId="0BEE00C0" w14:textId="77777777" w:rsidR="00710A0F" w:rsidRDefault="000C4795">
          <w:pPr>
            <w:pStyle w:val="31"/>
            <w:tabs>
              <w:tab w:val="left" w:pos="1100"/>
              <w:tab w:val="right" w:leader="dot" w:pos="9344"/>
            </w:tabs>
            <w:rPr>
              <w:rFonts w:eastAsiaTheme="minorEastAsia"/>
              <w:noProof/>
              <w:sz w:val="22"/>
              <w:szCs w:val="22"/>
              <w:lang w:eastAsia="ru-RU"/>
            </w:rPr>
          </w:pPr>
          <w:hyperlink w:anchor="_Toc7447932" w:history="1">
            <w:r w:rsidR="00710A0F" w:rsidRPr="009470AE">
              <w:rPr>
                <w:rStyle w:val="af1"/>
                <w:noProof/>
              </w:rPr>
              <w:t>1.1.7.</w:t>
            </w:r>
            <w:r w:rsidR="00710A0F">
              <w:rPr>
                <w:rFonts w:eastAsiaTheme="minorEastAsia"/>
                <w:noProof/>
                <w:sz w:val="22"/>
                <w:szCs w:val="22"/>
                <w:lang w:eastAsia="ru-RU"/>
              </w:rPr>
              <w:tab/>
            </w:r>
            <w:r w:rsidR="00710A0F" w:rsidRPr="009470AE">
              <w:rPr>
                <w:rStyle w:val="af1"/>
                <w:noProof/>
              </w:rPr>
              <w:t>Формирование экономических условий и тарифное регулирование</w:t>
            </w:r>
            <w:r w:rsidR="00710A0F">
              <w:rPr>
                <w:noProof/>
                <w:webHidden/>
              </w:rPr>
              <w:tab/>
            </w:r>
            <w:r w:rsidR="00710A0F">
              <w:rPr>
                <w:noProof/>
                <w:webHidden/>
              </w:rPr>
              <w:fldChar w:fldCharType="begin"/>
            </w:r>
            <w:r w:rsidR="00710A0F">
              <w:rPr>
                <w:noProof/>
                <w:webHidden/>
              </w:rPr>
              <w:instrText xml:space="preserve"> PAGEREF _Toc7447932 \h </w:instrText>
            </w:r>
            <w:r w:rsidR="00710A0F">
              <w:rPr>
                <w:noProof/>
                <w:webHidden/>
              </w:rPr>
            </w:r>
            <w:r w:rsidR="00710A0F">
              <w:rPr>
                <w:noProof/>
                <w:webHidden/>
              </w:rPr>
              <w:fldChar w:fldCharType="separate"/>
            </w:r>
            <w:r w:rsidR="00710A0F">
              <w:rPr>
                <w:noProof/>
                <w:webHidden/>
              </w:rPr>
              <w:t>52</w:t>
            </w:r>
            <w:r w:rsidR="00710A0F">
              <w:rPr>
                <w:noProof/>
                <w:webHidden/>
              </w:rPr>
              <w:fldChar w:fldCharType="end"/>
            </w:r>
          </w:hyperlink>
        </w:p>
        <w:p w14:paraId="449F7F38" w14:textId="77777777" w:rsidR="00710A0F" w:rsidRDefault="000C4795">
          <w:pPr>
            <w:pStyle w:val="12"/>
            <w:tabs>
              <w:tab w:val="left" w:pos="660"/>
            </w:tabs>
            <w:rPr>
              <w:rFonts w:asciiTheme="minorHAnsi" w:eastAsiaTheme="minorEastAsia" w:hAnsiTheme="minorHAnsi"/>
              <w:b w:val="0"/>
              <w:bCs w:val="0"/>
              <w:caps w:val="0"/>
              <w:noProof/>
              <w:sz w:val="22"/>
              <w:szCs w:val="22"/>
              <w:lang w:eastAsia="ru-RU"/>
            </w:rPr>
          </w:pPr>
          <w:hyperlink w:anchor="_Toc7447933" w:history="1">
            <w:r w:rsidR="00710A0F" w:rsidRPr="009470AE">
              <w:rPr>
                <w:rStyle w:val="af1"/>
                <w:noProof/>
              </w:rPr>
              <w:t>1.2.</w:t>
            </w:r>
            <w:r w:rsidR="00710A0F">
              <w:rPr>
                <w:rFonts w:asciiTheme="minorHAnsi" w:eastAsiaTheme="minorEastAsia" w:hAnsiTheme="minorHAnsi"/>
                <w:b w:val="0"/>
                <w:bCs w:val="0"/>
                <w:caps w:val="0"/>
                <w:noProof/>
                <w:sz w:val="22"/>
                <w:szCs w:val="22"/>
                <w:lang w:eastAsia="ru-RU"/>
              </w:rPr>
              <w:tab/>
            </w:r>
            <w:r w:rsidR="00710A0F" w:rsidRPr="009470AE">
              <w:rPr>
                <w:rStyle w:val="af1"/>
                <w:noProof/>
              </w:rPr>
              <w:t>Развитие законодательства и правоприменительной практики в сфере конкуренции в Российской Федерации</w:t>
            </w:r>
            <w:r w:rsidR="00710A0F">
              <w:rPr>
                <w:noProof/>
                <w:webHidden/>
              </w:rPr>
              <w:tab/>
            </w:r>
            <w:r w:rsidR="00710A0F">
              <w:rPr>
                <w:noProof/>
                <w:webHidden/>
              </w:rPr>
              <w:fldChar w:fldCharType="begin"/>
            </w:r>
            <w:r w:rsidR="00710A0F">
              <w:rPr>
                <w:noProof/>
                <w:webHidden/>
              </w:rPr>
              <w:instrText xml:space="preserve"> PAGEREF _Toc7447933 \h </w:instrText>
            </w:r>
            <w:r w:rsidR="00710A0F">
              <w:rPr>
                <w:noProof/>
                <w:webHidden/>
              </w:rPr>
            </w:r>
            <w:r w:rsidR="00710A0F">
              <w:rPr>
                <w:noProof/>
                <w:webHidden/>
              </w:rPr>
              <w:fldChar w:fldCharType="separate"/>
            </w:r>
            <w:r w:rsidR="00710A0F">
              <w:rPr>
                <w:noProof/>
                <w:webHidden/>
              </w:rPr>
              <w:t>70</w:t>
            </w:r>
            <w:r w:rsidR="00710A0F">
              <w:rPr>
                <w:noProof/>
                <w:webHidden/>
              </w:rPr>
              <w:fldChar w:fldCharType="end"/>
            </w:r>
          </w:hyperlink>
        </w:p>
        <w:p w14:paraId="35E06D66" w14:textId="77777777" w:rsidR="00710A0F" w:rsidRDefault="000C4795">
          <w:pPr>
            <w:pStyle w:val="31"/>
            <w:tabs>
              <w:tab w:val="left" w:pos="1100"/>
              <w:tab w:val="right" w:leader="dot" w:pos="9344"/>
            </w:tabs>
            <w:rPr>
              <w:rFonts w:eastAsiaTheme="minorEastAsia"/>
              <w:noProof/>
              <w:sz w:val="22"/>
              <w:szCs w:val="22"/>
              <w:lang w:eastAsia="ru-RU"/>
            </w:rPr>
          </w:pPr>
          <w:hyperlink w:anchor="_Toc7447935" w:history="1">
            <w:r w:rsidR="00710A0F" w:rsidRPr="009470AE">
              <w:rPr>
                <w:rStyle w:val="af1"/>
                <w:noProof/>
              </w:rPr>
              <w:t>1.2.1.</w:t>
            </w:r>
            <w:r w:rsidR="00710A0F">
              <w:rPr>
                <w:rFonts w:eastAsiaTheme="minorEastAsia"/>
                <w:noProof/>
                <w:sz w:val="22"/>
                <w:szCs w:val="22"/>
                <w:lang w:eastAsia="ru-RU"/>
              </w:rPr>
              <w:tab/>
            </w:r>
            <w:r w:rsidR="00710A0F" w:rsidRPr="009470AE">
              <w:rPr>
                <w:rStyle w:val="af1"/>
                <w:noProof/>
              </w:rPr>
              <w:t>Развитие законодательства в сфере конкуренции</w:t>
            </w:r>
            <w:r w:rsidR="00710A0F">
              <w:rPr>
                <w:noProof/>
                <w:webHidden/>
              </w:rPr>
              <w:tab/>
            </w:r>
            <w:r w:rsidR="00710A0F">
              <w:rPr>
                <w:noProof/>
                <w:webHidden/>
              </w:rPr>
              <w:fldChar w:fldCharType="begin"/>
            </w:r>
            <w:r w:rsidR="00710A0F">
              <w:rPr>
                <w:noProof/>
                <w:webHidden/>
              </w:rPr>
              <w:instrText xml:space="preserve"> PAGEREF _Toc7447935 \h </w:instrText>
            </w:r>
            <w:r w:rsidR="00710A0F">
              <w:rPr>
                <w:noProof/>
                <w:webHidden/>
              </w:rPr>
            </w:r>
            <w:r w:rsidR="00710A0F">
              <w:rPr>
                <w:noProof/>
                <w:webHidden/>
              </w:rPr>
              <w:fldChar w:fldCharType="separate"/>
            </w:r>
            <w:r w:rsidR="00710A0F">
              <w:rPr>
                <w:noProof/>
                <w:webHidden/>
              </w:rPr>
              <w:t>70</w:t>
            </w:r>
            <w:r w:rsidR="00710A0F">
              <w:rPr>
                <w:noProof/>
                <w:webHidden/>
              </w:rPr>
              <w:fldChar w:fldCharType="end"/>
            </w:r>
          </w:hyperlink>
        </w:p>
        <w:p w14:paraId="7DD1A4AA" w14:textId="77777777" w:rsidR="00710A0F" w:rsidRDefault="000C4795">
          <w:pPr>
            <w:pStyle w:val="31"/>
            <w:tabs>
              <w:tab w:val="left" w:pos="1100"/>
              <w:tab w:val="right" w:leader="dot" w:pos="9344"/>
            </w:tabs>
            <w:rPr>
              <w:rFonts w:eastAsiaTheme="minorEastAsia"/>
              <w:noProof/>
              <w:sz w:val="22"/>
              <w:szCs w:val="22"/>
              <w:lang w:eastAsia="ru-RU"/>
            </w:rPr>
          </w:pPr>
          <w:hyperlink w:anchor="_Toc7447939" w:history="1">
            <w:r w:rsidR="00710A0F" w:rsidRPr="009470AE">
              <w:rPr>
                <w:rStyle w:val="af1"/>
                <w:noProof/>
              </w:rPr>
              <w:t>1.2.2.</w:t>
            </w:r>
            <w:r w:rsidR="00710A0F">
              <w:rPr>
                <w:rFonts w:eastAsiaTheme="minorEastAsia"/>
                <w:noProof/>
                <w:sz w:val="22"/>
                <w:szCs w:val="22"/>
                <w:lang w:eastAsia="ru-RU"/>
              </w:rPr>
              <w:tab/>
            </w:r>
            <w:r w:rsidR="00710A0F" w:rsidRPr="009470AE">
              <w:rPr>
                <w:rStyle w:val="af1"/>
                <w:noProof/>
              </w:rPr>
              <w:t>Развитие биржевой торговли</w:t>
            </w:r>
            <w:r w:rsidR="00710A0F">
              <w:rPr>
                <w:noProof/>
                <w:webHidden/>
              </w:rPr>
              <w:tab/>
            </w:r>
            <w:r w:rsidR="00710A0F">
              <w:rPr>
                <w:noProof/>
                <w:webHidden/>
              </w:rPr>
              <w:fldChar w:fldCharType="begin"/>
            </w:r>
            <w:r w:rsidR="00710A0F">
              <w:rPr>
                <w:noProof/>
                <w:webHidden/>
              </w:rPr>
              <w:instrText xml:space="preserve"> PAGEREF _Toc7447939 \h </w:instrText>
            </w:r>
            <w:r w:rsidR="00710A0F">
              <w:rPr>
                <w:noProof/>
                <w:webHidden/>
              </w:rPr>
            </w:r>
            <w:r w:rsidR="00710A0F">
              <w:rPr>
                <w:noProof/>
                <w:webHidden/>
              </w:rPr>
              <w:fldChar w:fldCharType="separate"/>
            </w:r>
            <w:r w:rsidR="00710A0F">
              <w:rPr>
                <w:noProof/>
                <w:webHidden/>
              </w:rPr>
              <w:t>78</w:t>
            </w:r>
            <w:r w:rsidR="00710A0F">
              <w:rPr>
                <w:noProof/>
                <w:webHidden/>
              </w:rPr>
              <w:fldChar w:fldCharType="end"/>
            </w:r>
          </w:hyperlink>
        </w:p>
        <w:p w14:paraId="6EA6F9F4" w14:textId="77777777" w:rsidR="00710A0F" w:rsidRDefault="000C4795">
          <w:pPr>
            <w:pStyle w:val="31"/>
            <w:tabs>
              <w:tab w:val="left" w:pos="1100"/>
              <w:tab w:val="right" w:leader="dot" w:pos="9344"/>
            </w:tabs>
            <w:rPr>
              <w:rFonts w:eastAsiaTheme="minorEastAsia"/>
              <w:noProof/>
              <w:sz w:val="22"/>
              <w:szCs w:val="22"/>
              <w:lang w:eastAsia="ru-RU"/>
            </w:rPr>
          </w:pPr>
          <w:hyperlink w:anchor="_Toc7447940" w:history="1">
            <w:r w:rsidR="00710A0F" w:rsidRPr="009470AE">
              <w:rPr>
                <w:rStyle w:val="af1"/>
                <w:noProof/>
              </w:rPr>
              <w:t>1.2.3.</w:t>
            </w:r>
            <w:r w:rsidR="00710A0F">
              <w:rPr>
                <w:rFonts w:eastAsiaTheme="minorEastAsia"/>
                <w:noProof/>
                <w:sz w:val="22"/>
                <w:szCs w:val="22"/>
                <w:lang w:eastAsia="ru-RU"/>
              </w:rPr>
              <w:tab/>
            </w:r>
            <w:r w:rsidR="00710A0F" w:rsidRPr="009470AE">
              <w:rPr>
                <w:rStyle w:val="af1"/>
                <w:noProof/>
              </w:rPr>
              <w:t>Информация о мерах по организации и функционированию антимонопольного комплаенса в федеральных органах исполнительной власти</w:t>
            </w:r>
            <w:r w:rsidR="00710A0F">
              <w:rPr>
                <w:noProof/>
                <w:webHidden/>
              </w:rPr>
              <w:tab/>
            </w:r>
            <w:r w:rsidR="00710A0F">
              <w:rPr>
                <w:noProof/>
                <w:webHidden/>
              </w:rPr>
              <w:fldChar w:fldCharType="begin"/>
            </w:r>
            <w:r w:rsidR="00710A0F">
              <w:rPr>
                <w:noProof/>
                <w:webHidden/>
              </w:rPr>
              <w:instrText xml:space="preserve"> PAGEREF _Toc7447940 \h </w:instrText>
            </w:r>
            <w:r w:rsidR="00710A0F">
              <w:rPr>
                <w:noProof/>
                <w:webHidden/>
              </w:rPr>
            </w:r>
            <w:r w:rsidR="00710A0F">
              <w:rPr>
                <w:noProof/>
                <w:webHidden/>
              </w:rPr>
              <w:fldChar w:fldCharType="separate"/>
            </w:r>
            <w:r w:rsidR="00710A0F">
              <w:rPr>
                <w:noProof/>
                <w:webHidden/>
              </w:rPr>
              <w:t>87</w:t>
            </w:r>
            <w:r w:rsidR="00710A0F">
              <w:rPr>
                <w:noProof/>
                <w:webHidden/>
              </w:rPr>
              <w:fldChar w:fldCharType="end"/>
            </w:r>
          </w:hyperlink>
        </w:p>
        <w:p w14:paraId="16CFEA92" w14:textId="77777777" w:rsidR="00710A0F" w:rsidRDefault="000C4795">
          <w:pPr>
            <w:pStyle w:val="31"/>
            <w:tabs>
              <w:tab w:val="left" w:pos="1100"/>
              <w:tab w:val="right" w:leader="dot" w:pos="9344"/>
            </w:tabs>
            <w:rPr>
              <w:rFonts w:eastAsiaTheme="minorEastAsia"/>
              <w:noProof/>
              <w:sz w:val="22"/>
              <w:szCs w:val="22"/>
              <w:lang w:eastAsia="ru-RU"/>
            </w:rPr>
          </w:pPr>
          <w:hyperlink w:anchor="_Toc7447941" w:history="1">
            <w:r w:rsidR="00710A0F" w:rsidRPr="009470AE">
              <w:rPr>
                <w:rStyle w:val="af1"/>
                <w:noProof/>
              </w:rPr>
              <w:t>1.2.4.</w:t>
            </w:r>
            <w:r w:rsidR="00710A0F">
              <w:rPr>
                <w:rFonts w:eastAsiaTheme="minorEastAsia"/>
                <w:noProof/>
                <w:sz w:val="22"/>
                <w:szCs w:val="22"/>
                <w:lang w:eastAsia="ru-RU"/>
              </w:rPr>
              <w:tab/>
            </w:r>
            <w:r w:rsidR="00710A0F" w:rsidRPr="009470AE">
              <w:rPr>
                <w:rStyle w:val="af1"/>
                <w:noProof/>
              </w:rPr>
              <w:t>Реформа контрольно-надзорной деятельности</w:t>
            </w:r>
            <w:r w:rsidR="00710A0F">
              <w:rPr>
                <w:noProof/>
                <w:webHidden/>
              </w:rPr>
              <w:tab/>
            </w:r>
            <w:r w:rsidR="00710A0F">
              <w:rPr>
                <w:noProof/>
                <w:webHidden/>
              </w:rPr>
              <w:fldChar w:fldCharType="begin"/>
            </w:r>
            <w:r w:rsidR="00710A0F">
              <w:rPr>
                <w:noProof/>
                <w:webHidden/>
              </w:rPr>
              <w:instrText xml:space="preserve"> PAGEREF _Toc7447941 \h </w:instrText>
            </w:r>
            <w:r w:rsidR="00710A0F">
              <w:rPr>
                <w:noProof/>
                <w:webHidden/>
              </w:rPr>
            </w:r>
            <w:r w:rsidR="00710A0F">
              <w:rPr>
                <w:noProof/>
                <w:webHidden/>
              </w:rPr>
              <w:fldChar w:fldCharType="separate"/>
            </w:r>
            <w:r w:rsidR="00710A0F">
              <w:rPr>
                <w:noProof/>
                <w:webHidden/>
              </w:rPr>
              <w:t>88</w:t>
            </w:r>
            <w:r w:rsidR="00710A0F">
              <w:rPr>
                <w:noProof/>
                <w:webHidden/>
              </w:rPr>
              <w:fldChar w:fldCharType="end"/>
            </w:r>
          </w:hyperlink>
        </w:p>
        <w:p w14:paraId="4166B04A" w14:textId="77777777" w:rsidR="00710A0F" w:rsidRDefault="000C4795">
          <w:pPr>
            <w:pStyle w:val="31"/>
            <w:tabs>
              <w:tab w:val="left" w:pos="1100"/>
              <w:tab w:val="right" w:leader="dot" w:pos="9344"/>
            </w:tabs>
            <w:rPr>
              <w:rFonts w:eastAsiaTheme="minorEastAsia"/>
              <w:noProof/>
              <w:sz w:val="22"/>
              <w:szCs w:val="22"/>
              <w:lang w:eastAsia="ru-RU"/>
            </w:rPr>
          </w:pPr>
          <w:hyperlink w:anchor="_Toc7447942" w:history="1">
            <w:r w:rsidR="00710A0F" w:rsidRPr="009470AE">
              <w:rPr>
                <w:rStyle w:val="af1"/>
                <w:noProof/>
              </w:rPr>
              <w:t>1.2.5.</w:t>
            </w:r>
            <w:r w:rsidR="00710A0F">
              <w:rPr>
                <w:rFonts w:eastAsiaTheme="minorEastAsia"/>
                <w:noProof/>
                <w:sz w:val="22"/>
                <w:szCs w:val="22"/>
                <w:lang w:eastAsia="ru-RU"/>
              </w:rPr>
              <w:tab/>
            </w:r>
            <w:r w:rsidR="00710A0F" w:rsidRPr="009470AE">
              <w:rPr>
                <w:rStyle w:val="af1"/>
                <w:noProof/>
              </w:rPr>
              <w:t>Развитие судебной практики</w:t>
            </w:r>
            <w:r w:rsidR="00710A0F">
              <w:rPr>
                <w:noProof/>
                <w:webHidden/>
              </w:rPr>
              <w:tab/>
            </w:r>
            <w:r w:rsidR="00710A0F">
              <w:rPr>
                <w:noProof/>
                <w:webHidden/>
              </w:rPr>
              <w:fldChar w:fldCharType="begin"/>
            </w:r>
            <w:r w:rsidR="00710A0F">
              <w:rPr>
                <w:noProof/>
                <w:webHidden/>
              </w:rPr>
              <w:instrText xml:space="preserve"> PAGEREF _Toc7447942 \h </w:instrText>
            </w:r>
            <w:r w:rsidR="00710A0F">
              <w:rPr>
                <w:noProof/>
                <w:webHidden/>
              </w:rPr>
            </w:r>
            <w:r w:rsidR="00710A0F">
              <w:rPr>
                <w:noProof/>
                <w:webHidden/>
              </w:rPr>
              <w:fldChar w:fldCharType="separate"/>
            </w:r>
            <w:r w:rsidR="00710A0F">
              <w:rPr>
                <w:noProof/>
                <w:webHidden/>
              </w:rPr>
              <w:t>96</w:t>
            </w:r>
            <w:r w:rsidR="00710A0F">
              <w:rPr>
                <w:noProof/>
                <w:webHidden/>
              </w:rPr>
              <w:fldChar w:fldCharType="end"/>
            </w:r>
          </w:hyperlink>
        </w:p>
        <w:p w14:paraId="1B85EB24" w14:textId="77777777" w:rsidR="00710A0F" w:rsidRDefault="000C4795">
          <w:pPr>
            <w:pStyle w:val="31"/>
            <w:tabs>
              <w:tab w:val="left" w:pos="1100"/>
              <w:tab w:val="right" w:leader="dot" w:pos="9344"/>
            </w:tabs>
            <w:rPr>
              <w:rFonts w:eastAsiaTheme="minorEastAsia"/>
              <w:noProof/>
              <w:sz w:val="22"/>
              <w:szCs w:val="22"/>
              <w:lang w:eastAsia="ru-RU"/>
            </w:rPr>
          </w:pPr>
          <w:hyperlink w:anchor="_Toc7447943" w:history="1">
            <w:r w:rsidR="00710A0F" w:rsidRPr="009470AE">
              <w:rPr>
                <w:rStyle w:val="af1"/>
                <w:noProof/>
              </w:rPr>
              <w:t>1.2.6.</w:t>
            </w:r>
            <w:r w:rsidR="00710A0F">
              <w:rPr>
                <w:rFonts w:eastAsiaTheme="minorEastAsia"/>
                <w:noProof/>
                <w:sz w:val="22"/>
                <w:szCs w:val="22"/>
                <w:lang w:eastAsia="ru-RU"/>
              </w:rPr>
              <w:tab/>
            </w:r>
            <w:r w:rsidR="00710A0F" w:rsidRPr="009470AE">
              <w:rPr>
                <w:rStyle w:val="af1"/>
                <w:noProof/>
              </w:rPr>
              <w:t>Формирование единообразия применения норм антимонопольного законодательства коллегиальными органами ФАС России</w:t>
            </w:r>
            <w:r w:rsidR="00710A0F">
              <w:rPr>
                <w:noProof/>
                <w:webHidden/>
              </w:rPr>
              <w:tab/>
            </w:r>
            <w:r w:rsidR="00710A0F">
              <w:rPr>
                <w:noProof/>
                <w:webHidden/>
              </w:rPr>
              <w:fldChar w:fldCharType="begin"/>
            </w:r>
            <w:r w:rsidR="00710A0F">
              <w:rPr>
                <w:noProof/>
                <w:webHidden/>
              </w:rPr>
              <w:instrText xml:space="preserve"> PAGEREF _Toc7447943 \h </w:instrText>
            </w:r>
            <w:r w:rsidR="00710A0F">
              <w:rPr>
                <w:noProof/>
                <w:webHidden/>
              </w:rPr>
            </w:r>
            <w:r w:rsidR="00710A0F">
              <w:rPr>
                <w:noProof/>
                <w:webHidden/>
              </w:rPr>
              <w:fldChar w:fldCharType="separate"/>
            </w:r>
            <w:r w:rsidR="00710A0F">
              <w:rPr>
                <w:noProof/>
                <w:webHidden/>
              </w:rPr>
              <w:t>100</w:t>
            </w:r>
            <w:r w:rsidR="00710A0F">
              <w:rPr>
                <w:noProof/>
                <w:webHidden/>
              </w:rPr>
              <w:fldChar w:fldCharType="end"/>
            </w:r>
          </w:hyperlink>
        </w:p>
        <w:p w14:paraId="7B9A78E6" w14:textId="77777777" w:rsidR="00710A0F" w:rsidRDefault="000C4795">
          <w:pPr>
            <w:pStyle w:val="31"/>
            <w:tabs>
              <w:tab w:val="left" w:pos="1100"/>
              <w:tab w:val="right" w:leader="dot" w:pos="9344"/>
            </w:tabs>
            <w:rPr>
              <w:rFonts w:eastAsiaTheme="minorEastAsia"/>
              <w:noProof/>
              <w:sz w:val="22"/>
              <w:szCs w:val="22"/>
              <w:lang w:eastAsia="ru-RU"/>
            </w:rPr>
          </w:pPr>
          <w:hyperlink w:anchor="_Toc7447944" w:history="1">
            <w:r w:rsidR="00710A0F" w:rsidRPr="009470AE">
              <w:rPr>
                <w:rStyle w:val="af1"/>
                <w:noProof/>
              </w:rPr>
              <w:t>1.2.7.</w:t>
            </w:r>
            <w:r w:rsidR="00710A0F">
              <w:rPr>
                <w:rFonts w:eastAsiaTheme="minorEastAsia"/>
                <w:noProof/>
                <w:sz w:val="22"/>
                <w:szCs w:val="22"/>
                <w:lang w:eastAsia="ru-RU"/>
              </w:rPr>
              <w:tab/>
            </w:r>
            <w:r w:rsidR="00710A0F" w:rsidRPr="009470AE">
              <w:rPr>
                <w:rStyle w:val="af1"/>
                <w:noProof/>
              </w:rPr>
              <w:t>Развитие антимонопольной практики по защите прав правообладателей при организации и проведении международных спортивных мероприятий</w:t>
            </w:r>
            <w:r w:rsidR="00710A0F">
              <w:rPr>
                <w:noProof/>
                <w:webHidden/>
              </w:rPr>
              <w:tab/>
            </w:r>
            <w:r w:rsidR="00710A0F">
              <w:rPr>
                <w:noProof/>
                <w:webHidden/>
              </w:rPr>
              <w:fldChar w:fldCharType="begin"/>
            </w:r>
            <w:r w:rsidR="00710A0F">
              <w:rPr>
                <w:noProof/>
                <w:webHidden/>
              </w:rPr>
              <w:instrText xml:space="preserve"> PAGEREF _Toc7447944 \h </w:instrText>
            </w:r>
            <w:r w:rsidR="00710A0F">
              <w:rPr>
                <w:noProof/>
                <w:webHidden/>
              </w:rPr>
            </w:r>
            <w:r w:rsidR="00710A0F">
              <w:rPr>
                <w:noProof/>
                <w:webHidden/>
              </w:rPr>
              <w:fldChar w:fldCharType="separate"/>
            </w:r>
            <w:r w:rsidR="00710A0F">
              <w:rPr>
                <w:noProof/>
                <w:webHidden/>
              </w:rPr>
              <w:t>105</w:t>
            </w:r>
            <w:r w:rsidR="00710A0F">
              <w:rPr>
                <w:noProof/>
                <w:webHidden/>
              </w:rPr>
              <w:fldChar w:fldCharType="end"/>
            </w:r>
          </w:hyperlink>
        </w:p>
        <w:p w14:paraId="701D11ED" w14:textId="77777777" w:rsidR="00710A0F" w:rsidRDefault="000C4795">
          <w:pPr>
            <w:pStyle w:val="31"/>
            <w:tabs>
              <w:tab w:val="left" w:pos="1100"/>
              <w:tab w:val="right" w:leader="dot" w:pos="9344"/>
            </w:tabs>
            <w:rPr>
              <w:rFonts w:eastAsiaTheme="minorEastAsia"/>
              <w:noProof/>
              <w:sz w:val="22"/>
              <w:szCs w:val="22"/>
              <w:lang w:eastAsia="ru-RU"/>
            </w:rPr>
          </w:pPr>
          <w:hyperlink w:anchor="_Toc7447945" w:history="1">
            <w:r w:rsidR="00710A0F" w:rsidRPr="009470AE">
              <w:rPr>
                <w:rStyle w:val="af1"/>
                <w:noProof/>
              </w:rPr>
              <w:t>1.2.8.</w:t>
            </w:r>
            <w:r w:rsidR="00710A0F">
              <w:rPr>
                <w:rFonts w:eastAsiaTheme="minorEastAsia"/>
                <w:noProof/>
                <w:sz w:val="22"/>
                <w:szCs w:val="22"/>
                <w:lang w:eastAsia="ru-RU"/>
              </w:rPr>
              <w:tab/>
            </w:r>
            <w:r w:rsidR="00710A0F" w:rsidRPr="009470AE">
              <w:rPr>
                <w:rStyle w:val="af1"/>
                <w:noProof/>
              </w:rPr>
              <w:t>Развитие научной и образовательной деятельности в сфере конкурентного права и антимонопольного законодательства</w:t>
            </w:r>
            <w:r w:rsidR="00710A0F">
              <w:rPr>
                <w:noProof/>
                <w:webHidden/>
              </w:rPr>
              <w:tab/>
            </w:r>
            <w:r w:rsidR="00710A0F">
              <w:rPr>
                <w:noProof/>
                <w:webHidden/>
              </w:rPr>
              <w:fldChar w:fldCharType="begin"/>
            </w:r>
            <w:r w:rsidR="00710A0F">
              <w:rPr>
                <w:noProof/>
                <w:webHidden/>
              </w:rPr>
              <w:instrText xml:space="preserve"> PAGEREF _Toc7447945 \h </w:instrText>
            </w:r>
            <w:r w:rsidR="00710A0F">
              <w:rPr>
                <w:noProof/>
                <w:webHidden/>
              </w:rPr>
            </w:r>
            <w:r w:rsidR="00710A0F">
              <w:rPr>
                <w:noProof/>
                <w:webHidden/>
              </w:rPr>
              <w:fldChar w:fldCharType="separate"/>
            </w:r>
            <w:r w:rsidR="00710A0F">
              <w:rPr>
                <w:noProof/>
                <w:webHidden/>
              </w:rPr>
              <w:t>108</w:t>
            </w:r>
            <w:r w:rsidR="00710A0F">
              <w:rPr>
                <w:noProof/>
                <w:webHidden/>
              </w:rPr>
              <w:fldChar w:fldCharType="end"/>
            </w:r>
          </w:hyperlink>
        </w:p>
        <w:p w14:paraId="2645B366" w14:textId="77777777" w:rsidR="00710A0F" w:rsidRDefault="000C4795">
          <w:pPr>
            <w:pStyle w:val="12"/>
            <w:tabs>
              <w:tab w:val="left" w:pos="660"/>
            </w:tabs>
            <w:rPr>
              <w:rFonts w:asciiTheme="minorHAnsi" w:eastAsiaTheme="minorEastAsia" w:hAnsiTheme="minorHAnsi"/>
              <w:b w:val="0"/>
              <w:bCs w:val="0"/>
              <w:caps w:val="0"/>
              <w:noProof/>
              <w:sz w:val="22"/>
              <w:szCs w:val="22"/>
              <w:lang w:eastAsia="ru-RU"/>
            </w:rPr>
          </w:pPr>
          <w:hyperlink w:anchor="_Toc7447946" w:history="1">
            <w:r w:rsidR="00710A0F" w:rsidRPr="009470AE">
              <w:rPr>
                <w:rStyle w:val="af1"/>
                <w:noProof/>
              </w:rPr>
              <w:t>1.3.</w:t>
            </w:r>
            <w:r w:rsidR="00710A0F">
              <w:rPr>
                <w:rFonts w:asciiTheme="minorHAnsi" w:eastAsiaTheme="minorEastAsia" w:hAnsiTheme="minorHAnsi"/>
                <w:b w:val="0"/>
                <w:bCs w:val="0"/>
                <w:caps w:val="0"/>
                <w:noProof/>
                <w:sz w:val="22"/>
                <w:szCs w:val="22"/>
                <w:lang w:eastAsia="ru-RU"/>
              </w:rPr>
              <w:tab/>
            </w:r>
            <w:r w:rsidR="00710A0F" w:rsidRPr="009470AE">
              <w:rPr>
                <w:rStyle w:val="af1"/>
                <w:noProof/>
              </w:rPr>
              <w:t>Международное сотрудничество как фактор повышения эффективности реализуемой конкурентной политики</w:t>
            </w:r>
            <w:r w:rsidR="00710A0F">
              <w:rPr>
                <w:noProof/>
                <w:webHidden/>
              </w:rPr>
              <w:tab/>
            </w:r>
            <w:r w:rsidR="00710A0F">
              <w:rPr>
                <w:noProof/>
                <w:webHidden/>
              </w:rPr>
              <w:fldChar w:fldCharType="begin"/>
            </w:r>
            <w:r w:rsidR="00710A0F">
              <w:rPr>
                <w:noProof/>
                <w:webHidden/>
              </w:rPr>
              <w:instrText xml:space="preserve"> PAGEREF _Toc7447946 \h </w:instrText>
            </w:r>
            <w:r w:rsidR="00710A0F">
              <w:rPr>
                <w:noProof/>
                <w:webHidden/>
              </w:rPr>
            </w:r>
            <w:r w:rsidR="00710A0F">
              <w:rPr>
                <w:noProof/>
                <w:webHidden/>
              </w:rPr>
              <w:fldChar w:fldCharType="separate"/>
            </w:r>
            <w:r w:rsidR="00710A0F">
              <w:rPr>
                <w:noProof/>
                <w:webHidden/>
              </w:rPr>
              <w:t>112</w:t>
            </w:r>
            <w:r w:rsidR="00710A0F">
              <w:rPr>
                <w:noProof/>
                <w:webHidden/>
              </w:rPr>
              <w:fldChar w:fldCharType="end"/>
            </w:r>
          </w:hyperlink>
        </w:p>
        <w:p w14:paraId="5B002519" w14:textId="77777777" w:rsidR="00710A0F" w:rsidRDefault="000C4795">
          <w:pPr>
            <w:pStyle w:val="12"/>
            <w:tabs>
              <w:tab w:val="left" w:pos="660"/>
            </w:tabs>
            <w:rPr>
              <w:rFonts w:asciiTheme="minorHAnsi" w:eastAsiaTheme="minorEastAsia" w:hAnsiTheme="minorHAnsi"/>
              <w:b w:val="0"/>
              <w:bCs w:val="0"/>
              <w:caps w:val="0"/>
              <w:noProof/>
              <w:sz w:val="22"/>
              <w:szCs w:val="22"/>
              <w:lang w:eastAsia="ru-RU"/>
            </w:rPr>
          </w:pPr>
          <w:hyperlink w:anchor="_Toc7447947" w:history="1">
            <w:r w:rsidR="00710A0F" w:rsidRPr="009470AE">
              <w:rPr>
                <w:rStyle w:val="af1"/>
                <w:noProof/>
              </w:rPr>
              <w:t>1.4.</w:t>
            </w:r>
            <w:r w:rsidR="00710A0F">
              <w:rPr>
                <w:rFonts w:asciiTheme="minorHAnsi" w:eastAsiaTheme="minorEastAsia" w:hAnsiTheme="minorHAnsi"/>
                <w:b w:val="0"/>
                <w:bCs w:val="0"/>
                <w:caps w:val="0"/>
                <w:noProof/>
                <w:sz w:val="22"/>
                <w:szCs w:val="22"/>
                <w:lang w:eastAsia="ru-RU"/>
              </w:rPr>
              <w:tab/>
            </w:r>
            <w:r w:rsidR="00710A0F" w:rsidRPr="009470AE">
              <w:rPr>
                <w:rStyle w:val="af1"/>
                <w:noProof/>
              </w:rPr>
              <w:t>Оценка состояния конкуренции с учетом показателей международных организаций</w:t>
            </w:r>
            <w:r w:rsidR="00710A0F">
              <w:rPr>
                <w:noProof/>
                <w:webHidden/>
              </w:rPr>
              <w:tab/>
            </w:r>
            <w:r w:rsidR="00710A0F">
              <w:rPr>
                <w:noProof/>
                <w:webHidden/>
              </w:rPr>
              <w:fldChar w:fldCharType="begin"/>
            </w:r>
            <w:r w:rsidR="00710A0F">
              <w:rPr>
                <w:noProof/>
                <w:webHidden/>
              </w:rPr>
              <w:instrText xml:space="preserve"> PAGEREF _Toc7447947 \h </w:instrText>
            </w:r>
            <w:r w:rsidR="00710A0F">
              <w:rPr>
                <w:noProof/>
                <w:webHidden/>
              </w:rPr>
            </w:r>
            <w:r w:rsidR="00710A0F">
              <w:rPr>
                <w:noProof/>
                <w:webHidden/>
              </w:rPr>
              <w:fldChar w:fldCharType="separate"/>
            </w:r>
            <w:r w:rsidR="00710A0F">
              <w:rPr>
                <w:noProof/>
                <w:webHidden/>
              </w:rPr>
              <w:t>135</w:t>
            </w:r>
            <w:r w:rsidR="00710A0F">
              <w:rPr>
                <w:noProof/>
                <w:webHidden/>
              </w:rPr>
              <w:fldChar w:fldCharType="end"/>
            </w:r>
          </w:hyperlink>
        </w:p>
        <w:p w14:paraId="2F9C1024" w14:textId="77777777" w:rsidR="00710A0F" w:rsidRDefault="000C4795">
          <w:pPr>
            <w:pStyle w:val="12"/>
            <w:tabs>
              <w:tab w:val="left" w:pos="440"/>
            </w:tabs>
            <w:rPr>
              <w:rFonts w:asciiTheme="minorHAnsi" w:eastAsiaTheme="minorEastAsia" w:hAnsiTheme="minorHAnsi"/>
              <w:b w:val="0"/>
              <w:bCs w:val="0"/>
              <w:caps w:val="0"/>
              <w:noProof/>
              <w:sz w:val="22"/>
              <w:szCs w:val="22"/>
              <w:lang w:eastAsia="ru-RU"/>
            </w:rPr>
          </w:pPr>
          <w:hyperlink w:anchor="_Toc7447948" w:history="1">
            <w:r w:rsidR="00710A0F" w:rsidRPr="009470AE">
              <w:rPr>
                <w:rStyle w:val="af1"/>
                <w:noProof/>
              </w:rPr>
              <w:t>2.</w:t>
            </w:r>
            <w:r w:rsidR="00710A0F">
              <w:rPr>
                <w:rFonts w:asciiTheme="minorHAnsi" w:eastAsiaTheme="minorEastAsia" w:hAnsiTheme="minorHAnsi"/>
                <w:b w:val="0"/>
                <w:bCs w:val="0"/>
                <w:caps w:val="0"/>
                <w:noProof/>
                <w:sz w:val="22"/>
                <w:szCs w:val="22"/>
                <w:lang w:eastAsia="ru-RU"/>
              </w:rPr>
              <w:tab/>
            </w:r>
            <w:r w:rsidR="00710A0F" w:rsidRPr="009470AE">
              <w:rPr>
                <w:rStyle w:val="af1"/>
                <w:noProof/>
              </w:rPr>
              <w:t>ТЕМА ГОДА: НАЦИОНАЛЬНЫЙ ПЛАН РАЗВИТИЯ КОНКУРЕНЦИИИ В РОССИЙСКОЙ ФЕДЕРАЦИИ КАК ОСНОВА РАЗВИТИЯ РОССИЙСКОЙ ЭКОНОМИКИ</w:t>
            </w:r>
            <w:r w:rsidR="00710A0F">
              <w:rPr>
                <w:noProof/>
                <w:webHidden/>
              </w:rPr>
              <w:tab/>
            </w:r>
            <w:r w:rsidR="00710A0F">
              <w:rPr>
                <w:noProof/>
                <w:webHidden/>
              </w:rPr>
              <w:fldChar w:fldCharType="begin"/>
            </w:r>
            <w:r w:rsidR="00710A0F">
              <w:rPr>
                <w:noProof/>
                <w:webHidden/>
              </w:rPr>
              <w:instrText xml:space="preserve"> PAGEREF _Toc7447948 \h </w:instrText>
            </w:r>
            <w:r w:rsidR="00710A0F">
              <w:rPr>
                <w:noProof/>
                <w:webHidden/>
              </w:rPr>
            </w:r>
            <w:r w:rsidR="00710A0F">
              <w:rPr>
                <w:noProof/>
                <w:webHidden/>
              </w:rPr>
              <w:fldChar w:fldCharType="separate"/>
            </w:r>
            <w:r w:rsidR="00710A0F">
              <w:rPr>
                <w:noProof/>
                <w:webHidden/>
              </w:rPr>
              <w:t>140</w:t>
            </w:r>
            <w:r w:rsidR="00710A0F">
              <w:rPr>
                <w:noProof/>
                <w:webHidden/>
              </w:rPr>
              <w:fldChar w:fldCharType="end"/>
            </w:r>
          </w:hyperlink>
        </w:p>
        <w:p w14:paraId="112409AD"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50" w:history="1">
            <w:r w:rsidR="00710A0F" w:rsidRPr="009470AE">
              <w:rPr>
                <w:rStyle w:val="af1"/>
                <w:noProof/>
              </w:rPr>
              <w:t>2.1.</w:t>
            </w:r>
            <w:r w:rsidR="00710A0F">
              <w:rPr>
                <w:rFonts w:eastAsiaTheme="minorEastAsia"/>
                <w:b w:val="0"/>
                <w:bCs w:val="0"/>
                <w:noProof/>
                <w:sz w:val="22"/>
                <w:szCs w:val="22"/>
                <w:lang w:eastAsia="ru-RU"/>
              </w:rPr>
              <w:tab/>
            </w:r>
            <w:r w:rsidR="00710A0F" w:rsidRPr="009470AE">
              <w:rPr>
                <w:rStyle w:val="af1"/>
                <w:noProof/>
              </w:rPr>
              <w:t>Основные направления государственной политики по развитию конкуренции</w:t>
            </w:r>
            <w:r w:rsidR="00710A0F">
              <w:rPr>
                <w:noProof/>
                <w:webHidden/>
              </w:rPr>
              <w:tab/>
            </w:r>
            <w:r w:rsidR="00710A0F">
              <w:rPr>
                <w:noProof/>
                <w:webHidden/>
              </w:rPr>
              <w:fldChar w:fldCharType="begin"/>
            </w:r>
            <w:r w:rsidR="00710A0F">
              <w:rPr>
                <w:noProof/>
                <w:webHidden/>
              </w:rPr>
              <w:instrText xml:space="preserve"> PAGEREF _Toc7447950 \h </w:instrText>
            </w:r>
            <w:r w:rsidR="00710A0F">
              <w:rPr>
                <w:noProof/>
                <w:webHidden/>
              </w:rPr>
            </w:r>
            <w:r w:rsidR="00710A0F">
              <w:rPr>
                <w:noProof/>
                <w:webHidden/>
              </w:rPr>
              <w:fldChar w:fldCharType="separate"/>
            </w:r>
            <w:r w:rsidR="00710A0F">
              <w:rPr>
                <w:noProof/>
                <w:webHidden/>
              </w:rPr>
              <w:t>140</w:t>
            </w:r>
            <w:r w:rsidR="00710A0F">
              <w:rPr>
                <w:noProof/>
                <w:webHidden/>
              </w:rPr>
              <w:fldChar w:fldCharType="end"/>
            </w:r>
          </w:hyperlink>
        </w:p>
        <w:p w14:paraId="2E93E819"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51" w:history="1">
            <w:r w:rsidR="00710A0F" w:rsidRPr="009470AE">
              <w:rPr>
                <w:rStyle w:val="af1"/>
                <w:noProof/>
              </w:rPr>
              <w:t>2.2.</w:t>
            </w:r>
            <w:r w:rsidR="00710A0F">
              <w:rPr>
                <w:rFonts w:eastAsiaTheme="minorEastAsia"/>
                <w:b w:val="0"/>
                <w:bCs w:val="0"/>
                <w:noProof/>
                <w:sz w:val="22"/>
                <w:szCs w:val="22"/>
                <w:lang w:eastAsia="ru-RU"/>
              </w:rPr>
              <w:tab/>
            </w:r>
            <w:r w:rsidR="00710A0F" w:rsidRPr="009470AE">
              <w:rPr>
                <w:rStyle w:val="af1"/>
                <w:noProof/>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r w:rsidR="00710A0F">
              <w:rPr>
                <w:noProof/>
                <w:webHidden/>
              </w:rPr>
              <w:tab/>
            </w:r>
            <w:r w:rsidR="00710A0F">
              <w:rPr>
                <w:noProof/>
                <w:webHidden/>
              </w:rPr>
              <w:fldChar w:fldCharType="begin"/>
            </w:r>
            <w:r w:rsidR="00710A0F">
              <w:rPr>
                <w:noProof/>
                <w:webHidden/>
              </w:rPr>
              <w:instrText xml:space="preserve"> PAGEREF _Toc7447951 \h </w:instrText>
            </w:r>
            <w:r w:rsidR="00710A0F">
              <w:rPr>
                <w:noProof/>
                <w:webHidden/>
              </w:rPr>
            </w:r>
            <w:r w:rsidR="00710A0F">
              <w:rPr>
                <w:noProof/>
                <w:webHidden/>
              </w:rPr>
              <w:fldChar w:fldCharType="separate"/>
            </w:r>
            <w:r w:rsidR="00710A0F">
              <w:rPr>
                <w:noProof/>
                <w:webHidden/>
              </w:rPr>
              <w:t>154</w:t>
            </w:r>
            <w:r w:rsidR="00710A0F">
              <w:rPr>
                <w:noProof/>
                <w:webHidden/>
              </w:rPr>
              <w:fldChar w:fldCharType="end"/>
            </w:r>
          </w:hyperlink>
        </w:p>
        <w:p w14:paraId="7B3BCE09"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52" w:history="1">
            <w:r w:rsidR="00710A0F" w:rsidRPr="009470AE">
              <w:rPr>
                <w:rStyle w:val="af1"/>
                <w:noProof/>
              </w:rPr>
              <w:t>2.3.</w:t>
            </w:r>
            <w:r w:rsidR="00710A0F">
              <w:rPr>
                <w:rFonts w:eastAsiaTheme="minorEastAsia"/>
                <w:b w:val="0"/>
                <w:bCs w:val="0"/>
                <w:noProof/>
                <w:sz w:val="22"/>
                <w:szCs w:val="22"/>
                <w:lang w:eastAsia="ru-RU"/>
              </w:rPr>
              <w:tab/>
            </w:r>
            <w:r w:rsidR="00710A0F" w:rsidRPr="009470AE">
              <w:rPr>
                <w:rStyle w:val="af1"/>
                <w:noProof/>
              </w:rPr>
              <w:t>Оценка состояния конкуренции в субъектах Российской Федерации</w:t>
            </w:r>
            <w:r w:rsidR="00710A0F">
              <w:rPr>
                <w:noProof/>
                <w:webHidden/>
              </w:rPr>
              <w:tab/>
            </w:r>
            <w:r w:rsidR="00710A0F">
              <w:rPr>
                <w:noProof/>
                <w:webHidden/>
              </w:rPr>
              <w:fldChar w:fldCharType="begin"/>
            </w:r>
            <w:r w:rsidR="00710A0F">
              <w:rPr>
                <w:noProof/>
                <w:webHidden/>
              </w:rPr>
              <w:instrText xml:space="preserve"> PAGEREF _Toc7447952 \h </w:instrText>
            </w:r>
            <w:r w:rsidR="00710A0F">
              <w:rPr>
                <w:noProof/>
                <w:webHidden/>
              </w:rPr>
            </w:r>
            <w:r w:rsidR="00710A0F">
              <w:rPr>
                <w:noProof/>
                <w:webHidden/>
              </w:rPr>
              <w:fldChar w:fldCharType="separate"/>
            </w:r>
            <w:r w:rsidR="00710A0F">
              <w:rPr>
                <w:noProof/>
                <w:webHidden/>
              </w:rPr>
              <w:t>173</w:t>
            </w:r>
            <w:r w:rsidR="00710A0F">
              <w:rPr>
                <w:noProof/>
                <w:webHidden/>
              </w:rPr>
              <w:fldChar w:fldCharType="end"/>
            </w:r>
          </w:hyperlink>
        </w:p>
        <w:p w14:paraId="405C2FFF" w14:textId="77777777" w:rsidR="00710A0F" w:rsidRDefault="000C4795">
          <w:pPr>
            <w:pStyle w:val="31"/>
            <w:tabs>
              <w:tab w:val="left" w:pos="1100"/>
              <w:tab w:val="right" w:leader="dot" w:pos="9344"/>
            </w:tabs>
            <w:rPr>
              <w:rFonts w:eastAsiaTheme="minorEastAsia"/>
              <w:noProof/>
              <w:sz w:val="22"/>
              <w:szCs w:val="22"/>
              <w:lang w:eastAsia="ru-RU"/>
            </w:rPr>
          </w:pPr>
          <w:hyperlink w:anchor="_Toc7447957" w:history="1">
            <w:r w:rsidR="00710A0F" w:rsidRPr="009470AE">
              <w:rPr>
                <w:rStyle w:val="af1"/>
                <w:noProof/>
              </w:rPr>
              <w:t>2.3.1.</w:t>
            </w:r>
            <w:r w:rsidR="00710A0F">
              <w:rPr>
                <w:rFonts w:eastAsiaTheme="minorEastAsia"/>
                <w:noProof/>
                <w:sz w:val="22"/>
                <w:szCs w:val="22"/>
                <w:lang w:eastAsia="ru-RU"/>
              </w:rPr>
              <w:tab/>
            </w:r>
            <w:r w:rsidR="00710A0F" w:rsidRPr="009470AE">
              <w:rPr>
                <w:rStyle w:val="af1"/>
                <w:noProof/>
              </w:rPr>
              <w:t>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итогам заседания Государственного совета Российской Федерации</w:t>
            </w:r>
            <w:r w:rsidR="00710A0F">
              <w:rPr>
                <w:noProof/>
                <w:webHidden/>
              </w:rPr>
              <w:tab/>
            </w:r>
            <w:r w:rsidR="00710A0F">
              <w:rPr>
                <w:noProof/>
                <w:webHidden/>
              </w:rPr>
              <w:fldChar w:fldCharType="begin"/>
            </w:r>
            <w:r w:rsidR="00710A0F">
              <w:rPr>
                <w:noProof/>
                <w:webHidden/>
              </w:rPr>
              <w:instrText xml:space="preserve"> PAGEREF _Toc7447957 \h </w:instrText>
            </w:r>
            <w:r w:rsidR="00710A0F">
              <w:rPr>
                <w:noProof/>
                <w:webHidden/>
              </w:rPr>
            </w:r>
            <w:r w:rsidR="00710A0F">
              <w:rPr>
                <w:noProof/>
                <w:webHidden/>
              </w:rPr>
              <w:fldChar w:fldCharType="separate"/>
            </w:r>
            <w:r w:rsidR="00710A0F">
              <w:rPr>
                <w:noProof/>
                <w:webHidden/>
              </w:rPr>
              <w:t>173</w:t>
            </w:r>
            <w:r w:rsidR="00710A0F">
              <w:rPr>
                <w:noProof/>
                <w:webHidden/>
              </w:rPr>
              <w:fldChar w:fldCharType="end"/>
            </w:r>
          </w:hyperlink>
        </w:p>
        <w:p w14:paraId="2BAA25E0" w14:textId="77777777" w:rsidR="00710A0F" w:rsidRDefault="000C4795">
          <w:pPr>
            <w:pStyle w:val="31"/>
            <w:tabs>
              <w:tab w:val="left" w:pos="1100"/>
              <w:tab w:val="right" w:leader="dot" w:pos="9344"/>
            </w:tabs>
            <w:rPr>
              <w:rFonts w:eastAsiaTheme="minorEastAsia"/>
              <w:noProof/>
              <w:sz w:val="22"/>
              <w:szCs w:val="22"/>
              <w:lang w:eastAsia="ru-RU"/>
            </w:rPr>
          </w:pPr>
          <w:hyperlink w:anchor="_Toc7447958" w:history="1">
            <w:r w:rsidR="00710A0F" w:rsidRPr="009470AE">
              <w:rPr>
                <w:rStyle w:val="af1"/>
                <w:noProof/>
              </w:rPr>
              <w:t>2.3.2.</w:t>
            </w:r>
            <w:r w:rsidR="00710A0F">
              <w:rPr>
                <w:rFonts w:eastAsiaTheme="minorEastAsia"/>
                <w:noProof/>
                <w:sz w:val="22"/>
                <w:szCs w:val="22"/>
                <w:lang w:eastAsia="ru-RU"/>
              </w:rPr>
              <w:tab/>
            </w:r>
            <w:r w:rsidR="00710A0F" w:rsidRPr="009470AE">
              <w:rPr>
                <w:rStyle w:val="af1"/>
                <w:noProof/>
              </w:rPr>
              <w:t>Анализ докладов субъектов Российской Федерации о состоянии и развитии конкурентной среды на рынках товаров и услуг региона</w:t>
            </w:r>
            <w:r w:rsidR="00710A0F">
              <w:rPr>
                <w:noProof/>
                <w:webHidden/>
              </w:rPr>
              <w:tab/>
            </w:r>
            <w:r w:rsidR="00710A0F">
              <w:rPr>
                <w:noProof/>
                <w:webHidden/>
              </w:rPr>
              <w:fldChar w:fldCharType="begin"/>
            </w:r>
            <w:r w:rsidR="00710A0F">
              <w:rPr>
                <w:noProof/>
                <w:webHidden/>
              </w:rPr>
              <w:instrText xml:space="preserve"> PAGEREF _Toc7447958 \h </w:instrText>
            </w:r>
            <w:r w:rsidR="00710A0F">
              <w:rPr>
                <w:noProof/>
                <w:webHidden/>
              </w:rPr>
            </w:r>
            <w:r w:rsidR="00710A0F">
              <w:rPr>
                <w:noProof/>
                <w:webHidden/>
              </w:rPr>
              <w:fldChar w:fldCharType="separate"/>
            </w:r>
            <w:r w:rsidR="00710A0F">
              <w:rPr>
                <w:noProof/>
                <w:webHidden/>
              </w:rPr>
              <w:t>177</w:t>
            </w:r>
            <w:r w:rsidR="00710A0F">
              <w:rPr>
                <w:noProof/>
                <w:webHidden/>
              </w:rPr>
              <w:fldChar w:fldCharType="end"/>
            </w:r>
          </w:hyperlink>
        </w:p>
        <w:p w14:paraId="397BCCDB"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59" w:history="1">
            <w:r w:rsidR="00710A0F" w:rsidRPr="009470AE">
              <w:rPr>
                <w:rStyle w:val="af1"/>
                <w:noProof/>
              </w:rPr>
              <w:t>2.4.</w:t>
            </w:r>
            <w:r w:rsidR="00710A0F">
              <w:rPr>
                <w:rFonts w:eastAsiaTheme="minorEastAsia"/>
                <w:b w:val="0"/>
                <w:bCs w:val="0"/>
                <w:noProof/>
                <w:sz w:val="22"/>
                <w:szCs w:val="22"/>
                <w:lang w:eastAsia="ru-RU"/>
              </w:rPr>
              <w:tab/>
            </w:r>
            <w:r w:rsidR="00710A0F" w:rsidRPr="009470AE">
              <w:rPr>
                <w:rStyle w:val="af1"/>
                <w:noProof/>
              </w:rPr>
              <w:t>Конкурентная политика в национальных целях и стратегических задачах развития Российской Федерации</w:t>
            </w:r>
            <w:r w:rsidR="00710A0F">
              <w:rPr>
                <w:noProof/>
                <w:webHidden/>
              </w:rPr>
              <w:tab/>
            </w:r>
            <w:r w:rsidR="00710A0F">
              <w:rPr>
                <w:noProof/>
                <w:webHidden/>
              </w:rPr>
              <w:fldChar w:fldCharType="begin"/>
            </w:r>
            <w:r w:rsidR="00710A0F">
              <w:rPr>
                <w:noProof/>
                <w:webHidden/>
              </w:rPr>
              <w:instrText xml:space="preserve"> PAGEREF _Toc7447959 \h </w:instrText>
            </w:r>
            <w:r w:rsidR="00710A0F">
              <w:rPr>
                <w:noProof/>
                <w:webHidden/>
              </w:rPr>
            </w:r>
            <w:r w:rsidR="00710A0F">
              <w:rPr>
                <w:noProof/>
                <w:webHidden/>
              </w:rPr>
              <w:fldChar w:fldCharType="separate"/>
            </w:r>
            <w:r w:rsidR="00710A0F">
              <w:rPr>
                <w:noProof/>
                <w:webHidden/>
              </w:rPr>
              <w:t>216</w:t>
            </w:r>
            <w:r w:rsidR="00710A0F">
              <w:rPr>
                <w:noProof/>
                <w:webHidden/>
              </w:rPr>
              <w:fldChar w:fldCharType="end"/>
            </w:r>
          </w:hyperlink>
        </w:p>
        <w:p w14:paraId="5D6EB62A" w14:textId="77777777" w:rsidR="00710A0F" w:rsidRDefault="000C4795">
          <w:pPr>
            <w:pStyle w:val="12"/>
            <w:tabs>
              <w:tab w:val="left" w:pos="440"/>
            </w:tabs>
            <w:rPr>
              <w:rFonts w:asciiTheme="minorHAnsi" w:eastAsiaTheme="minorEastAsia" w:hAnsiTheme="minorHAnsi"/>
              <w:b w:val="0"/>
              <w:bCs w:val="0"/>
              <w:caps w:val="0"/>
              <w:noProof/>
              <w:sz w:val="22"/>
              <w:szCs w:val="22"/>
              <w:lang w:eastAsia="ru-RU"/>
            </w:rPr>
          </w:pPr>
          <w:hyperlink w:anchor="_Toc7447960" w:history="1">
            <w:r w:rsidR="00710A0F" w:rsidRPr="009470AE">
              <w:rPr>
                <w:rStyle w:val="af1"/>
                <w:noProof/>
              </w:rPr>
              <w:t>3.</w:t>
            </w:r>
            <w:r w:rsidR="00710A0F">
              <w:rPr>
                <w:rFonts w:asciiTheme="minorHAnsi" w:eastAsiaTheme="minorEastAsia" w:hAnsiTheme="minorHAnsi"/>
                <w:b w:val="0"/>
                <w:bCs w:val="0"/>
                <w:caps w:val="0"/>
                <w:noProof/>
                <w:sz w:val="22"/>
                <w:szCs w:val="22"/>
                <w:lang w:eastAsia="ru-RU"/>
              </w:rPr>
              <w:tab/>
            </w:r>
            <w:r w:rsidR="00710A0F" w:rsidRPr="009470AE">
              <w:rPr>
                <w:rStyle w:val="af1"/>
                <w:noProof/>
              </w:rPr>
              <w:t>ОСНОВНЫЕ ПРОБЛЕМЫ, ТЕНДЕНЦИИ И ПРЕДЛОЖЕНИЯ ПО РАЗВИТИЮ КОНКУРЕНЦИИ В ОТДЕЛЬНЫХ ОТРАСЛЯХ</w:t>
            </w:r>
            <w:r w:rsidR="00710A0F">
              <w:rPr>
                <w:noProof/>
                <w:webHidden/>
              </w:rPr>
              <w:tab/>
            </w:r>
            <w:r w:rsidR="00710A0F">
              <w:rPr>
                <w:noProof/>
                <w:webHidden/>
              </w:rPr>
              <w:fldChar w:fldCharType="begin"/>
            </w:r>
            <w:r w:rsidR="00710A0F">
              <w:rPr>
                <w:noProof/>
                <w:webHidden/>
              </w:rPr>
              <w:instrText xml:space="preserve"> PAGEREF _Toc7447960 \h </w:instrText>
            </w:r>
            <w:r w:rsidR="00710A0F">
              <w:rPr>
                <w:noProof/>
                <w:webHidden/>
              </w:rPr>
            </w:r>
            <w:r w:rsidR="00710A0F">
              <w:rPr>
                <w:noProof/>
                <w:webHidden/>
              </w:rPr>
              <w:fldChar w:fldCharType="separate"/>
            </w:r>
            <w:r w:rsidR="00710A0F">
              <w:rPr>
                <w:noProof/>
                <w:webHidden/>
              </w:rPr>
              <w:t>220</w:t>
            </w:r>
            <w:r w:rsidR="00710A0F">
              <w:rPr>
                <w:noProof/>
                <w:webHidden/>
              </w:rPr>
              <w:fldChar w:fldCharType="end"/>
            </w:r>
          </w:hyperlink>
        </w:p>
        <w:p w14:paraId="7B4F4378"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62" w:history="1">
            <w:r w:rsidR="00710A0F" w:rsidRPr="009470AE">
              <w:rPr>
                <w:rStyle w:val="af1"/>
                <w:noProof/>
              </w:rPr>
              <w:t>3.1.</w:t>
            </w:r>
            <w:r w:rsidR="00710A0F">
              <w:rPr>
                <w:rFonts w:eastAsiaTheme="minorEastAsia"/>
                <w:b w:val="0"/>
                <w:bCs w:val="0"/>
                <w:noProof/>
                <w:sz w:val="22"/>
                <w:szCs w:val="22"/>
                <w:lang w:eastAsia="ru-RU"/>
              </w:rPr>
              <w:tab/>
            </w:r>
            <w:r w:rsidR="00710A0F" w:rsidRPr="009470AE">
              <w:rPr>
                <w:rStyle w:val="af1"/>
                <w:noProof/>
              </w:rPr>
              <w:t>В сфере здравоохранения</w:t>
            </w:r>
            <w:r w:rsidR="00710A0F">
              <w:rPr>
                <w:noProof/>
                <w:webHidden/>
              </w:rPr>
              <w:tab/>
            </w:r>
            <w:r w:rsidR="00710A0F">
              <w:rPr>
                <w:noProof/>
                <w:webHidden/>
              </w:rPr>
              <w:fldChar w:fldCharType="begin"/>
            </w:r>
            <w:r w:rsidR="00710A0F">
              <w:rPr>
                <w:noProof/>
                <w:webHidden/>
              </w:rPr>
              <w:instrText xml:space="preserve"> PAGEREF _Toc7447962 \h </w:instrText>
            </w:r>
            <w:r w:rsidR="00710A0F">
              <w:rPr>
                <w:noProof/>
                <w:webHidden/>
              </w:rPr>
            </w:r>
            <w:r w:rsidR="00710A0F">
              <w:rPr>
                <w:noProof/>
                <w:webHidden/>
              </w:rPr>
              <w:fldChar w:fldCharType="separate"/>
            </w:r>
            <w:r w:rsidR="00710A0F">
              <w:rPr>
                <w:noProof/>
                <w:webHidden/>
              </w:rPr>
              <w:t>220</w:t>
            </w:r>
            <w:r w:rsidR="00710A0F">
              <w:rPr>
                <w:noProof/>
                <w:webHidden/>
              </w:rPr>
              <w:fldChar w:fldCharType="end"/>
            </w:r>
          </w:hyperlink>
        </w:p>
        <w:p w14:paraId="2ADC471C" w14:textId="77777777" w:rsidR="00710A0F" w:rsidRDefault="000C4795">
          <w:pPr>
            <w:pStyle w:val="31"/>
            <w:tabs>
              <w:tab w:val="left" w:pos="1100"/>
              <w:tab w:val="right" w:leader="dot" w:pos="9344"/>
            </w:tabs>
            <w:rPr>
              <w:rFonts w:eastAsiaTheme="minorEastAsia"/>
              <w:noProof/>
              <w:sz w:val="22"/>
              <w:szCs w:val="22"/>
              <w:lang w:eastAsia="ru-RU"/>
            </w:rPr>
          </w:pPr>
          <w:hyperlink w:anchor="_Toc7447965" w:history="1">
            <w:r w:rsidR="00710A0F" w:rsidRPr="009470AE">
              <w:rPr>
                <w:rStyle w:val="af1"/>
                <w:noProof/>
              </w:rPr>
              <w:t>3.1.1.</w:t>
            </w:r>
            <w:r w:rsidR="00710A0F">
              <w:rPr>
                <w:rFonts w:eastAsiaTheme="minorEastAsia"/>
                <w:noProof/>
                <w:sz w:val="22"/>
                <w:szCs w:val="22"/>
                <w:lang w:eastAsia="ru-RU"/>
              </w:rPr>
              <w:tab/>
            </w:r>
            <w:r w:rsidR="00710A0F" w:rsidRPr="009470AE">
              <w:rPr>
                <w:rStyle w:val="af1"/>
                <w:noProof/>
              </w:rPr>
              <w:t>Состояние конкуренции: тенденции и проблемы</w:t>
            </w:r>
            <w:r w:rsidR="00710A0F">
              <w:rPr>
                <w:noProof/>
                <w:webHidden/>
              </w:rPr>
              <w:tab/>
            </w:r>
            <w:r w:rsidR="00710A0F">
              <w:rPr>
                <w:noProof/>
                <w:webHidden/>
              </w:rPr>
              <w:fldChar w:fldCharType="begin"/>
            </w:r>
            <w:r w:rsidR="00710A0F">
              <w:rPr>
                <w:noProof/>
                <w:webHidden/>
              </w:rPr>
              <w:instrText xml:space="preserve"> PAGEREF _Toc7447965 \h </w:instrText>
            </w:r>
            <w:r w:rsidR="00710A0F">
              <w:rPr>
                <w:noProof/>
                <w:webHidden/>
              </w:rPr>
            </w:r>
            <w:r w:rsidR="00710A0F">
              <w:rPr>
                <w:noProof/>
                <w:webHidden/>
              </w:rPr>
              <w:fldChar w:fldCharType="separate"/>
            </w:r>
            <w:r w:rsidR="00710A0F">
              <w:rPr>
                <w:noProof/>
                <w:webHidden/>
              </w:rPr>
              <w:t>220</w:t>
            </w:r>
            <w:r w:rsidR="00710A0F">
              <w:rPr>
                <w:noProof/>
                <w:webHidden/>
              </w:rPr>
              <w:fldChar w:fldCharType="end"/>
            </w:r>
          </w:hyperlink>
        </w:p>
        <w:p w14:paraId="5FA0C208" w14:textId="77777777" w:rsidR="00710A0F" w:rsidRDefault="000C4795">
          <w:pPr>
            <w:pStyle w:val="31"/>
            <w:tabs>
              <w:tab w:val="left" w:pos="1100"/>
              <w:tab w:val="right" w:leader="dot" w:pos="9344"/>
            </w:tabs>
            <w:rPr>
              <w:rFonts w:eastAsiaTheme="minorEastAsia"/>
              <w:noProof/>
              <w:sz w:val="22"/>
              <w:szCs w:val="22"/>
              <w:lang w:eastAsia="ru-RU"/>
            </w:rPr>
          </w:pPr>
          <w:hyperlink w:anchor="_Toc7447966" w:history="1">
            <w:r w:rsidR="00710A0F" w:rsidRPr="009470AE">
              <w:rPr>
                <w:rStyle w:val="af1"/>
                <w:noProof/>
              </w:rPr>
              <w:t>3.1.2.</w:t>
            </w:r>
            <w:r w:rsidR="00710A0F">
              <w:rPr>
                <w:rFonts w:eastAsiaTheme="minorEastAsia"/>
                <w:noProof/>
                <w:sz w:val="22"/>
                <w:szCs w:val="22"/>
                <w:lang w:eastAsia="ru-RU"/>
              </w:rPr>
              <w:tab/>
            </w:r>
            <w:r w:rsidR="00710A0F" w:rsidRPr="009470AE">
              <w:rPr>
                <w:rStyle w:val="af1"/>
                <w:noProof/>
              </w:rPr>
              <w:t>Достигнутые результаты развития конкуренции и предложения по развитию конкуренции</w:t>
            </w:r>
            <w:r w:rsidR="00710A0F">
              <w:rPr>
                <w:noProof/>
                <w:webHidden/>
              </w:rPr>
              <w:tab/>
            </w:r>
            <w:r w:rsidR="00710A0F">
              <w:rPr>
                <w:noProof/>
                <w:webHidden/>
              </w:rPr>
              <w:fldChar w:fldCharType="begin"/>
            </w:r>
            <w:r w:rsidR="00710A0F">
              <w:rPr>
                <w:noProof/>
                <w:webHidden/>
              </w:rPr>
              <w:instrText xml:space="preserve"> PAGEREF _Toc7447966 \h </w:instrText>
            </w:r>
            <w:r w:rsidR="00710A0F">
              <w:rPr>
                <w:noProof/>
                <w:webHidden/>
              </w:rPr>
            </w:r>
            <w:r w:rsidR="00710A0F">
              <w:rPr>
                <w:noProof/>
                <w:webHidden/>
              </w:rPr>
              <w:fldChar w:fldCharType="separate"/>
            </w:r>
            <w:r w:rsidR="00710A0F">
              <w:rPr>
                <w:noProof/>
                <w:webHidden/>
              </w:rPr>
              <w:t>231</w:t>
            </w:r>
            <w:r w:rsidR="00710A0F">
              <w:rPr>
                <w:noProof/>
                <w:webHidden/>
              </w:rPr>
              <w:fldChar w:fldCharType="end"/>
            </w:r>
          </w:hyperlink>
        </w:p>
        <w:p w14:paraId="354083F9"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67" w:history="1">
            <w:r w:rsidR="00710A0F" w:rsidRPr="009470AE">
              <w:rPr>
                <w:rStyle w:val="af1"/>
                <w:noProof/>
              </w:rPr>
              <w:t>3.2.</w:t>
            </w:r>
            <w:r w:rsidR="00710A0F">
              <w:rPr>
                <w:rFonts w:eastAsiaTheme="minorEastAsia"/>
                <w:b w:val="0"/>
                <w:bCs w:val="0"/>
                <w:noProof/>
                <w:sz w:val="22"/>
                <w:szCs w:val="22"/>
                <w:lang w:eastAsia="ru-RU"/>
              </w:rPr>
              <w:tab/>
            </w:r>
            <w:r w:rsidR="00710A0F" w:rsidRPr="009470AE">
              <w:rPr>
                <w:rStyle w:val="af1"/>
                <w:noProof/>
              </w:rPr>
              <w:t>В сфере образования</w:t>
            </w:r>
            <w:r w:rsidR="00710A0F">
              <w:rPr>
                <w:noProof/>
                <w:webHidden/>
              </w:rPr>
              <w:tab/>
            </w:r>
            <w:r w:rsidR="00710A0F">
              <w:rPr>
                <w:noProof/>
                <w:webHidden/>
              </w:rPr>
              <w:fldChar w:fldCharType="begin"/>
            </w:r>
            <w:r w:rsidR="00710A0F">
              <w:rPr>
                <w:noProof/>
                <w:webHidden/>
              </w:rPr>
              <w:instrText xml:space="preserve"> PAGEREF _Toc7447967 \h </w:instrText>
            </w:r>
            <w:r w:rsidR="00710A0F">
              <w:rPr>
                <w:noProof/>
                <w:webHidden/>
              </w:rPr>
            </w:r>
            <w:r w:rsidR="00710A0F">
              <w:rPr>
                <w:noProof/>
                <w:webHidden/>
              </w:rPr>
              <w:fldChar w:fldCharType="separate"/>
            </w:r>
            <w:r w:rsidR="00710A0F">
              <w:rPr>
                <w:noProof/>
                <w:webHidden/>
              </w:rPr>
              <w:t>239</w:t>
            </w:r>
            <w:r w:rsidR="00710A0F">
              <w:rPr>
                <w:noProof/>
                <w:webHidden/>
              </w:rPr>
              <w:fldChar w:fldCharType="end"/>
            </w:r>
          </w:hyperlink>
        </w:p>
        <w:p w14:paraId="0713C3D9" w14:textId="77777777" w:rsidR="00710A0F" w:rsidRDefault="000C4795">
          <w:pPr>
            <w:pStyle w:val="31"/>
            <w:tabs>
              <w:tab w:val="left" w:pos="1100"/>
              <w:tab w:val="right" w:leader="dot" w:pos="9344"/>
            </w:tabs>
            <w:rPr>
              <w:rFonts w:eastAsiaTheme="minorEastAsia"/>
              <w:noProof/>
              <w:sz w:val="22"/>
              <w:szCs w:val="22"/>
              <w:lang w:eastAsia="ru-RU"/>
            </w:rPr>
          </w:pPr>
          <w:hyperlink w:anchor="_Toc7447970" w:history="1">
            <w:r w:rsidR="00710A0F" w:rsidRPr="009470AE">
              <w:rPr>
                <w:rStyle w:val="af1"/>
                <w:noProof/>
              </w:rPr>
              <w:t>3.2.1.</w:t>
            </w:r>
            <w:r w:rsidR="00710A0F">
              <w:rPr>
                <w:rFonts w:eastAsiaTheme="minorEastAsia"/>
                <w:noProof/>
                <w:sz w:val="22"/>
                <w:szCs w:val="22"/>
                <w:lang w:eastAsia="ru-RU"/>
              </w:rPr>
              <w:tab/>
            </w:r>
            <w:r w:rsidR="00710A0F" w:rsidRPr="009470AE">
              <w:rPr>
                <w:rStyle w:val="af1"/>
                <w:noProof/>
              </w:rPr>
              <w:t>Состояние конкуренции: тенденции и проблемы</w:t>
            </w:r>
            <w:r w:rsidR="00710A0F">
              <w:rPr>
                <w:noProof/>
                <w:webHidden/>
              </w:rPr>
              <w:tab/>
            </w:r>
            <w:r w:rsidR="00710A0F">
              <w:rPr>
                <w:noProof/>
                <w:webHidden/>
              </w:rPr>
              <w:fldChar w:fldCharType="begin"/>
            </w:r>
            <w:r w:rsidR="00710A0F">
              <w:rPr>
                <w:noProof/>
                <w:webHidden/>
              </w:rPr>
              <w:instrText xml:space="preserve"> PAGEREF _Toc7447970 \h </w:instrText>
            </w:r>
            <w:r w:rsidR="00710A0F">
              <w:rPr>
                <w:noProof/>
                <w:webHidden/>
              </w:rPr>
            </w:r>
            <w:r w:rsidR="00710A0F">
              <w:rPr>
                <w:noProof/>
                <w:webHidden/>
              </w:rPr>
              <w:fldChar w:fldCharType="separate"/>
            </w:r>
            <w:r w:rsidR="00710A0F">
              <w:rPr>
                <w:noProof/>
                <w:webHidden/>
              </w:rPr>
              <w:t>239</w:t>
            </w:r>
            <w:r w:rsidR="00710A0F">
              <w:rPr>
                <w:noProof/>
                <w:webHidden/>
              </w:rPr>
              <w:fldChar w:fldCharType="end"/>
            </w:r>
          </w:hyperlink>
        </w:p>
        <w:p w14:paraId="1C4D0DE3" w14:textId="77777777" w:rsidR="00710A0F" w:rsidRDefault="000C4795">
          <w:pPr>
            <w:pStyle w:val="31"/>
            <w:tabs>
              <w:tab w:val="left" w:pos="1100"/>
              <w:tab w:val="right" w:leader="dot" w:pos="9344"/>
            </w:tabs>
            <w:rPr>
              <w:rFonts w:eastAsiaTheme="minorEastAsia"/>
              <w:noProof/>
              <w:sz w:val="22"/>
              <w:szCs w:val="22"/>
              <w:lang w:eastAsia="ru-RU"/>
            </w:rPr>
          </w:pPr>
          <w:hyperlink w:anchor="_Toc7447971" w:history="1">
            <w:r w:rsidR="00710A0F" w:rsidRPr="009470AE">
              <w:rPr>
                <w:rStyle w:val="af1"/>
                <w:noProof/>
              </w:rPr>
              <w:t>3.2.2.</w:t>
            </w:r>
            <w:r w:rsidR="00710A0F">
              <w:rPr>
                <w:rFonts w:eastAsiaTheme="minorEastAsia"/>
                <w:noProof/>
                <w:sz w:val="22"/>
                <w:szCs w:val="22"/>
                <w:lang w:eastAsia="ru-RU"/>
              </w:rPr>
              <w:tab/>
            </w:r>
            <w:r w:rsidR="00710A0F" w:rsidRPr="009470AE">
              <w:rPr>
                <w:rStyle w:val="af1"/>
                <w:noProof/>
              </w:rPr>
              <w:t>Достигнутые результаты развития конкуренции и предложения по развитию конкуренции</w:t>
            </w:r>
            <w:r w:rsidR="00710A0F">
              <w:rPr>
                <w:noProof/>
                <w:webHidden/>
              </w:rPr>
              <w:tab/>
            </w:r>
            <w:r w:rsidR="00710A0F">
              <w:rPr>
                <w:noProof/>
                <w:webHidden/>
              </w:rPr>
              <w:fldChar w:fldCharType="begin"/>
            </w:r>
            <w:r w:rsidR="00710A0F">
              <w:rPr>
                <w:noProof/>
                <w:webHidden/>
              </w:rPr>
              <w:instrText xml:space="preserve"> PAGEREF _Toc7447971 \h </w:instrText>
            </w:r>
            <w:r w:rsidR="00710A0F">
              <w:rPr>
                <w:noProof/>
                <w:webHidden/>
              </w:rPr>
            </w:r>
            <w:r w:rsidR="00710A0F">
              <w:rPr>
                <w:noProof/>
                <w:webHidden/>
              </w:rPr>
              <w:fldChar w:fldCharType="separate"/>
            </w:r>
            <w:r w:rsidR="00710A0F">
              <w:rPr>
                <w:noProof/>
                <w:webHidden/>
              </w:rPr>
              <w:t>244</w:t>
            </w:r>
            <w:r w:rsidR="00710A0F">
              <w:rPr>
                <w:noProof/>
                <w:webHidden/>
              </w:rPr>
              <w:fldChar w:fldCharType="end"/>
            </w:r>
          </w:hyperlink>
        </w:p>
        <w:p w14:paraId="531A7DD4"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72" w:history="1">
            <w:r w:rsidR="00710A0F" w:rsidRPr="009470AE">
              <w:rPr>
                <w:rStyle w:val="af1"/>
                <w:noProof/>
              </w:rPr>
              <w:t>3.3.</w:t>
            </w:r>
            <w:r w:rsidR="00710A0F">
              <w:rPr>
                <w:rFonts w:eastAsiaTheme="minorEastAsia"/>
                <w:b w:val="0"/>
                <w:bCs w:val="0"/>
                <w:noProof/>
                <w:sz w:val="22"/>
                <w:szCs w:val="22"/>
                <w:lang w:eastAsia="ru-RU"/>
              </w:rPr>
              <w:tab/>
            </w:r>
            <w:r w:rsidR="00710A0F" w:rsidRPr="009470AE">
              <w:rPr>
                <w:rStyle w:val="af1"/>
                <w:noProof/>
              </w:rPr>
              <w:t>На рынке социальных услуг</w:t>
            </w:r>
            <w:r w:rsidR="00710A0F">
              <w:rPr>
                <w:noProof/>
                <w:webHidden/>
              </w:rPr>
              <w:tab/>
            </w:r>
            <w:r w:rsidR="00710A0F">
              <w:rPr>
                <w:noProof/>
                <w:webHidden/>
              </w:rPr>
              <w:fldChar w:fldCharType="begin"/>
            </w:r>
            <w:r w:rsidR="00710A0F">
              <w:rPr>
                <w:noProof/>
                <w:webHidden/>
              </w:rPr>
              <w:instrText xml:space="preserve"> PAGEREF _Toc7447972 \h </w:instrText>
            </w:r>
            <w:r w:rsidR="00710A0F">
              <w:rPr>
                <w:noProof/>
                <w:webHidden/>
              </w:rPr>
            </w:r>
            <w:r w:rsidR="00710A0F">
              <w:rPr>
                <w:noProof/>
                <w:webHidden/>
              </w:rPr>
              <w:fldChar w:fldCharType="separate"/>
            </w:r>
            <w:r w:rsidR="00710A0F">
              <w:rPr>
                <w:noProof/>
                <w:webHidden/>
              </w:rPr>
              <w:t>246</w:t>
            </w:r>
            <w:r w:rsidR="00710A0F">
              <w:rPr>
                <w:noProof/>
                <w:webHidden/>
              </w:rPr>
              <w:fldChar w:fldCharType="end"/>
            </w:r>
          </w:hyperlink>
        </w:p>
        <w:p w14:paraId="3A5A08FB" w14:textId="77777777" w:rsidR="00710A0F" w:rsidRDefault="000C4795">
          <w:pPr>
            <w:pStyle w:val="31"/>
            <w:tabs>
              <w:tab w:val="left" w:pos="1100"/>
              <w:tab w:val="right" w:leader="dot" w:pos="9344"/>
            </w:tabs>
            <w:rPr>
              <w:rFonts w:eastAsiaTheme="minorEastAsia"/>
              <w:noProof/>
              <w:sz w:val="22"/>
              <w:szCs w:val="22"/>
              <w:lang w:eastAsia="ru-RU"/>
            </w:rPr>
          </w:pPr>
          <w:hyperlink w:anchor="_Toc7447975" w:history="1">
            <w:r w:rsidR="00710A0F" w:rsidRPr="009470AE">
              <w:rPr>
                <w:rStyle w:val="af1"/>
                <w:noProof/>
              </w:rPr>
              <w:t>3.3.1.</w:t>
            </w:r>
            <w:r w:rsidR="00710A0F">
              <w:rPr>
                <w:rFonts w:eastAsiaTheme="minorEastAsia"/>
                <w:noProof/>
                <w:sz w:val="22"/>
                <w:szCs w:val="22"/>
                <w:lang w:eastAsia="ru-RU"/>
              </w:rPr>
              <w:tab/>
            </w:r>
            <w:r w:rsidR="00710A0F" w:rsidRPr="009470AE">
              <w:rPr>
                <w:rStyle w:val="af1"/>
                <w:noProof/>
              </w:rPr>
              <w:t>Состояние конкуренции: тенденции и проблемы</w:t>
            </w:r>
            <w:r w:rsidR="00710A0F">
              <w:rPr>
                <w:noProof/>
                <w:webHidden/>
              </w:rPr>
              <w:tab/>
            </w:r>
            <w:r w:rsidR="00710A0F">
              <w:rPr>
                <w:noProof/>
                <w:webHidden/>
              </w:rPr>
              <w:fldChar w:fldCharType="begin"/>
            </w:r>
            <w:r w:rsidR="00710A0F">
              <w:rPr>
                <w:noProof/>
                <w:webHidden/>
              </w:rPr>
              <w:instrText xml:space="preserve"> PAGEREF _Toc7447975 \h </w:instrText>
            </w:r>
            <w:r w:rsidR="00710A0F">
              <w:rPr>
                <w:noProof/>
                <w:webHidden/>
              </w:rPr>
            </w:r>
            <w:r w:rsidR="00710A0F">
              <w:rPr>
                <w:noProof/>
                <w:webHidden/>
              </w:rPr>
              <w:fldChar w:fldCharType="separate"/>
            </w:r>
            <w:r w:rsidR="00710A0F">
              <w:rPr>
                <w:noProof/>
                <w:webHidden/>
              </w:rPr>
              <w:t>246</w:t>
            </w:r>
            <w:r w:rsidR="00710A0F">
              <w:rPr>
                <w:noProof/>
                <w:webHidden/>
              </w:rPr>
              <w:fldChar w:fldCharType="end"/>
            </w:r>
          </w:hyperlink>
        </w:p>
        <w:p w14:paraId="2B174C4B" w14:textId="77777777" w:rsidR="00710A0F" w:rsidRDefault="000C4795">
          <w:pPr>
            <w:pStyle w:val="31"/>
            <w:tabs>
              <w:tab w:val="left" w:pos="1100"/>
              <w:tab w:val="right" w:leader="dot" w:pos="9344"/>
            </w:tabs>
            <w:rPr>
              <w:rFonts w:eastAsiaTheme="minorEastAsia"/>
              <w:noProof/>
              <w:sz w:val="22"/>
              <w:szCs w:val="22"/>
              <w:lang w:eastAsia="ru-RU"/>
            </w:rPr>
          </w:pPr>
          <w:hyperlink w:anchor="_Toc7447976" w:history="1">
            <w:r w:rsidR="00710A0F" w:rsidRPr="009470AE">
              <w:rPr>
                <w:rStyle w:val="af1"/>
                <w:noProof/>
              </w:rPr>
              <w:t>3.3.2.</w:t>
            </w:r>
            <w:r w:rsidR="00710A0F">
              <w:rPr>
                <w:rFonts w:eastAsiaTheme="minorEastAsia"/>
                <w:noProof/>
                <w:sz w:val="22"/>
                <w:szCs w:val="22"/>
                <w:lang w:eastAsia="ru-RU"/>
              </w:rPr>
              <w:tab/>
            </w:r>
            <w:r w:rsidR="00710A0F" w:rsidRPr="009470AE">
              <w:rPr>
                <w:rStyle w:val="af1"/>
                <w:noProof/>
              </w:rPr>
              <w:t>Достигнутые результаты развития конкуренции и предложения по развитию конкуренции</w:t>
            </w:r>
            <w:r w:rsidR="00710A0F">
              <w:rPr>
                <w:noProof/>
                <w:webHidden/>
              </w:rPr>
              <w:tab/>
            </w:r>
            <w:r w:rsidR="00710A0F">
              <w:rPr>
                <w:noProof/>
                <w:webHidden/>
              </w:rPr>
              <w:fldChar w:fldCharType="begin"/>
            </w:r>
            <w:r w:rsidR="00710A0F">
              <w:rPr>
                <w:noProof/>
                <w:webHidden/>
              </w:rPr>
              <w:instrText xml:space="preserve"> PAGEREF _Toc7447976 \h </w:instrText>
            </w:r>
            <w:r w:rsidR="00710A0F">
              <w:rPr>
                <w:noProof/>
                <w:webHidden/>
              </w:rPr>
            </w:r>
            <w:r w:rsidR="00710A0F">
              <w:rPr>
                <w:noProof/>
                <w:webHidden/>
              </w:rPr>
              <w:fldChar w:fldCharType="separate"/>
            </w:r>
            <w:r w:rsidR="00710A0F">
              <w:rPr>
                <w:noProof/>
                <w:webHidden/>
              </w:rPr>
              <w:t>248</w:t>
            </w:r>
            <w:r w:rsidR="00710A0F">
              <w:rPr>
                <w:noProof/>
                <w:webHidden/>
              </w:rPr>
              <w:fldChar w:fldCharType="end"/>
            </w:r>
          </w:hyperlink>
        </w:p>
        <w:p w14:paraId="37D69B2F"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77" w:history="1">
            <w:r w:rsidR="00710A0F" w:rsidRPr="009470AE">
              <w:rPr>
                <w:rStyle w:val="af1"/>
                <w:noProof/>
              </w:rPr>
              <w:t>3.4.</w:t>
            </w:r>
            <w:r w:rsidR="00710A0F">
              <w:rPr>
                <w:rFonts w:eastAsiaTheme="minorEastAsia"/>
                <w:b w:val="0"/>
                <w:bCs w:val="0"/>
                <w:noProof/>
                <w:sz w:val="22"/>
                <w:szCs w:val="22"/>
                <w:lang w:eastAsia="ru-RU"/>
              </w:rPr>
              <w:tab/>
            </w:r>
            <w:r w:rsidR="00710A0F" w:rsidRPr="009470AE">
              <w:rPr>
                <w:rStyle w:val="af1"/>
                <w:noProof/>
              </w:rPr>
              <w:t>В сфере агропромышленного комплекса</w:t>
            </w:r>
            <w:r w:rsidR="00710A0F">
              <w:rPr>
                <w:noProof/>
                <w:webHidden/>
              </w:rPr>
              <w:tab/>
            </w:r>
            <w:r w:rsidR="00710A0F">
              <w:rPr>
                <w:noProof/>
                <w:webHidden/>
              </w:rPr>
              <w:fldChar w:fldCharType="begin"/>
            </w:r>
            <w:r w:rsidR="00710A0F">
              <w:rPr>
                <w:noProof/>
                <w:webHidden/>
              </w:rPr>
              <w:instrText xml:space="preserve"> PAGEREF _Toc7447977 \h </w:instrText>
            </w:r>
            <w:r w:rsidR="00710A0F">
              <w:rPr>
                <w:noProof/>
                <w:webHidden/>
              </w:rPr>
            </w:r>
            <w:r w:rsidR="00710A0F">
              <w:rPr>
                <w:noProof/>
                <w:webHidden/>
              </w:rPr>
              <w:fldChar w:fldCharType="separate"/>
            </w:r>
            <w:r w:rsidR="00710A0F">
              <w:rPr>
                <w:noProof/>
                <w:webHidden/>
              </w:rPr>
              <w:t>251</w:t>
            </w:r>
            <w:r w:rsidR="00710A0F">
              <w:rPr>
                <w:noProof/>
                <w:webHidden/>
              </w:rPr>
              <w:fldChar w:fldCharType="end"/>
            </w:r>
          </w:hyperlink>
        </w:p>
        <w:p w14:paraId="3F0C2DEB" w14:textId="77777777" w:rsidR="00710A0F" w:rsidRDefault="000C4795">
          <w:pPr>
            <w:pStyle w:val="31"/>
            <w:tabs>
              <w:tab w:val="left" w:pos="1100"/>
              <w:tab w:val="right" w:leader="dot" w:pos="9344"/>
            </w:tabs>
            <w:rPr>
              <w:rFonts w:eastAsiaTheme="minorEastAsia"/>
              <w:noProof/>
              <w:sz w:val="22"/>
              <w:szCs w:val="22"/>
              <w:lang w:eastAsia="ru-RU"/>
            </w:rPr>
          </w:pPr>
          <w:hyperlink w:anchor="_Toc7447980" w:history="1">
            <w:r w:rsidR="00710A0F" w:rsidRPr="009470AE">
              <w:rPr>
                <w:rStyle w:val="af1"/>
                <w:noProof/>
              </w:rPr>
              <w:t>3.4.1.</w:t>
            </w:r>
            <w:r w:rsidR="00710A0F">
              <w:rPr>
                <w:rFonts w:eastAsiaTheme="minorEastAsia"/>
                <w:noProof/>
                <w:sz w:val="22"/>
                <w:szCs w:val="22"/>
                <w:lang w:eastAsia="ru-RU"/>
              </w:rPr>
              <w:tab/>
            </w:r>
            <w:r w:rsidR="00710A0F" w:rsidRPr="009470AE">
              <w:rPr>
                <w:rStyle w:val="af1"/>
                <w:noProof/>
              </w:rPr>
              <w:t>Состояние конкуренции: тенденции и проблемы</w:t>
            </w:r>
            <w:r w:rsidR="00710A0F">
              <w:rPr>
                <w:noProof/>
                <w:webHidden/>
              </w:rPr>
              <w:tab/>
            </w:r>
            <w:r w:rsidR="00710A0F">
              <w:rPr>
                <w:noProof/>
                <w:webHidden/>
              </w:rPr>
              <w:fldChar w:fldCharType="begin"/>
            </w:r>
            <w:r w:rsidR="00710A0F">
              <w:rPr>
                <w:noProof/>
                <w:webHidden/>
              </w:rPr>
              <w:instrText xml:space="preserve"> PAGEREF _Toc7447980 \h </w:instrText>
            </w:r>
            <w:r w:rsidR="00710A0F">
              <w:rPr>
                <w:noProof/>
                <w:webHidden/>
              </w:rPr>
            </w:r>
            <w:r w:rsidR="00710A0F">
              <w:rPr>
                <w:noProof/>
                <w:webHidden/>
              </w:rPr>
              <w:fldChar w:fldCharType="separate"/>
            </w:r>
            <w:r w:rsidR="00710A0F">
              <w:rPr>
                <w:noProof/>
                <w:webHidden/>
              </w:rPr>
              <w:t>251</w:t>
            </w:r>
            <w:r w:rsidR="00710A0F">
              <w:rPr>
                <w:noProof/>
                <w:webHidden/>
              </w:rPr>
              <w:fldChar w:fldCharType="end"/>
            </w:r>
          </w:hyperlink>
        </w:p>
        <w:p w14:paraId="514A7406" w14:textId="77777777" w:rsidR="00710A0F" w:rsidRDefault="000C4795">
          <w:pPr>
            <w:pStyle w:val="31"/>
            <w:tabs>
              <w:tab w:val="left" w:pos="1100"/>
              <w:tab w:val="right" w:leader="dot" w:pos="9344"/>
            </w:tabs>
            <w:rPr>
              <w:rFonts w:eastAsiaTheme="minorEastAsia"/>
              <w:noProof/>
              <w:sz w:val="22"/>
              <w:szCs w:val="22"/>
              <w:lang w:eastAsia="ru-RU"/>
            </w:rPr>
          </w:pPr>
          <w:hyperlink w:anchor="_Toc7447981" w:history="1">
            <w:r w:rsidR="00710A0F" w:rsidRPr="009470AE">
              <w:rPr>
                <w:rStyle w:val="af1"/>
                <w:noProof/>
              </w:rPr>
              <w:t>3.4.2.</w:t>
            </w:r>
            <w:r w:rsidR="00710A0F">
              <w:rPr>
                <w:rFonts w:eastAsiaTheme="minorEastAsia"/>
                <w:noProof/>
                <w:sz w:val="22"/>
                <w:szCs w:val="22"/>
                <w:lang w:eastAsia="ru-RU"/>
              </w:rPr>
              <w:tab/>
            </w:r>
            <w:r w:rsidR="00710A0F" w:rsidRPr="009470AE">
              <w:rPr>
                <w:rStyle w:val="af1"/>
                <w:noProof/>
              </w:rPr>
              <w:t>Достигнутые результаты развития конкуренции и предложения по развитию конкуренции</w:t>
            </w:r>
            <w:r w:rsidR="00710A0F">
              <w:rPr>
                <w:noProof/>
                <w:webHidden/>
              </w:rPr>
              <w:tab/>
            </w:r>
            <w:r w:rsidR="00710A0F">
              <w:rPr>
                <w:noProof/>
                <w:webHidden/>
              </w:rPr>
              <w:fldChar w:fldCharType="begin"/>
            </w:r>
            <w:r w:rsidR="00710A0F">
              <w:rPr>
                <w:noProof/>
                <w:webHidden/>
              </w:rPr>
              <w:instrText xml:space="preserve"> PAGEREF _Toc7447981 \h </w:instrText>
            </w:r>
            <w:r w:rsidR="00710A0F">
              <w:rPr>
                <w:noProof/>
                <w:webHidden/>
              </w:rPr>
            </w:r>
            <w:r w:rsidR="00710A0F">
              <w:rPr>
                <w:noProof/>
                <w:webHidden/>
              </w:rPr>
              <w:fldChar w:fldCharType="separate"/>
            </w:r>
            <w:r w:rsidR="00710A0F">
              <w:rPr>
                <w:noProof/>
                <w:webHidden/>
              </w:rPr>
              <w:t>253</w:t>
            </w:r>
            <w:r w:rsidR="00710A0F">
              <w:rPr>
                <w:noProof/>
                <w:webHidden/>
              </w:rPr>
              <w:fldChar w:fldCharType="end"/>
            </w:r>
          </w:hyperlink>
        </w:p>
        <w:p w14:paraId="3051FA59"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82" w:history="1">
            <w:r w:rsidR="00710A0F" w:rsidRPr="009470AE">
              <w:rPr>
                <w:rStyle w:val="af1"/>
                <w:noProof/>
              </w:rPr>
              <w:t>3.5.</w:t>
            </w:r>
            <w:r w:rsidR="00710A0F">
              <w:rPr>
                <w:rFonts w:eastAsiaTheme="minorEastAsia"/>
                <w:b w:val="0"/>
                <w:bCs w:val="0"/>
                <w:noProof/>
                <w:sz w:val="22"/>
                <w:szCs w:val="22"/>
                <w:lang w:eastAsia="ru-RU"/>
              </w:rPr>
              <w:tab/>
            </w:r>
            <w:r w:rsidR="00710A0F" w:rsidRPr="009470AE">
              <w:rPr>
                <w:rStyle w:val="af1"/>
                <w:noProof/>
              </w:rPr>
              <w:t>В сфере дорожного строительства</w:t>
            </w:r>
            <w:r w:rsidR="00710A0F">
              <w:rPr>
                <w:noProof/>
                <w:webHidden/>
              </w:rPr>
              <w:tab/>
            </w:r>
            <w:r w:rsidR="00710A0F">
              <w:rPr>
                <w:noProof/>
                <w:webHidden/>
              </w:rPr>
              <w:fldChar w:fldCharType="begin"/>
            </w:r>
            <w:r w:rsidR="00710A0F">
              <w:rPr>
                <w:noProof/>
                <w:webHidden/>
              </w:rPr>
              <w:instrText xml:space="preserve"> PAGEREF _Toc7447982 \h </w:instrText>
            </w:r>
            <w:r w:rsidR="00710A0F">
              <w:rPr>
                <w:noProof/>
                <w:webHidden/>
              </w:rPr>
            </w:r>
            <w:r w:rsidR="00710A0F">
              <w:rPr>
                <w:noProof/>
                <w:webHidden/>
              </w:rPr>
              <w:fldChar w:fldCharType="separate"/>
            </w:r>
            <w:r w:rsidR="00710A0F">
              <w:rPr>
                <w:noProof/>
                <w:webHidden/>
              </w:rPr>
              <w:t>260</w:t>
            </w:r>
            <w:r w:rsidR="00710A0F">
              <w:rPr>
                <w:noProof/>
                <w:webHidden/>
              </w:rPr>
              <w:fldChar w:fldCharType="end"/>
            </w:r>
          </w:hyperlink>
        </w:p>
        <w:p w14:paraId="53FDFEF3"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83" w:history="1">
            <w:r w:rsidR="00710A0F" w:rsidRPr="009470AE">
              <w:rPr>
                <w:rStyle w:val="af1"/>
                <w:noProof/>
              </w:rPr>
              <w:t>3.6.</w:t>
            </w:r>
            <w:r w:rsidR="00710A0F">
              <w:rPr>
                <w:rFonts w:eastAsiaTheme="minorEastAsia"/>
                <w:b w:val="0"/>
                <w:bCs w:val="0"/>
                <w:noProof/>
                <w:sz w:val="22"/>
                <w:szCs w:val="22"/>
                <w:lang w:eastAsia="ru-RU"/>
              </w:rPr>
              <w:tab/>
            </w:r>
            <w:r w:rsidR="00710A0F" w:rsidRPr="009470AE">
              <w:rPr>
                <w:rStyle w:val="af1"/>
                <w:noProof/>
              </w:rPr>
              <w:t xml:space="preserve">В </w:t>
            </w:r>
            <w:r w:rsidR="00710A0F" w:rsidRPr="009470AE">
              <w:rPr>
                <w:rStyle w:val="af1"/>
                <w:iCs/>
                <w:noProof/>
              </w:rPr>
              <w:t>сфере</w:t>
            </w:r>
            <w:r w:rsidR="00710A0F" w:rsidRPr="009470AE">
              <w:rPr>
                <w:rStyle w:val="af1"/>
                <w:noProof/>
              </w:rPr>
              <w:t xml:space="preserve"> строительства</w:t>
            </w:r>
            <w:r w:rsidR="00710A0F">
              <w:rPr>
                <w:noProof/>
                <w:webHidden/>
              </w:rPr>
              <w:tab/>
            </w:r>
            <w:r w:rsidR="00710A0F">
              <w:rPr>
                <w:noProof/>
                <w:webHidden/>
              </w:rPr>
              <w:fldChar w:fldCharType="begin"/>
            </w:r>
            <w:r w:rsidR="00710A0F">
              <w:rPr>
                <w:noProof/>
                <w:webHidden/>
              </w:rPr>
              <w:instrText xml:space="preserve"> PAGEREF _Toc7447983 \h </w:instrText>
            </w:r>
            <w:r w:rsidR="00710A0F">
              <w:rPr>
                <w:noProof/>
                <w:webHidden/>
              </w:rPr>
            </w:r>
            <w:r w:rsidR="00710A0F">
              <w:rPr>
                <w:noProof/>
                <w:webHidden/>
              </w:rPr>
              <w:fldChar w:fldCharType="separate"/>
            </w:r>
            <w:r w:rsidR="00710A0F">
              <w:rPr>
                <w:noProof/>
                <w:webHidden/>
              </w:rPr>
              <w:t>263</w:t>
            </w:r>
            <w:r w:rsidR="00710A0F">
              <w:rPr>
                <w:noProof/>
                <w:webHidden/>
              </w:rPr>
              <w:fldChar w:fldCharType="end"/>
            </w:r>
          </w:hyperlink>
        </w:p>
        <w:p w14:paraId="522A8937" w14:textId="77777777" w:rsidR="00710A0F" w:rsidRDefault="000C4795">
          <w:pPr>
            <w:pStyle w:val="31"/>
            <w:tabs>
              <w:tab w:val="left" w:pos="1100"/>
              <w:tab w:val="right" w:leader="dot" w:pos="9344"/>
            </w:tabs>
            <w:rPr>
              <w:rFonts w:eastAsiaTheme="minorEastAsia"/>
              <w:noProof/>
              <w:sz w:val="22"/>
              <w:szCs w:val="22"/>
              <w:lang w:eastAsia="ru-RU"/>
            </w:rPr>
          </w:pPr>
          <w:hyperlink w:anchor="_Toc7447988" w:history="1">
            <w:r w:rsidR="00710A0F" w:rsidRPr="009470AE">
              <w:rPr>
                <w:rStyle w:val="af1"/>
                <w:noProof/>
              </w:rPr>
              <w:t>3.6.1.</w:t>
            </w:r>
            <w:r w:rsidR="00710A0F">
              <w:rPr>
                <w:rFonts w:eastAsiaTheme="minorEastAsia"/>
                <w:noProof/>
                <w:sz w:val="22"/>
                <w:szCs w:val="22"/>
                <w:lang w:eastAsia="ru-RU"/>
              </w:rPr>
              <w:tab/>
            </w:r>
            <w:r w:rsidR="00710A0F" w:rsidRPr="009470AE">
              <w:rPr>
                <w:rStyle w:val="af1"/>
                <w:noProof/>
              </w:rPr>
              <w:t>Состояние конкуренции: тенденции и проблемы</w:t>
            </w:r>
            <w:r w:rsidR="00710A0F">
              <w:rPr>
                <w:noProof/>
                <w:webHidden/>
              </w:rPr>
              <w:tab/>
            </w:r>
            <w:r w:rsidR="00710A0F">
              <w:rPr>
                <w:noProof/>
                <w:webHidden/>
              </w:rPr>
              <w:fldChar w:fldCharType="begin"/>
            </w:r>
            <w:r w:rsidR="00710A0F">
              <w:rPr>
                <w:noProof/>
                <w:webHidden/>
              </w:rPr>
              <w:instrText xml:space="preserve"> PAGEREF _Toc7447988 \h </w:instrText>
            </w:r>
            <w:r w:rsidR="00710A0F">
              <w:rPr>
                <w:noProof/>
                <w:webHidden/>
              </w:rPr>
            </w:r>
            <w:r w:rsidR="00710A0F">
              <w:rPr>
                <w:noProof/>
                <w:webHidden/>
              </w:rPr>
              <w:fldChar w:fldCharType="separate"/>
            </w:r>
            <w:r w:rsidR="00710A0F">
              <w:rPr>
                <w:noProof/>
                <w:webHidden/>
              </w:rPr>
              <w:t>263</w:t>
            </w:r>
            <w:r w:rsidR="00710A0F">
              <w:rPr>
                <w:noProof/>
                <w:webHidden/>
              </w:rPr>
              <w:fldChar w:fldCharType="end"/>
            </w:r>
          </w:hyperlink>
        </w:p>
        <w:p w14:paraId="44DEF41F" w14:textId="77777777" w:rsidR="00710A0F" w:rsidRDefault="000C4795">
          <w:pPr>
            <w:pStyle w:val="31"/>
            <w:tabs>
              <w:tab w:val="left" w:pos="1100"/>
              <w:tab w:val="right" w:leader="dot" w:pos="9344"/>
            </w:tabs>
            <w:rPr>
              <w:rFonts w:eastAsiaTheme="minorEastAsia"/>
              <w:noProof/>
              <w:sz w:val="22"/>
              <w:szCs w:val="22"/>
              <w:lang w:eastAsia="ru-RU"/>
            </w:rPr>
          </w:pPr>
          <w:hyperlink w:anchor="_Toc7447989" w:history="1">
            <w:r w:rsidR="00710A0F" w:rsidRPr="009470AE">
              <w:rPr>
                <w:rStyle w:val="af1"/>
                <w:noProof/>
              </w:rPr>
              <w:t>3.6.2.</w:t>
            </w:r>
            <w:r w:rsidR="00710A0F">
              <w:rPr>
                <w:rFonts w:eastAsiaTheme="minorEastAsia"/>
                <w:noProof/>
                <w:sz w:val="22"/>
                <w:szCs w:val="22"/>
                <w:lang w:eastAsia="ru-RU"/>
              </w:rPr>
              <w:tab/>
            </w:r>
            <w:r w:rsidR="00710A0F" w:rsidRPr="009470AE">
              <w:rPr>
                <w:rStyle w:val="af1"/>
                <w:noProof/>
              </w:rPr>
              <w:t>Достигнутые результаты развития конкуренции и предложения по развитию конкуренции</w:t>
            </w:r>
            <w:r w:rsidR="00710A0F">
              <w:rPr>
                <w:noProof/>
                <w:webHidden/>
              </w:rPr>
              <w:tab/>
            </w:r>
            <w:r w:rsidR="00710A0F">
              <w:rPr>
                <w:noProof/>
                <w:webHidden/>
              </w:rPr>
              <w:fldChar w:fldCharType="begin"/>
            </w:r>
            <w:r w:rsidR="00710A0F">
              <w:rPr>
                <w:noProof/>
                <w:webHidden/>
              </w:rPr>
              <w:instrText xml:space="preserve"> PAGEREF _Toc7447989 \h </w:instrText>
            </w:r>
            <w:r w:rsidR="00710A0F">
              <w:rPr>
                <w:noProof/>
                <w:webHidden/>
              </w:rPr>
            </w:r>
            <w:r w:rsidR="00710A0F">
              <w:rPr>
                <w:noProof/>
                <w:webHidden/>
              </w:rPr>
              <w:fldChar w:fldCharType="separate"/>
            </w:r>
            <w:r w:rsidR="00710A0F">
              <w:rPr>
                <w:noProof/>
                <w:webHidden/>
              </w:rPr>
              <w:t>265</w:t>
            </w:r>
            <w:r w:rsidR="00710A0F">
              <w:rPr>
                <w:noProof/>
                <w:webHidden/>
              </w:rPr>
              <w:fldChar w:fldCharType="end"/>
            </w:r>
          </w:hyperlink>
        </w:p>
        <w:p w14:paraId="38482DBE"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90" w:history="1">
            <w:r w:rsidR="00710A0F" w:rsidRPr="009470AE">
              <w:rPr>
                <w:rStyle w:val="af1"/>
                <w:noProof/>
              </w:rPr>
              <w:t>3.7.</w:t>
            </w:r>
            <w:r w:rsidR="00710A0F">
              <w:rPr>
                <w:rFonts w:eastAsiaTheme="minorEastAsia"/>
                <w:b w:val="0"/>
                <w:bCs w:val="0"/>
                <w:noProof/>
                <w:sz w:val="22"/>
                <w:szCs w:val="22"/>
                <w:lang w:eastAsia="ru-RU"/>
              </w:rPr>
              <w:tab/>
            </w:r>
            <w:r w:rsidR="00710A0F" w:rsidRPr="009470AE">
              <w:rPr>
                <w:rStyle w:val="af1"/>
                <w:noProof/>
              </w:rPr>
              <w:t>В сфере телекоммуникаций</w:t>
            </w:r>
            <w:r w:rsidR="00710A0F">
              <w:rPr>
                <w:noProof/>
                <w:webHidden/>
              </w:rPr>
              <w:tab/>
            </w:r>
            <w:r w:rsidR="00710A0F">
              <w:rPr>
                <w:noProof/>
                <w:webHidden/>
              </w:rPr>
              <w:fldChar w:fldCharType="begin"/>
            </w:r>
            <w:r w:rsidR="00710A0F">
              <w:rPr>
                <w:noProof/>
                <w:webHidden/>
              </w:rPr>
              <w:instrText xml:space="preserve"> PAGEREF _Toc7447990 \h </w:instrText>
            </w:r>
            <w:r w:rsidR="00710A0F">
              <w:rPr>
                <w:noProof/>
                <w:webHidden/>
              </w:rPr>
            </w:r>
            <w:r w:rsidR="00710A0F">
              <w:rPr>
                <w:noProof/>
                <w:webHidden/>
              </w:rPr>
              <w:fldChar w:fldCharType="separate"/>
            </w:r>
            <w:r w:rsidR="00710A0F">
              <w:rPr>
                <w:noProof/>
                <w:webHidden/>
              </w:rPr>
              <w:t>267</w:t>
            </w:r>
            <w:r w:rsidR="00710A0F">
              <w:rPr>
                <w:noProof/>
                <w:webHidden/>
              </w:rPr>
              <w:fldChar w:fldCharType="end"/>
            </w:r>
          </w:hyperlink>
        </w:p>
        <w:p w14:paraId="440F9BC1"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91" w:history="1">
            <w:r w:rsidR="00710A0F" w:rsidRPr="009470AE">
              <w:rPr>
                <w:rStyle w:val="af1"/>
                <w:noProof/>
              </w:rPr>
              <w:t>3.8.</w:t>
            </w:r>
            <w:r w:rsidR="00710A0F">
              <w:rPr>
                <w:rFonts w:eastAsiaTheme="minorEastAsia"/>
                <w:b w:val="0"/>
                <w:bCs w:val="0"/>
                <w:noProof/>
                <w:sz w:val="22"/>
                <w:szCs w:val="22"/>
                <w:lang w:eastAsia="ru-RU"/>
              </w:rPr>
              <w:tab/>
            </w:r>
            <w:r w:rsidR="00710A0F" w:rsidRPr="009470AE">
              <w:rPr>
                <w:rStyle w:val="af1"/>
                <w:noProof/>
              </w:rPr>
              <w:t>В сфере информационных технологий</w:t>
            </w:r>
            <w:r w:rsidR="00710A0F">
              <w:rPr>
                <w:noProof/>
                <w:webHidden/>
              </w:rPr>
              <w:tab/>
            </w:r>
            <w:r w:rsidR="00710A0F">
              <w:rPr>
                <w:noProof/>
                <w:webHidden/>
              </w:rPr>
              <w:fldChar w:fldCharType="begin"/>
            </w:r>
            <w:r w:rsidR="00710A0F">
              <w:rPr>
                <w:noProof/>
                <w:webHidden/>
              </w:rPr>
              <w:instrText xml:space="preserve"> PAGEREF _Toc7447991 \h </w:instrText>
            </w:r>
            <w:r w:rsidR="00710A0F">
              <w:rPr>
                <w:noProof/>
                <w:webHidden/>
              </w:rPr>
            </w:r>
            <w:r w:rsidR="00710A0F">
              <w:rPr>
                <w:noProof/>
                <w:webHidden/>
              </w:rPr>
              <w:fldChar w:fldCharType="separate"/>
            </w:r>
            <w:r w:rsidR="00710A0F">
              <w:rPr>
                <w:noProof/>
                <w:webHidden/>
              </w:rPr>
              <w:t>271</w:t>
            </w:r>
            <w:r w:rsidR="00710A0F">
              <w:rPr>
                <w:noProof/>
                <w:webHidden/>
              </w:rPr>
              <w:fldChar w:fldCharType="end"/>
            </w:r>
          </w:hyperlink>
        </w:p>
        <w:p w14:paraId="25D70AC4"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7992" w:history="1">
            <w:r w:rsidR="00710A0F" w:rsidRPr="009470AE">
              <w:rPr>
                <w:rStyle w:val="af1"/>
                <w:noProof/>
              </w:rPr>
              <w:t>3.9.</w:t>
            </w:r>
            <w:r w:rsidR="00710A0F">
              <w:rPr>
                <w:rFonts w:eastAsiaTheme="minorEastAsia"/>
                <w:b w:val="0"/>
                <w:bCs w:val="0"/>
                <w:noProof/>
                <w:sz w:val="22"/>
                <w:szCs w:val="22"/>
                <w:lang w:eastAsia="ru-RU"/>
              </w:rPr>
              <w:tab/>
            </w:r>
            <w:r w:rsidR="00710A0F" w:rsidRPr="009470AE">
              <w:rPr>
                <w:rStyle w:val="af1"/>
                <w:noProof/>
              </w:rPr>
              <w:t>В сфере жилищно-коммунального хозяйства, в том числе теплоснабжения, водоснабжения, водоотведения</w:t>
            </w:r>
            <w:r w:rsidR="00710A0F">
              <w:rPr>
                <w:noProof/>
                <w:webHidden/>
              </w:rPr>
              <w:tab/>
            </w:r>
            <w:r w:rsidR="00710A0F">
              <w:rPr>
                <w:noProof/>
                <w:webHidden/>
              </w:rPr>
              <w:fldChar w:fldCharType="begin"/>
            </w:r>
            <w:r w:rsidR="00710A0F">
              <w:rPr>
                <w:noProof/>
                <w:webHidden/>
              </w:rPr>
              <w:instrText xml:space="preserve"> PAGEREF _Toc7447992 \h </w:instrText>
            </w:r>
            <w:r w:rsidR="00710A0F">
              <w:rPr>
                <w:noProof/>
                <w:webHidden/>
              </w:rPr>
            </w:r>
            <w:r w:rsidR="00710A0F">
              <w:rPr>
                <w:noProof/>
                <w:webHidden/>
              </w:rPr>
              <w:fldChar w:fldCharType="separate"/>
            </w:r>
            <w:r w:rsidR="00710A0F">
              <w:rPr>
                <w:noProof/>
                <w:webHidden/>
              </w:rPr>
              <w:t>274</w:t>
            </w:r>
            <w:r w:rsidR="00710A0F">
              <w:rPr>
                <w:noProof/>
                <w:webHidden/>
              </w:rPr>
              <w:fldChar w:fldCharType="end"/>
            </w:r>
          </w:hyperlink>
        </w:p>
        <w:p w14:paraId="45C4B7E7" w14:textId="77777777" w:rsidR="00710A0F" w:rsidRDefault="000C4795">
          <w:pPr>
            <w:pStyle w:val="31"/>
            <w:tabs>
              <w:tab w:val="left" w:pos="1100"/>
              <w:tab w:val="right" w:leader="dot" w:pos="9344"/>
            </w:tabs>
            <w:rPr>
              <w:rFonts w:eastAsiaTheme="minorEastAsia"/>
              <w:noProof/>
              <w:sz w:val="22"/>
              <w:szCs w:val="22"/>
              <w:lang w:eastAsia="ru-RU"/>
            </w:rPr>
          </w:pPr>
          <w:hyperlink w:anchor="_Toc7447999" w:history="1">
            <w:r w:rsidR="00710A0F" w:rsidRPr="009470AE">
              <w:rPr>
                <w:rStyle w:val="af1"/>
                <w:noProof/>
              </w:rPr>
              <w:t>3.9.1.</w:t>
            </w:r>
            <w:r w:rsidR="00710A0F">
              <w:rPr>
                <w:rFonts w:eastAsiaTheme="minorEastAsia"/>
                <w:noProof/>
                <w:sz w:val="22"/>
                <w:szCs w:val="22"/>
                <w:lang w:eastAsia="ru-RU"/>
              </w:rPr>
              <w:tab/>
            </w:r>
            <w:r w:rsidR="00710A0F" w:rsidRPr="009470AE">
              <w:rPr>
                <w:rStyle w:val="af1"/>
                <w:noProof/>
              </w:rPr>
              <w:t>Состояние конкуренции: тенденции и проблемы</w:t>
            </w:r>
            <w:r w:rsidR="00710A0F">
              <w:rPr>
                <w:noProof/>
                <w:webHidden/>
              </w:rPr>
              <w:tab/>
            </w:r>
            <w:r w:rsidR="00710A0F">
              <w:rPr>
                <w:noProof/>
                <w:webHidden/>
              </w:rPr>
              <w:fldChar w:fldCharType="begin"/>
            </w:r>
            <w:r w:rsidR="00710A0F">
              <w:rPr>
                <w:noProof/>
                <w:webHidden/>
              </w:rPr>
              <w:instrText xml:space="preserve"> PAGEREF _Toc7447999 \h </w:instrText>
            </w:r>
            <w:r w:rsidR="00710A0F">
              <w:rPr>
                <w:noProof/>
                <w:webHidden/>
              </w:rPr>
            </w:r>
            <w:r w:rsidR="00710A0F">
              <w:rPr>
                <w:noProof/>
                <w:webHidden/>
              </w:rPr>
              <w:fldChar w:fldCharType="separate"/>
            </w:r>
            <w:r w:rsidR="00710A0F">
              <w:rPr>
                <w:noProof/>
                <w:webHidden/>
              </w:rPr>
              <w:t>274</w:t>
            </w:r>
            <w:r w:rsidR="00710A0F">
              <w:rPr>
                <w:noProof/>
                <w:webHidden/>
              </w:rPr>
              <w:fldChar w:fldCharType="end"/>
            </w:r>
          </w:hyperlink>
        </w:p>
        <w:p w14:paraId="26CFE353" w14:textId="77777777" w:rsidR="00710A0F" w:rsidRDefault="000C4795">
          <w:pPr>
            <w:pStyle w:val="31"/>
            <w:tabs>
              <w:tab w:val="left" w:pos="1100"/>
              <w:tab w:val="right" w:leader="dot" w:pos="9344"/>
            </w:tabs>
            <w:rPr>
              <w:rFonts w:eastAsiaTheme="minorEastAsia"/>
              <w:noProof/>
              <w:sz w:val="22"/>
              <w:szCs w:val="22"/>
              <w:lang w:eastAsia="ru-RU"/>
            </w:rPr>
          </w:pPr>
          <w:hyperlink w:anchor="_Toc7448000" w:history="1">
            <w:r w:rsidR="00710A0F" w:rsidRPr="009470AE">
              <w:rPr>
                <w:rStyle w:val="af1"/>
                <w:noProof/>
              </w:rPr>
              <w:t>3.9.2.</w:t>
            </w:r>
            <w:r w:rsidR="00710A0F">
              <w:rPr>
                <w:rFonts w:eastAsiaTheme="minorEastAsia"/>
                <w:noProof/>
                <w:sz w:val="22"/>
                <w:szCs w:val="22"/>
                <w:lang w:eastAsia="ru-RU"/>
              </w:rPr>
              <w:tab/>
            </w:r>
            <w:r w:rsidR="00710A0F" w:rsidRPr="009470AE">
              <w:rPr>
                <w:rStyle w:val="af1"/>
                <w:noProof/>
              </w:rPr>
              <w:t>Достигнутые результаты развития конкуренции и предложения по развитию конкуренции</w:t>
            </w:r>
            <w:r w:rsidR="00710A0F">
              <w:rPr>
                <w:noProof/>
                <w:webHidden/>
              </w:rPr>
              <w:tab/>
            </w:r>
            <w:r w:rsidR="00710A0F">
              <w:rPr>
                <w:noProof/>
                <w:webHidden/>
              </w:rPr>
              <w:fldChar w:fldCharType="begin"/>
            </w:r>
            <w:r w:rsidR="00710A0F">
              <w:rPr>
                <w:noProof/>
                <w:webHidden/>
              </w:rPr>
              <w:instrText xml:space="preserve"> PAGEREF _Toc7448000 \h </w:instrText>
            </w:r>
            <w:r w:rsidR="00710A0F">
              <w:rPr>
                <w:noProof/>
                <w:webHidden/>
              </w:rPr>
            </w:r>
            <w:r w:rsidR="00710A0F">
              <w:rPr>
                <w:noProof/>
                <w:webHidden/>
              </w:rPr>
              <w:fldChar w:fldCharType="separate"/>
            </w:r>
            <w:r w:rsidR="00710A0F">
              <w:rPr>
                <w:noProof/>
                <w:webHidden/>
              </w:rPr>
              <w:t>275</w:t>
            </w:r>
            <w:r w:rsidR="00710A0F">
              <w:rPr>
                <w:noProof/>
                <w:webHidden/>
              </w:rPr>
              <w:fldChar w:fldCharType="end"/>
            </w:r>
          </w:hyperlink>
        </w:p>
        <w:p w14:paraId="1050A8CB"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01" w:history="1">
            <w:r w:rsidR="00710A0F" w:rsidRPr="009470AE">
              <w:rPr>
                <w:rStyle w:val="af1"/>
                <w:noProof/>
              </w:rPr>
              <w:t>3.10.</w:t>
            </w:r>
            <w:r w:rsidR="00710A0F">
              <w:rPr>
                <w:rFonts w:eastAsiaTheme="minorEastAsia"/>
                <w:b w:val="0"/>
                <w:bCs w:val="0"/>
                <w:noProof/>
                <w:sz w:val="22"/>
                <w:szCs w:val="22"/>
                <w:lang w:eastAsia="ru-RU"/>
              </w:rPr>
              <w:tab/>
            </w:r>
            <w:r w:rsidR="00710A0F" w:rsidRPr="009470AE">
              <w:rPr>
                <w:rStyle w:val="af1"/>
                <w:noProof/>
              </w:rPr>
              <w:t>В сфере газоснабжения</w:t>
            </w:r>
            <w:r w:rsidR="00710A0F">
              <w:rPr>
                <w:noProof/>
                <w:webHidden/>
              </w:rPr>
              <w:tab/>
            </w:r>
            <w:r w:rsidR="00710A0F">
              <w:rPr>
                <w:noProof/>
                <w:webHidden/>
              </w:rPr>
              <w:fldChar w:fldCharType="begin"/>
            </w:r>
            <w:r w:rsidR="00710A0F">
              <w:rPr>
                <w:noProof/>
                <w:webHidden/>
              </w:rPr>
              <w:instrText xml:space="preserve"> PAGEREF _Toc7448001 \h </w:instrText>
            </w:r>
            <w:r w:rsidR="00710A0F">
              <w:rPr>
                <w:noProof/>
                <w:webHidden/>
              </w:rPr>
            </w:r>
            <w:r w:rsidR="00710A0F">
              <w:rPr>
                <w:noProof/>
                <w:webHidden/>
              </w:rPr>
              <w:fldChar w:fldCharType="separate"/>
            </w:r>
            <w:r w:rsidR="00710A0F">
              <w:rPr>
                <w:noProof/>
                <w:webHidden/>
              </w:rPr>
              <w:t>278</w:t>
            </w:r>
            <w:r w:rsidR="00710A0F">
              <w:rPr>
                <w:noProof/>
                <w:webHidden/>
              </w:rPr>
              <w:fldChar w:fldCharType="end"/>
            </w:r>
          </w:hyperlink>
        </w:p>
        <w:p w14:paraId="01682BB9" w14:textId="77777777" w:rsidR="00710A0F" w:rsidRDefault="000C4795">
          <w:pPr>
            <w:pStyle w:val="31"/>
            <w:tabs>
              <w:tab w:val="left" w:pos="1100"/>
              <w:tab w:val="right" w:leader="dot" w:pos="9344"/>
            </w:tabs>
            <w:rPr>
              <w:rFonts w:eastAsiaTheme="minorEastAsia"/>
              <w:noProof/>
              <w:sz w:val="22"/>
              <w:szCs w:val="22"/>
              <w:lang w:eastAsia="ru-RU"/>
            </w:rPr>
          </w:pPr>
          <w:hyperlink w:anchor="_Toc7448004" w:history="1">
            <w:r w:rsidR="00710A0F" w:rsidRPr="009470AE">
              <w:rPr>
                <w:rStyle w:val="af1"/>
                <w:noProof/>
              </w:rPr>
              <w:t>3.10.1.</w:t>
            </w:r>
            <w:r w:rsidR="00710A0F">
              <w:rPr>
                <w:rFonts w:eastAsiaTheme="minorEastAsia"/>
                <w:noProof/>
                <w:sz w:val="22"/>
                <w:szCs w:val="22"/>
                <w:lang w:eastAsia="ru-RU"/>
              </w:rPr>
              <w:tab/>
            </w:r>
            <w:r w:rsidR="00710A0F" w:rsidRPr="009470AE">
              <w:rPr>
                <w:rStyle w:val="af1"/>
                <w:noProof/>
              </w:rPr>
              <w:t>Состояние конкуренции: тенденции и проблемы</w:t>
            </w:r>
            <w:r w:rsidR="00710A0F">
              <w:rPr>
                <w:noProof/>
                <w:webHidden/>
              </w:rPr>
              <w:tab/>
            </w:r>
            <w:r w:rsidR="00710A0F">
              <w:rPr>
                <w:noProof/>
                <w:webHidden/>
              </w:rPr>
              <w:fldChar w:fldCharType="begin"/>
            </w:r>
            <w:r w:rsidR="00710A0F">
              <w:rPr>
                <w:noProof/>
                <w:webHidden/>
              </w:rPr>
              <w:instrText xml:space="preserve"> PAGEREF _Toc7448004 \h </w:instrText>
            </w:r>
            <w:r w:rsidR="00710A0F">
              <w:rPr>
                <w:noProof/>
                <w:webHidden/>
              </w:rPr>
            </w:r>
            <w:r w:rsidR="00710A0F">
              <w:rPr>
                <w:noProof/>
                <w:webHidden/>
              </w:rPr>
              <w:fldChar w:fldCharType="separate"/>
            </w:r>
            <w:r w:rsidR="00710A0F">
              <w:rPr>
                <w:noProof/>
                <w:webHidden/>
              </w:rPr>
              <w:t>278</w:t>
            </w:r>
            <w:r w:rsidR="00710A0F">
              <w:rPr>
                <w:noProof/>
                <w:webHidden/>
              </w:rPr>
              <w:fldChar w:fldCharType="end"/>
            </w:r>
          </w:hyperlink>
        </w:p>
        <w:p w14:paraId="1461FF9F" w14:textId="77777777" w:rsidR="00710A0F" w:rsidRDefault="000C4795">
          <w:pPr>
            <w:pStyle w:val="31"/>
            <w:tabs>
              <w:tab w:val="left" w:pos="1100"/>
              <w:tab w:val="right" w:leader="dot" w:pos="9344"/>
            </w:tabs>
            <w:rPr>
              <w:rFonts w:eastAsiaTheme="minorEastAsia"/>
              <w:noProof/>
              <w:sz w:val="22"/>
              <w:szCs w:val="22"/>
              <w:lang w:eastAsia="ru-RU"/>
            </w:rPr>
          </w:pPr>
          <w:hyperlink w:anchor="_Toc7448005" w:history="1">
            <w:r w:rsidR="00710A0F" w:rsidRPr="009470AE">
              <w:rPr>
                <w:rStyle w:val="af1"/>
                <w:noProof/>
              </w:rPr>
              <w:t>3.10.2.</w:t>
            </w:r>
            <w:r w:rsidR="00710A0F">
              <w:rPr>
                <w:rFonts w:eastAsiaTheme="minorEastAsia"/>
                <w:noProof/>
                <w:sz w:val="22"/>
                <w:szCs w:val="22"/>
                <w:lang w:eastAsia="ru-RU"/>
              </w:rPr>
              <w:tab/>
            </w:r>
            <w:r w:rsidR="00710A0F" w:rsidRPr="009470AE">
              <w:rPr>
                <w:rStyle w:val="af1"/>
                <w:noProof/>
              </w:rPr>
              <w:t>Достигнутые результаты развития конкуренции и предложения по развитию конкуренции</w:t>
            </w:r>
            <w:r w:rsidR="00710A0F">
              <w:rPr>
                <w:noProof/>
                <w:webHidden/>
              </w:rPr>
              <w:tab/>
            </w:r>
            <w:r w:rsidR="00710A0F">
              <w:rPr>
                <w:noProof/>
                <w:webHidden/>
              </w:rPr>
              <w:fldChar w:fldCharType="begin"/>
            </w:r>
            <w:r w:rsidR="00710A0F">
              <w:rPr>
                <w:noProof/>
                <w:webHidden/>
              </w:rPr>
              <w:instrText xml:space="preserve"> PAGEREF _Toc7448005 \h </w:instrText>
            </w:r>
            <w:r w:rsidR="00710A0F">
              <w:rPr>
                <w:noProof/>
                <w:webHidden/>
              </w:rPr>
            </w:r>
            <w:r w:rsidR="00710A0F">
              <w:rPr>
                <w:noProof/>
                <w:webHidden/>
              </w:rPr>
              <w:fldChar w:fldCharType="separate"/>
            </w:r>
            <w:r w:rsidR="00710A0F">
              <w:rPr>
                <w:noProof/>
                <w:webHidden/>
              </w:rPr>
              <w:t>279</w:t>
            </w:r>
            <w:r w:rsidR="00710A0F">
              <w:rPr>
                <w:noProof/>
                <w:webHidden/>
              </w:rPr>
              <w:fldChar w:fldCharType="end"/>
            </w:r>
          </w:hyperlink>
        </w:p>
        <w:p w14:paraId="0E983F12"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06" w:history="1">
            <w:r w:rsidR="00710A0F" w:rsidRPr="009470AE">
              <w:rPr>
                <w:rStyle w:val="af1"/>
                <w:noProof/>
              </w:rPr>
              <w:t>3.11.</w:t>
            </w:r>
            <w:r w:rsidR="00710A0F">
              <w:rPr>
                <w:rFonts w:eastAsiaTheme="minorEastAsia"/>
                <w:b w:val="0"/>
                <w:bCs w:val="0"/>
                <w:noProof/>
                <w:sz w:val="22"/>
                <w:szCs w:val="22"/>
                <w:lang w:eastAsia="ru-RU"/>
              </w:rPr>
              <w:tab/>
            </w:r>
            <w:r w:rsidR="00710A0F" w:rsidRPr="009470AE">
              <w:rPr>
                <w:rStyle w:val="af1"/>
                <w:noProof/>
              </w:rPr>
              <w:t>На рынках нефти и нефтепродуктов</w:t>
            </w:r>
            <w:r w:rsidR="00710A0F">
              <w:rPr>
                <w:noProof/>
                <w:webHidden/>
              </w:rPr>
              <w:tab/>
            </w:r>
            <w:r w:rsidR="00710A0F">
              <w:rPr>
                <w:noProof/>
                <w:webHidden/>
              </w:rPr>
              <w:fldChar w:fldCharType="begin"/>
            </w:r>
            <w:r w:rsidR="00710A0F">
              <w:rPr>
                <w:noProof/>
                <w:webHidden/>
              </w:rPr>
              <w:instrText xml:space="preserve"> PAGEREF _Toc7448006 \h </w:instrText>
            </w:r>
            <w:r w:rsidR="00710A0F">
              <w:rPr>
                <w:noProof/>
                <w:webHidden/>
              </w:rPr>
            </w:r>
            <w:r w:rsidR="00710A0F">
              <w:rPr>
                <w:noProof/>
                <w:webHidden/>
              </w:rPr>
              <w:fldChar w:fldCharType="separate"/>
            </w:r>
            <w:r w:rsidR="00710A0F">
              <w:rPr>
                <w:noProof/>
                <w:webHidden/>
              </w:rPr>
              <w:t>284</w:t>
            </w:r>
            <w:r w:rsidR="00710A0F">
              <w:rPr>
                <w:noProof/>
                <w:webHidden/>
              </w:rPr>
              <w:fldChar w:fldCharType="end"/>
            </w:r>
          </w:hyperlink>
        </w:p>
        <w:p w14:paraId="01B85F63" w14:textId="77777777" w:rsidR="00710A0F" w:rsidRDefault="000C4795">
          <w:pPr>
            <w:pStyle w:val="31"/>
            <w:tabs>
              <w:tab w:val="left" w:pos="1100"/>
              <w:tab w:val="right" w:leader="dot" w:pos="9344"/>
            </w:tabs>
            <w:rPr>
              <w:rFonts w:eastAsiaTheme="minorEastAsia"/>
              <w:noProof/>
              <w:sz w:val="22"/>
              <w:szCs w:val="22"/>
              <w:lang w:eastAsia="ru-RU"/>
            </w:rPr>
          </w:pPr>
          <w:hyperlink w:anchor="_Toc7448009" w:history="1">
            <w:r w:rsidR="00710A0F" w:rsidRPr="009470AE">
              <w:rPr>
                <w:rStyle w:val="af1"/>
                <w:noProof/>
              </w:rPr>
              <w:t>3.11.1.</w:t>
            </w:r>
            <w:r w:rsidR="00710A0F">
              <w:rPr>
                <w:rFonts w:eastAsiaTheme="minorEastAsia"/>
                <w:noProof/>
                <w:sz w:val="22"/>
                <w:szCs w:val="22"/>
                <w:lang w:eastAsia="ru-RU"/>
              </w:rPr>
              <w:tab/>
            </w:r>
            <w:r w:rsidR="00710A0F" w:rsidRPr="009470AE">
              <w:rPr>
                <w:rStyle w:val="af1"/>
                <w:noProof/>
              </w:rPr>
              <w:t>Состояние конкуренции: тенденции и проблемы</w:t>
            </w:r>
            <w:r w:rsidR="00710A0F">
              <w:rPr>
                <w:noProof/>
                <w:webHidden/>
              </w:rPr>
              <w:tab/>
            </w:r>
            <w:r w:rsidR="00710A0F">
              <w:rPr>
                <w:noProof/>
                <w:webHidden/>
              </w:rPr>
              <w:fldChar w:fldCharType="begin"/>
            </w:r>
            <w:r w:rsidR="00710A0F">
              <w:rPr>
                <w:noProof/>
                <w:webHidden/>
              </w:rPr>
              <w:instrText xml:space="preserve"> PAGEREF _Toc7448009 \h </w:instrText>
            </w:r>
            <w:r w:rsidR="00710A0F">
              <w:rPr>
                <w:noProof/>
                <w:webHidden/>
              </w:rPr>
            </w:r>
            <w:r w:rsidR="00710A0F">
              <w:rPr>
                <w:noProof/>
                <w:webHidden/>
              </w:rPr>
              <w:fldChar w:fldCharType="separate"/>
            </w:r>
            <w:r w:rsidR="00710A0F">
              <w:rPr>
                <w:noProof/>
                <w:webHidden/>
              </w:rPr>
              <w:t>284</w:t>
            </w:r>
            <w:r w:rsidR="00710A0F">
              <w:rPr>
                <w:noProof/>
                <w:webHidden/>
              </w:rPr>
              <w:fldChar w:fldCharType="end"/>
            </w:r>
          </w:hyperlink>
        </w:p>
        <w:p w14:paraId="192FF986" w14:textId="77777777" w:rsidR="00710A0F" w:rsidRDefault="000C4795">
          <w:pPr>
            <w:pStyle w:val="31"/>
            <w:tabs>
              <w:tab w:val="left" w:pos="1100"/>
              <w:tab w:val="right" w:leader="dot" w:pos="9344"/>
            </w:tabs>
            <w:rPr>
              <w:rFonts w:eastAsiaTheme="minorEastAsia"/>
              <w:noProof/>
              <w:sz w:val="22"/>
              <w:szCs w:val="22"/>
              <w:lang w:eastAsia="ru-RU"/>
            </w:rPr>
          </w:pPr>
          <w:hyperlink w:anchor="_Toc7448010" w:history="1">
            <w:r w:rsidR="00710A0F" w:rsidRPr="009470AE">
              <w:rPr>
                <w:rStyle w:val="af1"/>
                <w:noProof/>
              </w:rPr>
              <w:t>3.11.2.</w:t>
            </w:r>
            <w:r w:rsidR="00710A0F">
              <w:rPr>
                <w:rFonts w:eastAsiaTheme="minorEastAsia"/>
                <w:noProof/>
                <w:sz w:val="22"/>
                <w:szCs w:val="22"/>
                <w:lang w:eastAsia="ru-RU"/>
              </w:rPr>
              <w:tab/>
            </w:r>
            <w:r w:rsidR="00710A0F" w:rsidRPr="009470AE">
              <w:rPr>
                <w:rStyle w:val="af1"/>
                <w:noProof/>
              </w:rPr>
              <w:t>Достигнутые результаты развития конкуренции и предложения по развитию конкуренции</w:t>
            </w:r>
            <w:r w:rsidR="00710A0F">
              <w:rPr>
                <w:noProof/>
                <w:webHidden/>
              </w:rPr>
              <w:tab/>
            </w:r>
            <w:r w:rsidR="00710A0F">
              <w:rPr>
                <w:noProof/>
                <w:webHidden/>
              </w:rPr>
              <w:fldChar w:fldCharType="begin"/>
            </w:r>
            <w:r w:rsidR="00710A0F">
              <w:rPr>
                <w:noProof/>
                <w:webHidden/>
              </w:rPr>
              <w:instrText xml:space="preserve"> PAGEREF _Toc7448010 \h </w:instrText>
            </w:r>
            <w:r w:rsidR="00710A0F">
              <w:rPr>
                <w:noProof/>
                <w:webHidden/>
              </w:rPr>
            </w:r>
            <w:r w:rsidR="00710A0F">
              <w:rPr>
                <w:noProof/>
                <w:webHidden/>
              </w:rPr>
              <w:fldChar w:fldCharType="separate"/>
            </w:r>
            <w:r w:rsidR="00710A0F">
              <w:rPr>
                <w:noProof/>
                <w:webHidden/>
              </w:rPr>
              <w:t>285</w:t>
            </w:r>
            <w:r w:rsidR="00710A0F">
              <w:rPr>
                <w:noProof/>
                <w:webHidden/>
              </w:rPr>
              <w:fldChar w:fldCharType="end"/>
            </w:r>
          </w:hyperlink>
        </w:p>
        <w:p w14:paraId="60844D61"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11" w:history="1">
            <w:r w:rsidR="00710A0F" w:rsidRPr="009470AE">
              <w:rPr>
                <w:rStyle w:val="af1"/>
                <w:noProof/>
              </w:rPr>
              <w:t>3.12.</w:t>
            </w:r>
            <w:r w:rsidR="00710A0F">
              <w:rPr>
                <w:rFonts w:eastAsiaTheme="minorEastAsia"/>
                <w:b w:val="0"/>
                <w:bCs w:val="0"/>
                <w:noProof/>
                <w:sz w:val="22"/>
                <w:szCs w:val="22"/>
                <w:lang w:eastAsia="ru-RU"/>
              </w:rPr>
              <w:tab/>
            </w:r>
            <w:r w:rsidR="00710A0F" w:rsidRPr="009470AE">
              <w:rPr>
                <w:rStyle w:val="af1"/>
                <w:iCs/>
                <w:noProof/>
              </w:rPr>
              <w:t xml:space="preserve">В </w:t>
            </w:r>
            <w:r w:rsidR="00710A0F" w:rsidRPr="009470AE">
              <w:rPr>
                <w:rStyle w:val="af1"/>
                <w:noProof/>
              </w:rPr>
              <w:t>сфере уг</w:t>
            </w:r>
            <w:r w:rsidR="00710A0F" w:rsidRPr="009470AE">
              <w:rPr>
                <w:rStyle w:val="af1"/>
                <w:iCs/>
                <w:noProof/>
              </w:rPr>
              <w:t>о</w:t>
            </w:r>
            <w:r w:rsidR="00710A0F" w:rsidRPr="009470AE">
              <w:rPr>
                <w:rStyle w:val="af1"/>
                <w:noProof/>
              </w:rPr>
              <w:t>льной промышленности</w:t>
            </w:r>
            <w:r w:rsidR="00710A0F">
              <w:rPr>
                <w:noProof/>
                <w:webHidden/>
              </w:rPr>
              <w:tab/>
            </w:r>
            <w:r w:rsidR="00710A0F">
              <w:rPr>
                <w:noProof/>
                <w:webHidden/>
              </w:rPr>
              <w:fldChar w:fldCharType="begin"/>
            </w:r>
            <w:r w:rsidR="00710A0F">
              <w:rPr>
                <w:noProof/>
                <w:webHidden/>
              </w:rPr>
              <w:instrText xml:space="preserve"> PAGEREF _Toc7448011 \h </w:instrText>
            </w:r>
            <w:r w:rsidR="00710A0F">
              <w:rPr>
                <w:noProof/>
                <w:webHidden/>
              </w:rPr>
            </w:r>
            <w:r w:rsidR="00710A0F">
              <w:rPr>
                <w:noProof/>
                <w:webHidden/>
              </w:rPr>
              <w:fldChar w:fldCharType="separate"/>
            </w:r>
            <w:r w:rsidR="00710A0F">
              <w:rPr>
                <w:noProof/>
                <w:webHidden/>
              </w:rPr>
              <w:t>286</w:t>
            </w:r>
            <w:r w:rsidR="00710A0F">
              <w:rPr>
                <w:noProof/>
                <w:webHidden/>
              </w:rPr>
              <w:fldChar w:fldCharType="end"/>
            </w:r>
          </w:hyperlink>
        </w:p>
        <w:p w14:paraId="4E996435"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12" w:history="1">
            <w:r w:rsidR="00710A0F" w:rsidRPr="009470AE">
              <w:rPr>
                <w:rStyle w:val="af1"/>
                <w:noProof/>
              </w:rPr>
              <w:t>3.13.</w:t>
            </w:r>
            <w:r w:rsidR="00710A0F">
              <w:rPr>
                <w:rFonts w:eastAsiaTheme="minorEastAsia"/>
                <w:b w:val="0"/>
                <w:bCs w:val="0"/>
                <w:noProof/>
                <w:sz w:val="22"/>
                <w:szCs w:val="22"/>
                <w:lang w:eastAsia="ru-RU"/>
              </w:rPr>
              <w:tab/>
            </w:r>
            <w:r w:rsidR="00710A0F" w:rsidRPr="009470AE">
              <w:rPr>
                <w:rStyle w:val="af1"/>
                <w:noProof/>
              </w:rPr>
              <w:t>В сфере электроэнергетики</w:t>
            </w:r>
            <w:r w:rsidR="00710A0F">
              <w:rPr>
                <w:noProof/>
                <w:webHidden/>
              </w:rPr>
              <w:tab/>
            </w:r>
            <w:r w:rsidR="00710A0F">
              <w:rPr>
                <w:noProof/>
                <w:webHidden/>
              </w:rPr>
              <w:fldChar w:fldCharType="begin"/>
            </w:r>
            <w:r w:rsidR="00710A0F">
              <w:rPr>
                <w:noProof/>
                <w:webHidden/>
              </w:rPr>
              <w:instrText xml:space="preserve"> PAGEREF _Toc7448012 \h </w:instrText>
            </w:r>
            <w:r w:rsidR="00710A0F">
              <w:rPr>
                <w:noProof/>
                <w:webHidden/>
              </w:rPr>
            </w:r>
            <w:r w:rsidR="00710A0F">
              <w:rPr>
                <w:noProof/>
                <w:webHidden/>
              </w:rPr>
              <w:fldChar w:fldCharType="separate"/>
            </w:r>
            <w:r w:rsidR="00710A0F">
              <w:rPr>
                <w:noProof/>
                <w:webHidden/>
              </w:rPr>
              <w:t>287</w:t>
            </w:r>
            <w:r w:rsidR="00710A0F">
              <w:rPr>
                <w:noProof/>
                <w:webHidden/>
              </w:rPr>
              <w:fldChar w:fldCharType="end"/>
            </w:r>
          </w:hyperlink>
        </w:p>
        <w:p w14:paraId="6DA61EDE" w14:textId="77777777" w:rsidR="00710A0F" w:rsidRDefault="000C4795">
          <w:pPr>
            <w:pStyle w:val="31"/>
            <w:tabs>
              <w:tab w:val="left" w:pos="1100"/>
              <w:tab w:val="right" w:leader="dot" w:pos="9344"/>
            </w:tabs>
            <w:rPr>
              <w:rFonts w:eastAsiaTheme="minorEastAsia"/>
              <w:noProof/>
              <w:sz w:val="22"/>
              <w:szCs w:val="22"/>
              <w:lang w:eastAsia="ru-RU"/>
            </w:rPr>
          </w:pPr>
          <w:hyperlink w:anchor="_Toc7448016" w:history="1">
            <w:r w:rsidR="00710A0F" w:rsidRPr="009470AE">
              <w:rPr>
                <w:rStyle w:val="af1"/>
                <w:rFonts w:eastAsiaTheme="majorEastAsia"/>
                <w:noProof/>
              </w:rPr>
              <w:t>3.12.1.</w:t>
            </w:r>
            <w:r w:rsidR="00710A0F">
              <w:rPr>
                <w:rFonts w:eastAsiaTheme="minorEastAsia"/>
                <w:noProof/>
                <w:sz w:val="22"/>
                <w:szCs w:val="22"/>
                <w:lang w:eastAsia="ru-RU"/>
              </w:rPr>
              <w:tab/>
            </w:r>
            <w:r w:rsidR="00710A0F" w:rsidRPr="009470AE">
              <w:rPr>
                <w:rStyle w:val="af1"/>
                <w:noProof/>
              </w:rPr>
              <w:t>Состояние конкуренции: тенденции и проблемы</w:t>
            </w:r>
            <w:r w:rsidR="00710A0F">
              <w:rPr>
                <w:noProof/>
                <w:webHidden/>
              </w:rPr>
              <w:tab/>
            </w:r>
            <w:r w:rsidR="00710A0F">
              <w:rPr>
                <w:noProof/>
                <w:webHidden/>
              </w:rPr>
              <w:fldChar w:fldCharType="begin"/>
            </w:r>
            <w:r w:rsidR="00710A0F">
              <w:rPr>
                <w:noProof/>
                <w:webHidden/>
              </w:rPr>
              <w:instrText xml:space="preserve"> PAGEREF _Toc7448016 \h </w:instrText>
            </w:r>
            <w:r w:rsidR="00710A0F">
              <w:rPr>
                <w:noProof/>
                <w:webHidden/>
              </w:rPr>
            </w:r>
            <w:r w:rsidR="00710A0F">
              <w:rPr>
                <w:noProof/>
                <w:webHidden/>
              </w:rPr>
              <w:fldChar w:fldCharType="separate"/>
            </w:r>
            <w:r w:rsidR="00710A0F">
              <w:rPr>
                <w:noProof/>
                <w:webHidden/>
              </w:rPr>
              <w:t>287</w:t>
            </w:r>
            <w:r w:rsidR="00710A0F">
              <w:rPr>
                <w:noProof/>
                <w:webHidden/>
              </w:rPr>
              <w:fldChar w:fldCharType="end"/>
            </w:r>
          </w:hyperlink>
        </w:p>
        <w:p w14:paraId="18FB0DC8" w14:textId="77777777" w:rsidR="00710A0F" w:rsidRDefault="000C4795">
          <w:pPr>
            <w:pStyle w:val="31"/>
            <w:tabs>
              <w:tab w:val="left" w:pos="1100"/>
              <w:tab w:val="right" w:leader="dot" w:pos="9344"/>
            </w:tabs>
            <w:rPr>
              <w:rFonts w:eastAsiaTheme="minorEastAsia"/>
              <w:noProof/>
              <w:sz w:val="22"/>
              <w:szCs w:val="22"/>
              <w:lang w:eastAsia="ru-RU"/>
            </w:rPr>
          </w:pPr>
          <w:hyperlink w:anchor="_Toc7448017" w:history="1">
            <w:r w:rsidR="00710A0F" w:rsidRPr="009470AE">
              <w:rPr>
                <w:rStyle w:val="af1"/>
                <w:noProof/>
              </w:rPr>
              <w:t>3.12.2.</w:t>
            </w:r>
            <w:r w:rsidR="00710A0F">
              <w:rPr>
                <w:rFonts w:eastAsiaTheme="minorEastAsia"/>
                <w:noProof/>
                <w:sz w:val="22"/>
                <w:szCs w:val="22"/>
                <w:lang w:eastAsia="ru-RU"/>
              </w:rPr>
              <w:tab/>
            </w:r>
            <w:r w:rsidR="00710A0F" w:rsidRPr="009470AE">
              <w:rPr>
                <w:rStyle w:val="af1"/>
                <w:noProof/>
              </w:rPr>
              <w:t>«Достигнутые результаты развития конкуренции и предложения по развитию конкуренции».</w:t>
            </w:r>
            <w:r w:rsidR="00710A0F">
              <w:rPr>
                <w:noProof/>
                <w:webHidden/>
              </w:rPr>
              <w:tab/>
            </w:r>
            <w:r w:rsidR="00710A0F">
              <w:rPr>
                <w:noProof/>
                <w:webHidden/>
              </w:rPr>
              <w:fldChar w:fldCharType="begin"/>
            </w:r>
            <w:r w:rsidR="00710A0F">
              <w:rPr>
                <w:noProof/>
                <w:webHidden/>
              </w:rPr>
              <w:instrText xml:space="preserve"> PAGEREF _Toc7448017 \h </w:instrText>
            </w:r>
            <w:r w:rsidR="00710A0F">
              <w:rPr>
                <w:noProof/>
                <w:webHidden/>
              </w:rPr>
            </w:r>
            <w:r w:rsidR="00710A0F">
              <w:rPr>
                <w:noProof/>
                <w:webHidden/>
              </w:rPr>
              <w:fldChar w:fldCharType="separate"/>
            </w:r>
            <w:r w:rsidR="00710A0F">
              <w:rPr>
                <w:noProof/>
                <w:webHidden/>
              </w:rPr>
              <w:t>291</w:t>
            </w:r>
            <w:r w:rsidR="00710A0F">
              <w:rPr>
                <w:noProof/>
                <w:webHidden/>
              </w:rPr>
              <w:fldChar w:fldCharType="end"/>
            </w:r>
          </w:hyperlink>
        </w:p>
        <w:p w14:paraId="724C711E"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18" w:history="1">
            <w:r w:rsidR="00710A0F" w:rsidRPr="009470AE">
              <w:rPr>
                <w:rStyle w:val="af1"/>
                <w:iCs/>
                <w:noProof/>
              </w:rPr>
              <w:t>3.14.</w:t>
            </w:r>
            <w:r w:rsidR="00710A0F">
              <w:rPr>
                <w:rFonts w:eastAsiaTheme="minorEastAsia"/>
                <w:b w:val="0"/>
                <w:bCs w:val="0"/>
                <w:noProof/>
                <w:sz w:val="22"/>
                <w:szCs w:val="22"/>
                <w:lang w:eastAsia="ru-RU"/>
              </w:rPr>
              <w:tab/>
            </w:r>
            <w:r w:rsidR="00710A0F" w:rsidRPr="009470AE">
              <w:rPr>
                <w:rStyle w:val="af1"/>
                <w:noProof/>
              </w:rPr>
              <w:t>В сфере транспортных</w:t>
            </w:r>
            <w:r w:rsidR="00710A0F" w:rsidRPr="009470AE">
              <w:rPr>
                <w:rStyle w:val="af1"/>
                <w:iCs/>
                <w:noProof/>
              </w:rPr>
              <w:t xml:space="preserve"> услуг</w:t>
            </w:r>
            <w:r w:rsidR="00710A0F">
              <w:rPr>
                <w:noProof/>
                <w:webHidden/>
              </w:rPr>
              <w:tab/>
            </w:r>
            <w:r w:rsidR="00710A0F">
              <w:rPr>
                <w:noProof/>
                <w:webHidden/>
              </w:rPr>
              <w:fldChar w:fldCharType="begin"/>
            </w:r>
            <w:r w:rsidR="00710A0F">
              <w:rPr>
                <w:noProof/>
                <w:webHidden/>
              </w:rPr>
              <w:instrText xml:space="preserve"> PAGEREF _Toc7448018 \h </w:instrText>
            </w:r>
            <w:r w:rsidR="00710A0F">
              <w:rPr>
                <w:noProof/>
                <w:webHidden/>
              </w:rPr>
            </w:r>
            <w:r w:rsidR="00710A0F">
              <w:rPr>
                <w:noProof/>
                <w:webHidden/>
              </w:rPr>
              <w:fldChar w:fldCharType="separate"/>
            </w:r>
            <w:r w:rsidR="00710A0F">
              <w:rPr>
                <w:noProof/>
                <w:webHidden/>
              </w:rPr>
              <w:t>293</w:t>
            </w:r>
            <w:r w:rsidR="00710A0F">
              <w:rPr>
                <w:noProof/>
                <w:webHidden/>
              </w:rPr>
              <w:fldChar w:fldCharType="end"/>
            </w:r>
          </w:hyperlink>
        </w:p>
        <w:p w14:paraId="799C8654" w14:textId="77777777" w:rsidR="00710A0F" w:rsidRDefault="000C4795">
          <w:pPr>
            <w:pStyle w:val="31"/>
            <w:tabs>
              <w:tab w:val="left" w:pos="1100"/>
              <w:tab w:val="right" w:leader="dot" w:pos="9344"/>
            </w:tabs>
            <w:rPr>
              <w:rFonts w:eastAsiaTheme="minorEastAsia"/>
              <w:noProof/>
              <w:sz w:val="22"/>
              <w:szCs w:val="22"/>
              <w:lang w:eastAsia="ru-RU"/>
            </w:rPr>
          </w:pPr>
          <w:hyperlink w:anchor="_Toc7448022" w:history="1">
            <w:r w:rsidR="00710A0F" w:rsidRPr="009470AE">
              <w:rPr>
                <w:rStyle w:val="af1"/>
                <w:rFonts w:eastAsiaTheme="majorEastAsia"/>
                <w:noProof/>
              </w:rPr>
              <w:t>3.14.1.</w:t>
            </w:r>
            <w:r w:rsidR="00710A0F">
              <w:rPr>
                <w:rFonts w:eastAsiaTheme="minorEastAsia"/>
                <w:noProof/>
                <w:sz w:val="22"/>
                <w:szCs w:val="22"/>
                <w:lang w:eastAsia="ru-RU"/>
              </w:rPr>
              <w:tab/>
            </w:r>
            <w:r w:rsidR="00710A0F" w:rsidRPr="009470AE">
              <w:rPr>
                <w:rStyle w:val="af1"/>
                <w:rFonts w:eastAsiaTheme="majorEastAsia"/>
                <w:noProof/>
              </w:rPr>
              <w:t>Состояние конкуренции: тенденции и проблемы</w:t>
            </w:r>
            <w:r w:rsidR="00710A0F">
              <w:rPr>
                <w:noProof/>
                <w:webHidden/>
              </w:rPr>
              <w:tab/>
            </w:r>
            <w:r w:rsidR="00710A0F">
              <w:rPr>
                <w:noProof/>
                <w:webHidden/>
              </w:rPr>
              <w:fldChar w:fldCharType="begin"/>
            </w:r>
            <w:r w:rsidR="00710A0F">
              <w:rPr>
                <w:noProof/>
                <w:webHidden/>
              </w:rPr>
              <w:instrText xml:space="preserve"> PAGEREF _Toc7448022 \h </w:instrText>
            </w:r>
            <w:r w:rsidR="00710A0F">
              <w:rPr>
                <w:noProof/>
                <w:webHidden/>
              </w:rPr>
            </w:r>
            <w:r w:rsidR="00710A0F">
              <w:rPr>
                <w:noProof/>
                <w:webHidden/>
              </w:rPr>
              <w:fldChar w:fldCharType="separate"/>
            </w:r>
            <w:r w:rsidR="00710A0F">
              <w:rPr>
                <w:noProof/>
                <w:webHidden/>
              </w:rPr>
              <w:t>293</w:t>
            </w:r>
            <w:r w:rsidR="00710A0F">
              <w:rPr>
                <w:noProof/>
                <w:webHidden/>
              </w:rPr>
              <w:fldChar w:fldCharType="end"/>
            </w:r>
          </w:hyperlink>
        </w:p>
        <w:p w14:paraId="04DA3D3B" w14:textId="77777777" w:rsidR="00710A0F" w:rsidRDefault="000C4795">
          <w:pPr>
            <w:pStyle w:val="31"/>
            <w:tabs>
              <w:tab w:val="left" w:pos="1100"/>
              <w:tab w:val="right" w:leader="dot" w:pos="9344"/>
            </w:tabs>
            <w:rPr>
              <w:rFonts w:eastAsiaTheme="minorEastAsia"/>
              <w:noProof/>
              <w:sz w:val="22"/>
              <w:szCs w:val="22"/>
              <w:lang w:eastAsia="ru-RU"/>
            </w:rPr>
          </w:pPr>
          <w:hyperlink w:anchor="_Toc7448023" w:history="1">
            <w:r w:rsidR="00710A0F" w:rsidRPr="009470AE">
              <w:rPr>
                <w:rStyle w:val="af1"/>
                <w:rFonts w:eastAsiaTheme="majorEastAsia"/>
                <w:noProof/>
              </w:rPr>
              <w:t>3.14.2.</w:t>
            </w:r>
            <w:r w:rsidR="00710A0F">
              <w:rPr>
                <w:rFonts w:eastAsiaTheme="minorEastAsia"/>
                <w:noProof/>
                <w:sz w:val="22"/>
                <w:szCs w:val="22"/>
                <w:lang w:eastAsia="ru-RU"/>
              </w:rPr>
              <w:tab/>
            </w:r>
            <w:r w:rsidR="00710A0F" w:rsidRPr="009470AE">
              <w:rPr>
                <w:rStyle w:val="af1"/>
                <w:rFonts w:eastAsiaTheme="majorEastAsia"/>
                <w:noProof/>
              </w:rPr>
              <w:t>Достигнутые результаты развития конкуренции и предложения по развитию конкуренции</w:t>
            </w:r>
            <w:r w:rsidR="00710A0F">
              <w:rPr>
                <w:noProof/>
                <w:webHidden/>
              </w:rPr>
              <w:tab/>
            </w:r>
            <w:r w:rsidR="00710A0F">
              <w:rPr>
                <w:noProof/>
                <w:webHidden/>
              </w:rPr>
              <w:fldChar w:fldCharType="begin"/>
            </w:r>
            <w:r w:rsidR="00710A0F">
              <w:rPr>
                <w:noProof/>
                <w:webHidden/>
              </w:rPr>
              <w:instrText xml:space="preserve"> PAGEREF _Toc7448023 \h </w:instrText>
            </w:r>
            <w:r w:rsidR="00710A0F">
              <w:rPr>
                <w:noProof/>
                <w:webHidden/>
              </w:rPr>
            </w:r>
            <w:r w:rsidR="00710A0F">
              <w:rPr>
                <w:noProof/>
                <w:webHidden/>
              </w:rPr>
              <w:fldChar w:fldCharType="separate"/>
            </w:r>
            <w:r w:rsidR="00710A0F">
              <w:rPr>
                <w:noProof/>
                <w:webHidden/>
              </w:rPr>
              <w:t>295</w:t>
            </w:r>
            <w:r w:rsidR="00710A0F">
              <w:rPr>
                <w:noProof/>
                <w:webHidden/>
              </w:rPr>
              <w:fldChar w:fldCharType="end"/>
            </w:r>
          </w:hyperlink>
        </w:p>
        <w:p w14:paraId="436BA586"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24" w:history="1">
            <w:r w:rsidR="00710A0F" w:rsidRPr="009470AE">
              <w:rPr>
                <w:rStyle w:val="af1"/>
                <w:noProof/>
              </w:rPr>
              <w:t>3.15.</w:t>
            </w:r>
            <w:r w:rsidR="00710A0F">
              <w:rPr>
                <w:rFonts w:eastAsiaTheme="minorEastAsia"/>
                <w:b w:val="0"/>
                <w:bCs w:val="0"/>
                <w:noProof/>
                <w:sz w:val="22"/>
                <w:szCs w:val="22"/>
                <w:lang w:eastAsia="ru-RU"/>
              </w:rPr>
              <w:tab/>
            </w:r>
            <w:r w:rsidR="00710A0F" w:rsidRPr="009470AE">
              <w:rPr>
                <w:rStyle w:val="af1"/>
                <w:noProof/>
              </w:rPr>
              <w:t>В сфере промышленности</w:t>
            </w:r>
            <w:r w:rsidR="00710A0F">
              <w:rPr>
                <w:noProof/>
                <w:webHidden/>
              </w:rPr>
              <w:tab/>
            </w:r>
            <w:r w:rsidR="00710A0F">
              <w:rPr>
                <w:noProof/>
                <w:webHidden/>
              </w:rPr>
              <w:fldChar w:fldCharType="begin"/>
            </w:r>
            <w:r w:rsidR="00710A0F">
              <w:rPr>
                <w:noProof/>
                <w:webHidden/>
              </w:rPr>
              <w:instrText xml:space="preserve"> PAGEREF _Toc7448024 \h </w:instrText>
            </w:r>
            <w:r w:rsidR="00710A0F">
              <w:rPr>
                <w:noProof/>
                <w:webHidden/>
              </w:rPr>
            </w:r>
            <w:r w:rsidR="00710A0F">
              <w:rPr>
                <w:noProof/>
                <w:webHidden/>
              </w:rPr>
              <w:fldChar w:fldCharType="separate"/>
            </w:r>
            <w:r w:rsidR="00710A0F">
              <w:rPr>
                <w:noProof/>
                <w:webHidden/>
              </w:rPr>
              <w:t>299</w:t>
            </w:r>
            <w:r w:rsidR="00710A0F">
              <w:rPr>
                <w:noProof/>
                <w:webHidden/>
              </w:rPr>
              <w:fldChar w:fldCharType="end"/>
            </w:r>
          </w:hyperlink>
        </w:p>
        <w:p w14:paraId="13B9DC26" w14:textId="77777777" w:rsidR="00710A0F" w:rsidRDefault="000C4795">
          <w:pPr>
            <w:pStyle w:val="31"/>
            <w:tabs>
              <w:tab w:val="left" w:pos="1100"/>
              <w:tab w:val="right" w:leader="dot" w:pos="9344"/>
            </w:tabs>
            <w:rPr>
              <w:rFonts w:eastAsiaTheme="minorEastAsia"/>
              <w:noProof/>
              <w:sz w:val="22"/>
              <w:szCs w:val="22"/>
              <w:lang w:eastAsia="ru-RU"/>
            </w:rPr>
          </w:pPr>
          <w:hyperlink w:anchor="_Toc7448027" w:history="1">
            <w:r w:rsidR="00710A0F" w:rsidRPr="009470AE">
              <w:rPr>
                <w:rStyle w:val="af1"/>
                <w:noProof/>
              </w:rPr>
              <w:t>3.15.1.</w:t>
            </w:r>
            <w:r w:rsidR="00710A0F">
              <w:rPr>
                <w:rFonts w:eastAsiaTheme="minorEastAsia"/>
                <w:noProof/>
                <w:sz w:val="22"/>
                <w:szCs w:val="22"/>
                <w:lang w:eastAsia="ru-RU"/>
              </w:rPr>
              <w:tab/>
            </w:r>
            <w:r w:rsidR="00710A0F" w:rsidRPr="009470AE">
              <w:rPr>
                <w:rStyle w:val="af1"/>
                <w:noProof/>
              </w:rPr>
              <w:t>Состояние конкуренции: тенденции и проблемы</w:t>
            </w:r>
            <w:r w:rsidR="00710A0F">
              <w:rPr>
                <w:noProof/>
                <w:webHidden/>
              </w:rPr>
              <w:tab/>
            </w:r>
            <w:r w:rsidR="00710A0F">
              <w:rPr>
                <w:noProof/>
                <w:webHidden/>
              </w:rPr>
              <w:fldChar w:fldCharType="begin"/>
            </w:r>
            <w:r w:rsidR="00710A0F">
              <w:rPr>
                <w:noProof/>
                <w:webHidden/>
              </w:rPr>
              <w:instrText xml:space="preserve"> PAGEREF _Toc7448027 \h </w:instrText>
            </w:r>
            <w:r w:rsidR="00710A0F">
              <w:rPr>
                <w:noProof/>
                <w:webHidden/>
              </w:rPr>
            </w:r>
            <w:r w:rsidR="00710A0F">
              <w:rPr>
                <w:noProof/>
                <w:webHidden/>
              </w:rPr>
              <w:fldChar w:fldCharType="separate"/>
            </w:r>
            <w:r w:rsidR="00710A0F">
              <w:rPr>
                <w:noProof/>
                <w:webHidden/>
              </w:rPr>
              <w:t>299</w:t>
            </w:r>
            <w:r w:rsidR="00710A0F">
              <w:rPr>
                <w:noProof/>
                <w:webHidden/>
              </w:rPr>
              <w:fldChar w:fldCharType="end"/>
            </w:r>
          </w:hyperlink>
        </w:p>
        <w:p w14:paraId="5C3F68CE" w14:textId="77777777" w:rsidR="00710A0F" w:rsidRDefault="000C4795">
          <w:pPr>
            <w:pStyle w:val="31"/>
            <w:tabs>
              <w:tab w:val="left" w:pos="1100"/>
              <w:tab w:val="right" w:leader="dot" w:pos="9344"/>
            </w:tabs>
            <w:rPr>
              <w:rFonts w:eastAsiaTheme="minorEastAsia"/>
              <w:noProof/>
              <w:sz w:val="22"/>
              <w:szCs w:val="22"/>
              <w:lang w:eastAsia="ru-RU"/>
            </w:rPr>
          </w:pPr>
          <w:hyperlink w:anchor="_Toc7448028" w:history="1">
            <w:r w:rsidR="00710A0F" w:rsidRPr="009470AE">
              <w:rPr>
                <w:rStyle w:val="af1"/>
                <w:noProof/>
              </w:rPr>
              <w:t>3.15.2.</w:t>
            </w:r>
            <w:r w:rsidR="00710A0F">
              <w:rPr>
                <w:rFonts w:eastAsiaTheme="minorEastAsia"/>
                <w:noProof/>
                <w:sz w:val="22"/>
                <w:szCs w:val="22"/>
                <w:lang w:eastAsia="ru-RU"/>
              </w:rPr>
              <w:tab/>
            </w:r>
            <w:r w:rsidR="00710A0F" w:rsidRPr="009470AE">
              <w:rPr>
                <w:rStyle w:val="af1"/>
                <w:noProof/>
              </w:rPr>
              <w:t>Достигнутые результаты развития конкуренции и предложения по развитию конкуренции</w:t>
            </w:r>
            <w:r w:rsidR="00710A0F">
              <w:rPr>
                <w:noProof/>
                <w:webHidden/>
              </w:rPr>
              <w:tab/>
            </w:r>
            <w:r w:rsidR="00710A0F">
              <w:rPr>
                <w:noProof/>
                <w:webHidden/>
              </w:rPr>
              <w:fldChar w:fldCharType="begin"/>
            </w:r>
            <w:r w:rsidR="00710A0F">
              <w:rPr>
                <w:noProof/>
                <w:webHidden/>
              </w:rPr>
              <w:instrText xml:space="preserve"> PAGEREF _Toc7448028 \h </w:instrText>
            </w:r>
            <w:r w:rsidR="00710A0F">
              <w:rPr>
                <w:noProof/>
                <w:webHidden/>
              </w:rPr>
            </w:r>
            <w:r w:rsidR="00710A0F">
              <w:rPr>
                <w:noProof/>
                <w:webHidden/>
              </w:rPr>
              <w:fldChar w:fldCharType="separate"/>
            </w:r>
            <w:r w:rsidR="00710A0F">
              <w:rPr>
                <w:noProof/>
                <w:webHidden/>
              </w:rPr>
              <w:t>305</w:t>
            </w:r>
            <w:r w:rsidR="00710A0F">
              <w:rPr>
                <w:noProof/>
                <w:webHidden/>
              </w:rPr>
              <w:fldChar w:fldCharType="end"/>
            </w:r>
          </w:hyperlink>
        </w:p>
        <w:p w14:paraId="07A4A039"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29" w:history="1">
            <w:r w:rsidR="00710A0F" w:rsidRPr="009470AE">
              <w:rPr>
                <w:rStyle w:val="af1"/>
                <w:noProof/>
              </w:rPr>
              <w:t>3.16.</w:t>
            </w:r>
            <w:r w:rsidR="00710A0F">
              <w:rPr>
                <w:rFonts w:eastAsiaTheme="minorEastAsia"/>
                <w:b w:val="0"/>
                <w:bCs w:val="0"/>
                <w:noProof/>
                <w:sz w:val="22"/>
                <w:szCs w:val="22"/>
                <w:lang w:eastAsia="ru-RU"/>
              </w:rPr>
              <w:tab/>
            </w:r>
            <w:r w:rsidR="00710A0F" w:rsidRPr="009470AE">
              <w:rPr>
                <w:rStyle w:val="af1"/>
                <w:noProof/>
              </w:rPr>
              <w:t>В сфере финансовых рынков</w:t>
            </w:r>
            <w:r w:rsidR="00710A0F">
              <w:rPr>
                <w:noProof/>
                <w:webHidden/>
              </w:rPr>
              <w:tab/>
            </w:r>
            <w:r w:rsidR="00710A0F">
              <w:rPr>
                <w:noProof/>
                <w:webHidden/>
              </w:rPr>
              <w:fldChar w:fldCharType="begin"/>
            </w:r>
            <w:r w:rsidR="00710A0F">
              <w:rPr>
                <w:noProof/>
                <w:webHidden/>
              </w:rPr>
              <w:instrText xml:space="preserve"> PAGEREF _Toc7448029 \h </w:instrText>
            </w:r>
            <w:r w:rsidR="00710A0F">
              <w:rPr>
                <w:noProof/>
                <w:webHidden/>
              </w:rPr>
            </w:r>
            <w:r w:rsidR="00710A0F">
              <w:rPr>
                <w:noProof/>
                <w:webHidden/>
              </w:rPr>
              <w:fldChar w:fldCharType="separate"/>
            </w:r>
            <w:r w:rsidR="00710A0F">
              <w:rPr>
                <w:noProof/>
                <w:webHidden/>
              </w:rPr>
              <w:t>308</w:t>
            </w:r>
            <w:r w:rsidR="00710A0F">
              <w:rPr>
                <w:noProof/>
                <w:webHidden/>
              </w:rPr>
              <w:fldChar w:fldCharType="end"/>
            </w:r>
          </w:hyperlink>
        </w:p>
        <w:p w14:paraId="51A36813" w14:textId="77777777" w:rsidR="00710A0F" w:rsidRDefault="000C4795">
          <w:pPr>
            <w:pStyle w:val="31"/>
            <w:tabs>
              <w:tab w:val="left" w:pos="1100"/>
              <w:tab w:val="right" w:leader="dot" w:pos="9344"/>
            </w:tabs>
            <w:rPr>
              <w:rFonts w:eastAsiaTheme="minorEastAsia"/>
              <w:noProof/>
              <w:sz w:val="22"/>
              <w:szCs w:val="22"/>
              <w:lang w:eastAsia="ru-RU"/>
            </w:rPr>
          </w:pPr>
          <w:hyperlink w:anchor="_Toc7448030" w:history="1">
            <w:r w:rsidR="00710A0F" w:rsidRPr="009470AE">
              <w:rPr>
                <w:rStyle w:val="af1"/>
                <w:noProof/>
              </w:rPr>
              <w:t>3.15.3.</w:t>
            </w:r>
            <w:r w:rsidR="00710A0F">
              <w:rPr>
                <w:rFonts w:eastAsiaTheme="minorEastAsia"/>
                <w:noProof/>
                <w:sz w:val="22"/>
                <w:szCs w:val="22"/>
                <w:lang w:eastAsia="ru-RU"/>
              </w:rPr>
              <w:tab/>
            </w:r>
            <w:r w:rsidR="00710A0F" w:rsidRPr="009470AE">
              <w:rPr>
                <w:rStyle w:val="af1"/>
                <w:noProof/>
              </w:rPr>
              <w:t>Рынок банковских и взаимозаменяемых с ним услуг</w:t>
            </w:r>
            <w:r w:rsidR="00710A0F">
              <w:rPr>
                <w:noProof/>
                <w:webHidden/>
              </w:rPr>
              <w:tab/>
            </w:r>
            <w:r w:rsidR="00710A0F">
              <w:rPr>
                <w:noProof/>
                <w:webHidden/>
              </w:rPr>
              <w:fldChar w:fldCharType="begin"/>
            </w:r>
            <w:r w:rsidR="00710A0F">
              <w:rPr>
                <w:noProof/>
                <w:webHidden/>
              </w:rPr>
              <w:instrText xml:space="preserve"> PAGEREF _Toc7448030 \h </w:instrText>
            </w:r>
            <w:r w:rsidR="00710A0F">
              <w:rPr>
                <w:noProof/>
                <w:webHidden/>
              </w:rPr>
            </w:r>
            <w:r w:rsidR="00710A0F">
              <w:rPr>
                <w:noProof/>
                <w:webHidden/>
              </w:rPr>
              <w:fldChar w:fldCharType="separate"/>
            </w:r>
            <w:r w:rsidR="00710A0F">
              <w:rPr>
                <w:noProof/>
                <w:webHidden/>
              </w:rPr>
              <w:t>309</w:t>
            </w:r>
            <w:r w:rsidR="00710A0F">
              <w:rPr>
                <w:noProof/>
                <w:webHidden/>
              </w:rPr>
              <w:fldChar w:fldCharType="end"/>
            </w:r>
          </w:hyperlink>
        </w:p>
        <w:p w14:paraId="04DC71AE" w14:textId="77777777" w:rsidR="00710A0F" w:rsidRDefault="000C4795">
          <w:pPr>
            <w:pStyle w:val="31"/>
            <w:tabs>
              <w:tab w:val="left" w:pos="1100"/>
              <w:tab w:val="right" w:leader="dot" w:pos="9344"/>
            </w:tabs>
            <w:rPr>
              <w:rFonts w:eastAsiaTheme="minorEastAsia"/>
              <w:noProof/>
              <w:sz w:val="22"/>
              <w:szCs w:val="22"/>
              <w:lang w:eastAsia="ru-RU"/>
            </w:rPr>
          </w:pPr>
          <w:hyperlink w:anchor="_Toc7448031" w:history="1">
            <w:r w:rsidR="00710A0F" w:rsidRPr="009470AE">
              <w:rPr>
                <w:rStyle w:val="af1"/>
                <w:noProof/>
              </w:rPr>
              <w:t>3.15.4.</w:t>
            </w:r>
            <w:r w:rsidR="00710A0F">
              <w:rPr>
                <w:rFonts w:eastAsiaTheme="minorEastAsia"/>
                <w:noProof/>
                <w:sz w:val="22"/>
                <w:szCs w:val="22"/>
                <w:lang w:eastAsia="ru-RU"/>
              </w:rPr>
              <w:tab/>
            </w:r>
            <w:r w:rsidR="00710A0F" w:rsidRPr="009470AE">
              <w:rPr>
                <w:rStyle w:val="af1"/>
                <w:noProof/>
              </w:rPr>
              <w:t>Рынок платежных и иных связанных с осуществлением и получением платежей услуг</w:t>
            </w:r>
            <w:r w:rsidR="00710A0F">
              <w:rPr>
                <w:noProof/>
                <w:webHidden/>
              </w:rPr>
              <w:tab/>
            </w:r>
            <w:r w:rsidR="00710A0F">
              <w:rPr>
                <w:noProof/>
                <w:webHidden/>
              </w:rPr>
              <w:fldChar w:fldCharType="begin"/>
            </w:r>
            <w:r w:rsidR="00710A0F">
              <w:rPr>
                <w:noProof/>
                <w:webHidden/>
              </w:rPr>
              <w:instrText xml:space="preserve"> PAGEREF _Toc7448031 \h </w:instrText>
            </w:r>
            <w:r w:rsidR="00710A0F">
              <w:rPr>
                <w:noProof/>
                <w:webHidden/>
              </w:rPr>
            </w:r>
            <w:r w:rsidR="00710A0F">
              <w:rPr>
                <w:noProof/>
                <w:webHidden/>
              </w:rPr>
              <w:fldChar w:fldCharType="separate"/>
            </w:r>
            <w:r w:rsidR="00710A0F">
              <w:rPr>
                <w:noProof/>
                <w:webHidden/>
              </w:rPr>
              <w:t>314</w:t>
            </w:r>
            <w:r w:rsidR="00710A0F">
              <w:rPr>
                <w:noProof/>
                <w:webHidden/>
              </w:rPr>
              <w:fldChar w:fldCharType="end"/>
            </w:r>
          </w:hyperlink>
        </w:p>
        <w:p w14:paraId="1801CC59" w14:textId="77777777" w:rsidR="00710A0F" w:rsidRDefault="000C4795">
          <w:pPr>
            <w:pStyle w:val="31"/>
            <w:tabs>
              <w:tab w:val="left" w:pos="1100"/>
              <w:tab w:val="right" w:leader="dot" w:pos="9344"/>
            </w:tabs>
            <w:rPr>
              <w:rFonts w:eastAsiaTheme="minorEastAsia"/>
              <w:noProof/>
              <w:sz w:val="22"/>
              <w:szCs w:val="22"/>
              <w:lang w:eastAsia="ru-RU"/>
            </w:rPr>
          </w:pPr>
          <w:hyperlink w:anchor="_Toc7448032" w:history="1">
            <w:r w:rsidR="00710A0F" w:rsidRPr="009470AE">
              <w:rPr>
                <w:rStyle w:val="af1"/>
                <w:noProof/>
              </w:rPr>
              <w:t>3.15.5.</w:t>
            </w:r>
            <w:r w:rsidR="00710A0F">
              <w:rPr>
                <w:rFonts w:eastAsiaTheme="minorEastAsia"/>
                <w:noProof/>
                <w:sz w:val="22"/>
                <w:szCs w:val="22"/>
                <w:lang w:eastAsia="ru-RU"/>
              </w:rPr>
              <w:tab/>
            </w:r>
            <w:r w:rsidR="00710A0F" w:rsidRPr="009470AE">
              <w:rPr>
                <w:rStyle w:val="af1"/>
                <w:noProof/>
              </w:rPr>
              <w:t>Рынок страховых услуг</w:t>
            </w:r>
            <w:r w:rsidR="00710A0F">
              <w:rPr>
                <w:noProof/>
                <w:webHidden/>
              </w:rPr>
              <w:tab/>
            </w:r>
            <w:r w:rsidR="00710A0F">
              <w:rPr>
                <w:noProof/>
                <w:webHidden/>
              </w:rPr>
              <w:fldChar w:fldCharType="begin"/>
            </w:r>
            <w:r w:rsidR="00710A0F">
              <w:rPr>
                <w:noProof/>
                <w:webHidden/>
              </w:rPr>
              <w:instrText xml:space="preserve"> PAGEREF _Toc7448032 \h </w:instrText>
            </w:r>
            <w:r w:rsidR="00710A0F">
              <w:rPr>
                <w:noProof/>
                <w:webHidden/>
              </w:rPr>
            </w:r>
            <w:r w:rsidR="00710A0F">
              <w:rPr>
                <w:noProof/>
                <w:webHidden/>
              </w:rPr>
              <w:fldChar w:fldCharType="separate"/>
            </w:r>
            <w:r w:rsidR="00710A0F">
              <w:rPr>
                <w:noProof/>
                <w:webHidden/>
              </w:rPr>
              <w:t>319</w:t>
            </w:r>
            <w:r w:rsidR="00710A0F">
              <w:rPr>
                <w:noProof/>
                <w:webHidden/>
              </w:rPr>
              <w:fldChar w:fldCharType="end"/>
            </w:r>
          </w:hyperlink>
        </w:p>
        <w:p w14:paraId="18092549" w14:textId="77777777" w:rsidR="00710A0F" w:rsidRDefault="000C4795">
          <w:pPr>
            <w:pStyle w:val="31"/>
            <w:tabs>
              <w:tab w:val="left" w:pos="1100"/>
              <w:tab w:val="right" w:leader="dot" w:pos="9344"/>
            </w:tabs>
            <w:rPr>
              <w:rFonts w:eastAsiaTheme="minorEastAsia"/>
              <w:noProof/>
              <w:sz w:val="22"/>
              <w:szCs w:val="22"/>
              <w:lang w:eastAsia="ru-RU"/>
            </w:rPr>
          </w:pPr>
          <w:hyperlink w:anchor="_Toc7448033" w:history="1">
            <w:r w:rsidR="00710A0F" w:rsidRPr="009470AE">
              <w:rPr>
                <w:rStyle w:val="af1"/>
                <w:noProof/>
              </w:rPr>
              <w:t>3.15.6.</w:t>
            </w:r>
            <w:r w:rsidR="00710A0F">
              <w:rPr>
                <w:rFonts w:eastAsiaTheme="minorEastAsia"/>
                <w:noProof/>
                <w:sz w:val="22"/>
                <w:szCs w:val="22"/>
                <w:lang w:eastAsia="ru-RU"/>
              </w:rPr>
              <w:tab/>
            </w:r>
            <w:r w:rsidR="00710A0F" w:rsidRPr="009470AE">
              <w:rPr>
                <w:rStyle w:val="af1"/>
                <w:noProof/>
              </w:rPr>
              <w:t>Рынок финансовых услуг</w:t>
            </w:r>
            <w:r w:rsidR="00710A0F">
              <w:rPr>
                <w:noProof/>
                <w:webHidden/>
              </w:rPr>
              <w:tab/>
            </w:r>
            <w:r w:rsidR="00710A0F">
              <w:rPr>
                <w:noProof/>
                <w:webHidden/>
              </w:rPr>
              <w:fldChar w:fldCharType="begin"/>
            </w:r>
            <w:r w:rsidR="00710A0F">
              <w:rPr>
                <w:noProof/>
                <w:webHidden/>
              </w:rPr>
              <w:instrText xml:space="preserve"> PAGEREF _Toc7448033 \h </w:instrText>
            </w:r>
            <w:r w:rsidR="00710A0F">
              <w:rPr>
                <w:noProof/>
                <w:webHidden/>
              </w:rPr>
            </w:r>
            <w:r w:rsidR="00710A0F">
              <w:rPr>
                <w:noProof/>
                <w:webHidden/>
              </w:rPr>
              <w:fldChar w:fldCharType="separate"/>
            </w:r>
            <w:r w:rsidR="00710A0F">
              <w:rPr>
                <w:noProof/>
                <w:webHidden/>
              </w:rPr>
              <w:t>323</w:t>
            </w:r>
            <w:r w:rsidR="00710A0F">
              <w:rPr>
                <w:noProof/>
                <w:webHidden/>
              </w:rPr>
              <w:fldChar w:fldCharType="end"/>
            </w:r>
          </w:hyperlink>
        </w:p>
        <w:p w14:paraId="31E828C7"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34" w:history="1">
            <w:r w:rsidR="00710A0F" w:rsidRPr="009470AE">
              <w:rPr>
                <w:rStyle w:val="af1"/>
                <w:noProof/>
              </w:rPr>
              <w:t>3.17.</w:t>
            </w:r>
            <w:r w:rsidR="00710A0F">
              <w:rPr>
                <w:rFonts w:eastAsiaTheme="minorEastAsia"/>
                <w:b w:val="0"/>
                <w:bCs w:val="0"/>
                <w:noProof/>
                <w:sz w:val="22"/>
                <w:szCs w:val="22"/>
                <w:lang w:eastAsia="ru-RU"/>
              </w:rPr>
              <w:tab/>
            </w:r>
            <w:r w:rsidR="00710A0F" w:rsidRPr="009470AE">
              <w:rPr>
                <w:rStyle w:val="af1"/>
                <w:noProof/>
              </w:rPr>
              <w:t>В сфере природных ресурсов (недропользование, водопользование, лесное и охотничье хозяйства)</w:t>
            </w:r>
            <w:r w:rsidR="00710A0F">
              <w:rPr>
                <w:noProof/>
                <w:webHidden/>
              </w:rPr>
              <w:tab/>
            </w:r>
            <w:r w:rsidR="00710A0F">
              <w:rPr>
                <w:noProof/>
                <w:webHidden/>
              </w:rPr>
              <w:fldChar w:fldCharType="begin"/>
            </w:r>
            <w:r w:rsidR="00710A0F">
              <w:rPr>
                <w:noProof/>
                <w:webHidden/>
              </w:rPr>
              <w:instrText xml:space="preserve"> PAGEREF _Toc7448034 \h </w:instrText>
            </w:r>
            <w:r w:rsidR="00710A0F">
              <w:rPr>
                <w:noProof/>
                <w:webHidden/>
              </w:rPr>
            </w:r>
            <w:r w:rsidR="00710A0F">
              <w:rPr>
                <w:noProof/>
                <w:webHidden/>
              </w:rPr>
              <w:fldChar w:fldCharType="separate"/>
            </w:r>
            <w:r w:rsidR="00710A0F">
              <w:rPr>
                <w:noProof/>
                <w:webHidden/>
              </w:rPr>
              <w:t>327</w:t>
            </w:r>
            <w:r w:rsidR="00710A0F">
              <w:rPr>
                <w:noProof/>
                <w:webHidden/>
              </w:rPr>
              <w:fldChar w:fldCharType="end"/>
            </w:r>
          </w:hyperlink>
        </w:p>
        <w:p w14:paraId="32712A2B" w14:textId="77777777" w:rsidR="00710A0F" w:rsidRDefault="000C4795">
          <w:pPr>
            <w:pStyle w:val="31"/>
            <w:tabs>
              <w:tab w:val="left" w:pos="1100"/>
              <w:tab w:val="right" w:leader="dot" w:pos="9344"/>
            </w:tabs>
            <w:rPr>
              <w:rFonts w:eastAsiaTheme="minorEastAsia"/>
              <w:noProof/>
              <w:sz w:val="22"/>
              <w:szCs w:val="22"/>
              <w:lang w:eastAsia="ru-RU"/>
            </w:rPr>
          </w:pPr>
          <w:hyperlink w:anchor="_Toc7448039" w:history="1">
            <w:r w:rsidR="00710A0F" w:rsidRPr="009470AE">
              <w:rPr>
                <w:rStyle w:val="af1"/>
                <w:noProof/>
              </w:rPr>
              <w:t>3.17.1.</w:t>
            </w:r>
            <w:r w:rsidR="00710A0F">
              <w:rPr>
                <w:rFonts w:eastAsiaTheme="minorEastAsia"/>
                <w:noProof/>
                <w:sz w:val="22"/>
                <w:szCs w:val="22"/>
                <w:lang w:eastAsia="ru-RU"/>
              </w:rPr>
              <w:tab/>
            </w:r>
            <w:r w:rsidR="00710A0F" w:rsidRPr="009470AE">
              <w:rPr>
                <w:rStyle w:val="af1"/>
                <w:noProof/>
              </w:rPr>
              <w:t>Состояние конкуренции: тенденции и проблемы</w:t>
            </w:r>
            <w:r w:rsidR="00710A0F">
              <w:rPr>
                <w:noProof/>
                <w:webHidden/>
              </w:rPr>
              <w:tab/>
            </w:r>
            <w:r w:rsidR="00710A0F">
              <w:rPr>
                <w:noProof/>
                <w:webHidden/>
              </w:rPr>
              <w:fldChar w:fldCharType="begin"/>
            </w:r>
            <w:r w:rsidR="00710A0F">
              <w:rPr>
                <w:noProof/>
                <w:webHidden/>
              </w:rPr>
              <w:instrText xml:space="preserve"> PAGEREF _Toc7448039 \h </w:instrText>
            </w:r>
            <w:r w:rsidR="00710A0F">
              <w:rPr>
                <w:noProof/>
                <w:webHidden/>
              </w:rPr>
            </w:r>
            <w:r w:rsidR="00710A0F">
              <w:rPr>
                <w:noProof/>
                <w:webHidden/>
              </w:rPr>
              <w:fldChar w:fldCharType="separate"/>
            </w:r>
            <w:r w:rsidR="00710A0F">
              <w:rPr>
                <w:noProof/>
                <w:webHidden/>
              </w:rPr>
              <w:t>327</w:t>
            </w:r>
            <w:r w:rsidR="00710A0F">
              <w:rPr>
                <w:noProof/>
                <w:webHidden/>
              </w:rPr>
              <w:fldChar w:fldCharType="end"/>
            </w:r>
          </w:hyperlink>
        </w:p>
        <w:p w14:paraId="3A6B7F39" w14:textId="77777777" w:rsidR="00710A0F" w:rsidRDefault="000C4795">
          <w:pPr>
            <w:pStyle w:val="31"/>
            <w:tabs>
              <w:tab w:val="left" w:pos="1100"/>
              <w:tab w:val="right" w:leader="dot" w:pos="9344"/>
            </w:tabs>
            <w:rPr>
              <w:rFonts w:eastAsiaTheme="minorEastAsia"/>
              <w:noProof/>
              <w:sz w:val="22"/>
              <w:szCs w:val="22"/>
              <w:lang w:eastAsia="ru-RU"/>
            </w:rPr>
          </w:pPr>
          <w:hyperlink w:anchor="_Toc7448040" w:history="1">
            <w:r w:rsidR="00710A0F" w:rsidRPr="009470AE">
              <w:rPr>
                <w:rStyle w:val="af1"/>
                <w:noProof/>
              </w:rPr>
              <w:t>3.17.2.</w:t>
            </w:r>
            <w:r w:rsidR="00710A0F">
              <w:rPr>
                <w:rFonts w:eastAsiaTheme="minorEastAsia"/>
                <w:noProof/>
                <w:sz w:val="22"/>
                <w:szCs w:val="22"/>
                <w:lang w:eastAsia="ru-RU"/>
              </w:rPr>
              <w:tab/>
            </w:r>
            <w:r w:rsidR="00710A0F" w:rsidRPr="009470AE">
              <w:rPr>
                <w:rStyle w:val="af1"/>
                <w:noProof/>
              </w:rPr>
              <w:t>Достигнутые результаты развития конкуренции и предложения по развитию конкуренции</w:t>
            </w:r>
            <w:r w:rsidR="00710A0F">
              <w:rPr>
                <w:noProof/>
                <w:webHidden/>
              </w:rPr>
              <w:tab/>
            </w:r>
            <w:r w:rsidR="00710A0F">
              <w:rPr>
                <w:noProof/>
                <w:webHidden/>
              </w:rPr>
              <w:fldChar w:fldCharType="begin"/>
            </w:r>
            <w:r w:rsidR="00710A0F">
              <w:rPr>
                <w:noProof/>
                <w:webHidden/>
              </w:rPr>
              <w:instrText xml:space="preserve"> PAGEREF _Toc7448040 \h </w:instrText>
            </w:r>
            <w:r w:rsidR="00710A0F">
              <w:rPr>
                <w:noProof/>
                <w:webHidden/>
              </w:rPr>
            </w:r>
            <w:r w:rsidR="00710A0F">
              <w:rPr>
                <w:noProof/>
                <w:webHidden/>
              </w:rPr>
              <w:fldChar w:fldCharType="separate"/>
            </w:r>
            <w:r w:rsidR="00710A0F">
              <w:rPr>
                <w:noProof/>
                <w:webHidden/>
              </w:rPr>
              <w:t>331</w:t>
            </w:r>
            <w:r w:rsidR="00710A0F">
              <w:rPr>
                <w:noProof/>
                <w:webHidden/>
              </w:rPr>
              <w:fldChar w:fldCharType="end"/>
            </w:r>
          </w:hyperlink>
        </w:p>
        <w:p w14:paraId="48FC921C"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41" w:history="1">
            <w:r w:rsidR="00710A0F" w:rsidRPr="009470AE">
              <w:rPr>
                <w:rStyle w:val="af1"/>
                <w:noProof/>
              </w:rPr>
              <w:t>3.18.</w:t>
            </w:r>
            <w:r w:rsidR="00710A0F">
              <w:rPr>
                <w:rFonts w:eastAsiaTheme="minorEastAsia"/>
                <w:b w:val="0"/>
                <w:bCs w:val="0"/>
                <w:noProof/>
                <w:sz w:val="22"/>
                <w:szCs w:val="22"/>
                <w:lang w:eastAsia="ru-RU"/>
              </w:rPr>
              <w:tab/>
            </w:r>
            <w:r w:rsidR="00710A0F" w:rsidRPr="009470AE">
              <w:rPr>
                <w:rStyle w:val="af1"/>
                <w:noProof/>
              </w:rPr>
              <w:t>В Рыбохозяйственном комплексе</w:t>
            </w:r>
            <w:r w:rsidR="00710A0F">
              <w:rPr>
                <w:noProof/>
                <w:webHidden/>
              </w:rPr>
              <w:tab/>
            </w:r>
            <w:r w:rsidR="00710A0F">
              <w:rPr>
                <w:noProof/>
                <w:webHidden/>
              </w:rPr>
              <w:fldChar w:fldCharType="begin"/>
            </w:r>
            <w:r w:rsidR="00710A0F">
              <w:rPr>
                <w:noProof/>
                <w:webHidden/>
              </w:rPr>
              <w:instrText xml:space="preserve"> PAGEREF _Toc7448041 \h </w:instrText>
            </w:r>
            <w:r w:rsidR="00710A0F">
              <w:rPr>
                <w:noProof/>
                <w:webHidden/>
              </w:rPr>
            </w:r>
            <w:r w:rsidR="00710A0F">
              <w:rPr>
                <w:noProof/>
                <w:webHidden/>
              </w:rPr>
              <w:fldChar w:fldCharType="separate"/>
            </w:r>
            <w:r w:rsidR="00710A0F">
              <w:rPr>
                <w:noProof/>
                <w:webHidden/>
              </w:rPr>
              <w:t>332</w:t>
            </w:r>
            <w:r w:rsidR="00710A0F">
              <w:rPr>
                <w:noProof/>
                <w:webHidden/>
              </w:rPr>
              <w:fldChar w:fldCharType="end"/>
            </w:r>
          </w:hyperlink>
        </w:p>
        <w:p w14:paraId="1C7E254C" w14:textId="77777777" w:rsidR="00710A0F" w:rsidRDefault="000C4795">
          <w:pPr>
            <w:pStyle w:val="31"/>
            <w:tabs>
              <w:tab w:val="left" w:pos="1100"/>
              <w:tab w:val="right" w:leader="dot" w:pos="9344"/>
            </w:tabs>
            <w:rPr>
              <w:rFonts w:eastAsiaTheme="minorEastAsia"/>
              <w:noProof/>
              <w:sz w:val="22"/>
              <w:szCs w:val="22"/>
              <w:lang w:eastAsia="ru-RU"/>
            </w:rPr>
          </w:pPr>
          <w:hyperlink w:anchor="_Toc7448044" w:history="1">
            <w:r w:rsidR="00710A0F" w:rsidRPr="009470AE">
              <w:rPr>
                <w:rStyle w:val="af1"/>
                <w:noProof/>
              </w:rPr>
              <w:t>3.18.1.</w:t>
            </w:r>
            <w:r w:rsidR="00710A0F">
              <w:rPr>
                <w:rFonts w:eastAsiaTheme="minorEastAsia"/>
                <w:noProof/>
                <w:sz w:val="22"/>
                <w:szCs w:val="22"/>
                <w:lang w:eastAsia="ru-RU"/>
              </w:rPr>
              <w:tab/>
            </w:r>
            <w:r w:rsidR="00710A0F" w:rsidRPr="009470AE">
              <w:rPr>
                <w:rStyle w:val="af1"/>
                <w:noProof/>
              </w:rPr>
              <w:t>Состояние конкуренции: тенденции и проблемы</w:t>
            </w:r>
            <w:r w:rsidR="00710A0F">
              <w:rPr>
                <w:noProof/>
                <w:webHidden/>
              </w:rPr>
              <w:tab/>
            </w:r>
            <w:r w:rsidR="00710A0F">
              <w:rPr>
                <w:noProof/>
                <w:webHidden/>
              </w:rPr>
              <w:fldChar w:fldCharType="begin"/>
            </w:r>
            <w:r w:rsidR="00710A0F">
              <w:rPr>
                <w:noProof/>
                <w:webHidden/>
              </w:rPr>
              <w:instrText xml:space="preserve"> PAGEREF _Toc7448044 \h </w:instrText>
            </w:r>
            <w:r w:rsidR="00710A0F">
              <w:rPr>
                <w:noProof/>
                <w:webHidden/>
              </w:rPr>
            </w:r>
            <w:r w:rsidR="00710A0F">
              <w:rPr>
                <w:noProof/>
                <w:webHidden/>
              </w:rPr>
              <w:fldChar w:fldCharType="separate"/>
            </w:r>
            <w:r w:rsidR="00710A0F">
              <w:rPr>
                <w:noProof/>
                <w:webHidden/>
              </w:rPr>
              <w:t>332</w:t>
            </w:r>
            <w:r w:rsidR="00710A0F">
              <w:rPr>
                <w:noProof/>
                <w:webHidden/>
              </w:rPr>
              <w:fldChar w:fldCharType="end"/>
            </w:r>
          </w:hyperlink>
        </w:p>
        <w:p w14:paraId="2E69A861" w14:textId="77777777" w:rsidR="00710A0F" w:rsidRDefault="000C4795">
          <w:pPr>
            <w:pStyle w:val="31"/>
            <w:tabs>
              <w:tab w:val="left" w:pos="1100"/>
              <w:tab w:val="right" w:leader="dot" w:pos="9344"/>
            </w:tabs>
            <w:rPr>
              <w:rFonts w:eastAsiaTheme="minorEastAsia"/>
              <w:noProof/>
              <w:sz w:val="22"/>
              <w:szCs w:val="22"/>
              <w:lang w:eastAsia="ru-RU"/>
            </w:rPr>
          </w:pPr>
          <w:hyperlink w:anchor="_Toc7448045" w:history="1">
            <w:r w:rsidR="00710A0F" w:rsidRPr="009470AE">
              <w:rPr>
                <w:rStyle w:val="af1"/>
                <w:noProof/>
              </w:rPr>
              <w:t>3.18.2.</w:t>
            </w:r>
            <w:r w:rsidR="00710A0F">
              <w:rPr>
                <w:rFonts w:eastAsiaTheme="minorEastAsia"/>
                <w:noProof/>
                <w:sz w:val="22"/>
                <w:szCs w:val="22"/>
                <w:lang w:eastAsia="ru-RU"/>
              </w:rPr>
              <w:tab/>
            </w:r>
            <w:r w:rsidR="00710A0F" w:rsidRPr="009470AE">
              <w:rPr>
                <w:rStyle w:val="af1"/>
                <w:noProof/>
              </w:rPr>
              <w:t>Достигнутые результаты развития конкуренции и предложения по развитию конкуренции</w:t>
            </w:r>
            <w:r w:rsidR="00710A0F">
              <w:rPr>
                <w:noProof/>
                <w:webHidden/>
              </w:rPr>
              <w:tab/>
            </w:r>
            <w:r w:rsidR="00710A0F">
              <w:rPr>
                <w:noProof/>
                <w:webHidden/>
              </w:rPr>
              <w:fldChar w:fldCharType="begin"/>
            </w:r>
            <w:r w:rsidR="00710A0F">
              <w:rPr>
                <w:noProof/>
                <w:webHidden/>
              </w:rPr>
              <w:instrText xml:space="preserve"> PAGEREF _Toc7448045 \h </w:instrText>
            </w:r>
            <w:r w:rsidR="00710A0F">
              <w:rPr>
                <w:noProof/>
                <w:webHidden/>
              </w:rPr>
            </w:r>
            <w:r w:rsidR="00710A0F">
              <w:rPr>
                <w:noProof/>
                <w:webHidden/>
              </w:rPr>
              <w:fldChar w:fldCharType="separate"/>
            </w:r>
            <w:r w:rsidR="00710A0F">
              <w:rPr>
                <w:noProof/>
                <w:webHidden/>
              </w:rPr>
              <w:t>335</w:t>
            </w:r>
            <w:r w:rsidR="00710A0F">
              <w:rPr>
                <w:noProof/>
                <w:webHidden/>
              </w:rPr>
              <w:fldChar w:fldCharType="end"/>
            </w:r>
          </w:hyperlink>
        </w:p>
        <w:p w14:paraId="266D6DED" w14:textId="77777777" w:rsidR="00710A0F" w:rsidRDefault="000C4795">
          <w:pPr>
            <w:pStyle w:val="12"/>
            <w:tabs>
              <w:tab w:val="left" w:pos="440"/>
            </w:tabs>
            <w:rPr>
              <w:rFonts w:asciiTheme="minorHAnsi" w:eastAsiaTheme="minorEastAsia" w:hAnsiTheme="minorHAnsi"/>
              <w:b w:val="0"/>
              <w:bCs w:val="0"/>
              <w:caps w:val="0"/>
              <w:noProof/>
              <w:sz w:val="22"/>
              <w:szCs w:val="22"/>
              <w:lang w:eastAsia="ru-RU"/>
            </w:rPr>
          </w:pPr>
          <w:hyperlink w:anchor="_Toc7448046" w:history="1">
            <w:r w:rsidR="00710A0F" w:rsidRPr="009470AE">
              <w:rPr>
                <w:rStyle w:val="af1"/>
                <w:noProof/>
              </w:rPr>
              <w:t>4.</w:t>
            </w:r>
            <w:r w:rsidR="00710A0F">
              <w:rPr>
                <w:rFonts w:asciiTheme="minorHAnsi" w:eastAsiaTheme="minorEastAsia" w:hAnsiTheme="minorHAnsi"/>
                <w:b w:val="0"/>
                <w:bCs w:val="0"/>
                <w:caps w:val="0"/>
                <w:noProof/>
                <w:sz w:val="22"/>
                <w:szCs w:val="22"/>
                <w:lang w:eastAsia="ru-RU"/>
              </w:rPr>
              <w:tab/>
            </w:r>
            <w:r w:rsidR="00710A0F" w:rsidRPr="009470AE">
              <w:rPr>
                <w:rStyle w:val="af1"/>
                <w:noProof/>
              </w:rPr>
              <w:t>СОВЕРШЕНСТВОВАНИЕ ГОСУДАРСТВЕННОЙ ПОЛИТИКИ ПО РАЗВИТИЮ КОНКУРЕНЦИИ В РОССИЙСКОЙ ФЕДЕРАЦИИ</w:t>
            </w:r>
            <w:r w:rsidR="00710A0F">
              <w:rPr>
                <w:noProof/>
                <w:webHidden/>
              </w:rPr>
              <w:tab/>
            </w:r>
            <w:r w:rsidR="00710A0F">
              <w:rPr>
                <w:noProof/>
                <w:webHidden/>
              </w:rPr>
              <w:fldChar w:fldCharType="begin"/>
            </w:r>
            <w:r w:rsidR="00710A0F">
              <w:rPr>
                <w:noProof/>
                <w:webHidden/>
              </w:rPr>
              <w:instrText xml:space="preserve"> PAGEREF _Toc7448046 \h </w:instrText>
            </w:r>
            <w:r w:rsidR="00710A0F">
              <w:rPr>
                <w:noProof/>
                <w:webHidden/>
              </w:rPr>
            </w:r>
            <w:r w:rsidR="00710A0F">
              <w:rPr>
                <w:noProof/>
                <w:webHidden/>
              </w:rPr>
              <w:fldChar w:fldCharType="separate"/>
            </w:r>
            <w:r w:rsidR="00710A0F">
              <w:rPr>
                <w:noProof/>
                <w:webHidden/>
              </w:rPr>
              <w:t>338</w:t>
            </w:r>
            <w:r w:rsidR="00710A0F">
              <w:rPr>
                <w:noProof/>
                <w:webHidden/>
              </w:rPr>
              <w:fldChar w:fldCharType="end"/>
            </w:r>
          </w:hyperlink>
        </w:p>
        <w:p w14:paraId="4F1EEB06"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48" w:history="1">
            <w:r w:rsidR="00710A0F" w:rsidRPr="009470AE">
              <w:rPr>
                <w:rStyle w:val="af1"/>
                <w:noProof/>
              </w:rPr>
              <w:t>4.1.</w:t>
            </w:r>
            <w:r w:rsidR="00710A0F">
              <w:rPr>
                <w:rFonts w:eastAsiaTheme="minorEastAsia"/>
                <w:b w:val="0"/>
                <w:bCs w:val="0"/>
                <w:noProof/>
                <w:sz w:val="22"/>
                <w:szCs w:val="22"/>
                <w:lang w:eastAsia="ru-RU"/>
              </w:rPr>
              <w:tab/>
            </w:r>
            <w:r w:rsidR="00710A0F" w:rsidRPr="009470AE">
              <w:rPr>
                <w:rStyle w:val="af1"/>
                <w:noProof/>
              </w:rPr>
              <w:t>Сведения о выполнении мер, предложенных в предыдущих докладах</w:t>
            </w:r>
            <w:r w:rsidR="00710A0F">
              <w:rPr>
                <w:noProof/>
                <w:webHidden/>
              </w:rPr>
              <w:tab/>
            </w:r>
            <w:r w:rsidR="00710A0F">
              <w:rPr>
                <w:noProof/>
                <w:webHidden/>
              </w:rPr>
              <w:fldChar w:fldCharType="begin"/>
            </w:r>
            <w:r w:rsidR="00710A0F">
              <w:rPr>
                <w:noProof/>
                <w:webHidden/>
              </w:rPr>
              <w:instrText xml:space="preserve"> PAGEREF _Toc7448048 \h </w:instrText>
            </w:r>
            <w:r w:rsidR="00710A0F">
              <w:rPr>
                <w:noProof/>
                <w:webHidden/>
              </w:rPr>
            </w:r>
            <w:r w:rsidR="00710A0F">
              <w:rPr>
                <w:noProof/>
                <w:webHidden/>
              </w:rPr>
              <w:fldChar w:fldCharType="separate"/>
            </w:r>
            <w:r w:rsidR="00710A0F">
              <w:rPr>
                <w:noProof/>
                <w:webHidden/>
              </w:rPr>
              <w:t>338</w:t>
            </w:r>
            <w:r w:rsidR="00710A0F">
              <w:rPr>
                <w:noProof/>
                <w:webHidden/>
              </w:rPr>
              <w:fldChar w:fldCharType="end"/>
            </w:r>
          </w:hyperlink>
        </w:p>
        <w:p w14:paraId="702B1B6B"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49" w:history="1">
            <w:r w:rsidR="00710A0F" w:rsidRPr="009470AE">
              <w:rPr>
                <w:rStyle w:val="af1"/>
                <w:noProof/>
              </w:rPr>
              <w:t>4.2.</w:t>
            </w:r>
            <w:r w:rsidR="00710A0F">
              <w:rPr>
                <w:rFonts w:eastAsiaTheme="minorEastAsia"/>
                <w:b w:val="0"/>
                <w:bCs w:val="0"/>
                <w:noProof/>
                <w:sz w:val="22"/>
                <w:szCs w:val="22"/>
                <w:lang w:eastAsia="ru-RU"/>
              </w:rPr>
              <w:tab/>
            </w:r>
            <w:r w:rsidR="00710A0F" w:rsidRPr="009470AE">
              <w:rPr>
                <w:rStyle w:val="af1"/>
                <w:noProof/>
              </w:rPr>
              <w:t>Задачи по совершенствованию государственной политики по развитию конкуренции в Российской Федерации</w:t>
            </w:r>
            <w:r w:rsidR="00710A0F">
              <w:rPr>
                <w:noProof/>
                <w:webHidden/>
              </w:rPr>
              <w:tab/>
            </w:r>
            <w:r w:rsidR="00710A0F">
              <w:rPr>
                <w:noProof/>
                <w:webHidden/>
              </w:rPr>
              <w:fldChar w:fldCharType="begin"/>
            </w:r>
            <w:r w:rsidR="00710A0F">
              <w:rPr>
                <w:noProof/>
                <w:webHidden/>
              </w:rPr>
              <w:instrText xml:space="preserve"> PAGEREF _Toc7448049 \h </w:instrText>
            </w:r>
            <w:r w:rsidR="00710A0F">
              <w:rPr>
                <w:noProof/>
                <w:webHidden/>
              </w:rPr>
            </w:r>
            <w:r w:rsidR="00710A0F">
              <w:rPr>
                <w:noProof/>
                <w:webHidden/>
              </w:rPr>
              <w:fldChar w:fldCharType="separate"/>
            </w:r>
            <w:r w:rsidR="00710A0F">
              <w:rPr>
                <w:noProof/>
                <w:webHidden/>
              </w:rPr>
              <w:t>344</w:t>
            </w:r>
            <w:r w:rsidR="00710A0F">
              <w:rPr>
                <w:noProof/>
                <w:webHidden/>
              </w:rPr>
              <w:fldChar w:fldCharType="end"/>
            </w:r>
          </w:hyperlink>
        </w:p>
        <w:p w14:paraId="40C7DAB2" w14:textId="77777777" w:rsidR="00710A0F" w:rsidRDefault="000C4795">
          <w:pPr>
            <w:pStyle w:val="12"/>
            <w:rPr>
              <w:rFonts w:asciiTheme="minorHAnsi" w:eastAsiaTheme="minorEastAsia" w:hAnsiTheme="minorHAnsi"/>
              <w:b w:val="0"/>
              <w:bCs w:val="0"/>
              <w:caps w:val="0"/>
              <w:noProof/>
              <w:sz w:val="22"/>
              <w:szCs w:val="22"/>
              <w:lang w:eastAsia="ru-RU"/>
            </w:rPr>
          </w:pPr>
          <w:hyperlink w:anchor="_Toc7448050" w:history="1">
            <w:r w:rsidR="00710A0F" w:rsidRPr="009470AE">
              <w:rPr>
                <w:rStyle w:val="af1"/>
                <w:noProof/>
              </w:rPr>
              <w:t>ПРИЛОЖЕНИЕ:</w:t>
            </w:r>
            <w:r w:rsidR="00710A0F">
              <w:rPr>
                <w:noProof/>
                <w:webHidden/>
              </w:rPr>
              <w:tab/>
            </w:r>
            <w:r w:rsidR="00710A0F">
              <w:rPr>
                <w:noProof/>
                <w:webHidden/>
              </w:rPr>
              <w:fldChar w:fldCharType="begin"/>
            </w:r>
            <w:r w:rsidR="00710A0F">
              <w:rPr>
                <w:noProof/>
                <w:webHidden/>
              </w:rPr>
              <w:instrText xml:space="preserve"> PAGEREF _Toc7448050 \h </w:instrText>
            </w:r>
            <w:r w:rsidR="00710A0F">
              <w:rPr>
                <w:noProof/>
                <w:webHidden/>
              </w:rPr>
            </w:r>
            <w:r w:rsidR="00710A0F">
              <w:rPr>
                <w:noProof/>
                <w:webHidden/>
              </w:rPr>
              <w:fldChar w:fldCharType="separate"/>
            </w:r>
            <w:r w:rsidR="00710A0F">
              <w:rPr>
                <w:noProof/>
                <w:webHidden/>
              </w:rPr>
              <w:t>351</w:t>
            </w:r>
            <w:r w:rsidR="00710A0F">
              <w:rPr>
                <w:noProof/>
                <w:webHidden/>
              </w:rPr>
              <w:fldChar w:fldCharType="end"/>
            </w:r>
          </w:hyperlink>
        </w:p>
        <w:p w14:paraId="4E1DBE32" w14:textId="77777777" w:rsidR="00710A0F" w:rsidRDefault="000C4795">
          <w:pPr>
            <w:pStyle w:val="12"/>
            <w:tabs>
              <w:tab w:val="left" w:pos="440"/>
            </w:tabs>
            <w:rPr>
              <w:rFonts w:asciiTheme="minorHAnsi" w:eastAsiaTheme="minorEastAsia" w:hAnsiTheme="minorHAnsi"/>
              <w:b w:val="0"/>
              <w:bCs w:val="0"/>
              <w:caps w:val="0"/>
              <w:noProof/>
              <w:sz w:val="22"/>
              <w:szCs w:val="22"/>
              <w:lang w:eastAsia="ru-RU"/>
            </w:rPr>
          </w:pPr>
          <w:hyperlink w:anchor="_Toc7448051" w:history="1">
            <w:r w:rsidR="00710A0F" w:rsidRPr="009470AE">
              <w:rPr>
                <w:rStyle w:val="af1"/>
                <w:noProof/>
              </w:rPr>
              <w:t>1.</w:t>
            </w:r>
            <w:r w:rsidR="00710A0F">
              <w:rPr>
                <w:rFonts w:asciiTheme="minorHAnsi" w:eastAsiaTheme="minorEastAsia" w:hAnsiTheme="minorHAnsi"/>
                <w:b w:val="0"/>
                <w:bCs w:val="0"/>
                <w:caps w:val="0"/>
                <w:noProof/>
                <w:sz w:val="22"/>
                <w:szCs w:val="22"/>
                <w:lang w:eastAsia="ru-RU"/>
              </w:rPr>
              <w:tab/>
            </w:r>
            <w:r w:rsidR="00710A0F" w:rsidRPr="009470AE">
              <w:rPr>
                <w:rStyle w:val="af1"/>
                <w:noProof/>
              </w:rPr>
              <w:t>Об итогах деятельности ФАС России в 2018 году</w:t>
            </w:r>
            <w:r w:rsidR="00710A0F">
              <w:rPr>
                <w:noProof/>
                <w:webHidden/>
              </w:rPr>
              <w:tab/>
            </w:r>
            <w:r w:rsidR="00710A0F">
              <w:rPr>
                <w:noProof/>
                <w:webHidden/>
              </w:rPr>
              <w:fldChar w:fldCharType="begin"/>
            </w:r>
            <w:r w:rsidR="00710A0F">
              <w:rPr>
                <w:noProof/>
                <w:webHidden/>
              </w:rPr>
              <w:instrText xml:space="preserve"> PAGEREF _Toc7448051 \h </w:instrText>
            </w:r>
            <w:r w:rsidR="00710A0F">
              <w:rPr>
                <w:noProof/>
                <w:webHidden/>
              </w:rPr>
            </w:r>
            <w:r w:rsidR="00710A0F">
              <w:rPr>
                <w:noProof/>
                <w:webHidden/>
              </w:rPr>
              <w:fldChar w:fldCharType="separate"/>
            </w:r>
            <w:r w:rsidR="00710A0F">
              <w:rPr>
                <w:noProof/>
                <w:webHidden/>
              </w:rPr>
              <w:t>351</w:t>
            </w:r>
            <w:r w:rsidR="00710A0F">
              <w:rPr>
                <w:noProof/>
                <w:webHidden/>
              </w:rPr>
              <w:fldChar w:fldCharType="end"/>
            </w:r>
          </w:hyperlink>
        </w:p>
        <w:p w14:paraId="661674B4" w14:textId="77777777" w:rsidR="00710A0F" w:rsidRDefault="000C4795">
          <w:pPr>
            <w:pStyle w:val="12"/>
            <w:tabs>
              <w:tab w:val="left" w:pos="440"/>
            </w:tabs>
            <w:rPr>
              <w:rFonts w:asciiTheme="minorHAnsi" w:eastAsiaTheme="minorEastAsia" w:hAnsiTheme="minorHAnsi"/>
              <w:b w:val="0"/>
              <w:bCs w:val="0"/>
              <w:caps w:val="0"/>
              <w:noProof/>
              <w:sz w:val="22"/>
              <w:szCs w:val="22"/>
              <w:lang w:eastAsia="ru-RU"/>
            </w:rPr>
          </w:pPr>
          <w:hyperlink w:anchor="_Toc7448052" w:history="1">
            <w:r w:rsidR="00710A0F" w:rsidRPr="009470AE">
              <w:rPr>
                <w:rStyle w:val="af1"/>
                <w:noProof/>
              </w:rPr>
              <w:t>2.</w:t>
            </w:r>
            <w:r w:rsidR="00710A0F">
              <w:rPr>
                <w:rFonts w:asciiTheme="minorHAnsi" w:eastAsiaTheme="minorEastAsia" w:hAnsiTheme="minorHAnsi"/>
                <w:b w:val="0"/>
                <w:bCs w:val="0"/>
                <w:caps w:val="0"/>
                <w:noProof/>
                <w:sz w:val="22"/>
                <w:szCs w:val="22"/>
                <w:lang w:eastAsia="ru-RU"/>
              </w:rPr>
              <w:tab/>
            </w:r>
            <w:r w:rsidR="00710A0F" w:rsidRPr="009470AE">
              <w:rPr>
                <w:rStyle w:val="af1"/>
                <w:noProof/>
              </w:rPr>
              <w:t>Оценка состояния конкуренции институтами гражданского общества</w:t>
            </w:r>
            <w:r w:rsidR="00710A0F">
              <w:rPr>
                <w:noProof/>
                <w:webHidden/>
              </w:rPr>
              <w:tab/>
            </w:r>
            <w:r w:rsidR="00710A0F">
              <w:rPr>
                <w:noProof/>
                <w:webHidden/>
              </w:rPr>
              <w:fldChar w:fldCharType="begin"/>
            </w:r>
            <w:r w:rsidR="00710A0F">
              <w:rPr>
                <w:noProof/>
                <w:webHidden/>
              </w:rPr>
              <w:instrText xml:space="preserve"> PAGEREF _Toc7448052 \h </w:instrText>
            </w:r>
            <w:r w:rsidR="00710A0F">
              <w:rPr>
                <w:noProof/>
                <w:webHidden/>
              </w:rPr>
            </w:r>
            <w:r w:rsidR="00710A0F">
              <w:rPr>
                <w:noProof/>
                <w:webHidden/>
              </w:rPr>
              <w:fldChar w:fldCharType="separate"/>
            </w:r>
            <w:r w:rsidR="00710A0F">
              <w:rPr>
                <w:noProof/>
                <w:webHidden/>
              </w:rPr>
              <w:t>371</w:t>
            </w:r>
            <w:r w:rsidR="00710A0F">
              <w:rPr>
                <w:noProof/>
                <w:webHidden/>
              </w:rPr>
              <w:fldChar w:fldCharType="end"/>
            </w:r>
          </w:hyperlink>
        </w:p>
        <w:p w14:paraId="068816DA"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53" w:history="1">
            <w:r w:rsidR="00710A0F" w:rsidRPr="009470AE">
              <w:rPr>
                <w:rStyle w:val="af1"/>
                <w:noProof/>
              </w:rPr>
              <w:t>2.1</w:t>
            </w:r>
            <w:r w:rsidR="00710A0F">
              <w:rPr>
                <w:rFonts w:eastAsiaTheme="minorEastAsia"/>
                <w:b w:val="0"/>
                <w:bCs w:val="0"/>
                <w:noProof/>
                <w:sz w:val="22"/>
                <w:szCs w:val="22"/>
                <w:lang w:eastAsia="ru-RU"/>
              </w:rPr>
              <w:tab/>
            </w:r>
            <w:r w:rsidR="00710A0F" w:rsidRPr="009470AE">
              <w:rPr>
                <w:rStyle w:val="af1"/>
                <w:noProof/>
              </w:rPr>
              <w:t>Аналитический центр при Правительстве Российской Федерации</w:t>
            </w:r>
            <w:r w:rsidR="00710A0F">
              <w:rPr>
                <w:noProof/>
                <w:webHidden/>
              </w:rPr>
              <w:tab/>
            </w:r>
            <w:r w:rsidR="00710A0F">
              <w:rPr>
                <w:noProof/>
                <w:webHidden/>
              </w:rPr>
              <w:fldChar w:fldCharType="begin"/>
            </w:r>
            <w:r w:rsidR="00710A0F">
              <w:rPr>
                <w:noProof/>
                <w:webHidden/>
              </w:rPr>
              <w:instrText xml:space="preserve"> PAGEREF _Toc7448053 \h </w:instrText>
            </w:r>
            <w:r w:rsidR="00710A0F">
              <w:rPr>
                <w:noProof/>
                <w:webHidden/>
              </w:rPr>
            </w:r>
            <w:r w:rsidR="00710A0F">
              <w:rPr>
                <w:noProof/>
                <w:webHidden/>
              </w:rPr>
              <w:fldChar w:fldCharType="separate"/>
            </w:r>
            <w:r w:rsidR="00710A0F">
              <w:rPr>
                <w:noProof/>
                <w:webHidden/>
              </w:rPr>
              <w:t>371</w:t>
            </w:r>
            <w:r w:rsidR="00710A0F">
              <w:rPr>
                <w:noProof/>
                <w:webHidden/>
              </w:rPr>
              <w:fldChar w:fldCharType="end"/>
            </w:r>
          </w:hyperlink>
        </w:p>
        <w:p w14:paraId="2DE16D88"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54" w:history="1">
            <w:r w:rsidR="00710A0F" w:rsidRPr="009470AE">
              <w:rPr>
                <w:rStyle w:val="af1"/>
                <w:noProof/>
              </w:rPr>
              <w:t>2.2.</w:t>
            </w:r>
            <w:r w:rsidR="00710A0F">
              <w:rPr>
                <w:rFonts w:eastAsiaTheme="minorEastAsia"/>
                <w:b w:val="0"/>
                <w:bCs w:val="0"/>
                <w:noProof/>
                <w:sz w:val="22"/>
                <w:szCs w:val="22"/>
                <w:lang w:eastAsia="ru-RU"/>
              </w:rPr>
              <w:tab/>
            </w:r>
            <w:r w:rsidR="00710A0F" w:rsidRPr="009470AE">
              <w:rPr>
                <w:rStyle w:val="af1"/>
                <w:noProof/>
              </w:rPr>
              <w:t>Некоммерческое партнерство «Объединение корпоративных юристов России»</w:t>
            </w:r>
            <w:r w:rsidR="00710A0F">
              <w:rPr>
                <w:noProof/>
                <w:webHidden/>
              </w:rPr>
              <w:tab/>
            </w:r>
            <w:r w:rsidR="00710A0F">
              <w:rPr>
                <w:noProof/>
                <w:webHidden/>
              </w:rPr>
              <w:fldChar w:fldCharType="begin"/>
            </w:r>
            <w:r w:rsidR="00710A0F">
              <w:rPr>
                <w:noProof/>
                <w:webHidden/>
              </w:rPr>
              <w:instrText xml:space="preserve"> PAGEREF _Toc7448054 \h </w:instrText>
            </w:r>
            <w:r w:rsidR="00710A0F">
              <w:rPr>
                <w:noProof/>
                <w:webHidden/>
              </w:rPr>
            </w:r>
            <w:r w:rsidR="00710A0F">
              <w:rPr>
                <w:noProof/>
                <w:webHidden/>
              </w:rPr>
              <w:fldChar w:fldCharType="separate"/>
            </w:r>
            <w:r w:rsidR="00710A0F">
              <w:rPr>
                <w:noProof/>
                <w:webHidden/>
              </w:rPr>
              <w:t>376</w:t>
            </w:r>
            <w:r w:rsidR="00710A0F">
              <w:rPr>
                <w:noProof/>
                <w:webHidden/>
              </w:rPr>
              <w:fldChar w:fldCharType="end"/>
            </w:r>
          </w:hyperlink>
        </w:p>
        <w:p w14:paraId="3C33C70F"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55" w:history="1">
            <w:r w:rsidR="00710A0F" w:rsidRPr="009470AE">
              <w:rPr>
                <w:rStyle w:val="af1"/>
                <w:noProof/>
              </w:rPr>
              <w:t>2.3.</w:t>
            </w:r>
            <w:r w:rsidR="00710A0F">
              <w:rPr>
                <w:rFonts w:eastAsiaTheme="minorEastAsia"/>
                <w:b w:val="0"/>
                <w:bCs w:val="0"/>
                <w:noProof/>
                <w:sz w:val="22"/>
                <w:szCs w:val="22"/>
                <w:lang w:eastAsia="ru-RU"/>
              </w:rPr>
              <w:tab/>
            </w:r>
            <w:r w:rsidR="00710A0F" w:rsidRPr="009470AE">
              <w:rPr>
                <w:rStyle w:val="af1"/>
                <w:noProof/>
              </w:rPr>
              <w:t>Общероссийская общественная организация малого и среднего предпринимательства «ОПОРА РОССИИ»</w:t>
            </w:r>
            <w:r w:rsidR="00710A0F">
              <w:rPr>
                <w:noProof/>
                <w:webHidden/>
              </w:rPr>
              <w:tab/>
            </w:r>
            <w:r w:rsidR="00710A0F">
              <w:rPr>
                <w:noProof/>
                <w:webHidden/>
              </w:rPr>
              <w:fldChar w:fldCharType="begin"/>
            </w:r>
            <w:r w:rsidR="00710A0F">
              <w:rPr>
                <w:noProof/>
                <w:webHidden/>
              </w:rPr>
              <w:instrText xml:space="preserve"> PAGEREF _Toc7448055 \h </w:instrText>
            </w:r>
            <w:r w:rsidR="00710A0F">
              <w:rPr>
                <w:noProof/>
                <w:webHidden/>
              </w:rPr>
            </w:r>
            <w:r w:rsidR="00710A0F">
              <w:rPr>
                <w:noProof/>
                <w:webHidden/>
              </w:rPr>
              <w:fldChar w:fldCharType="separate"/>
            </w:r>
            <w:r w:rsidR="00710A0F">
              <w:rPr>
                <w:noProof/>
                <w:webHidden/>
              </w:rPr>
              <w:t>417</w:t>
            </w:r>
            <w:r w:rsidR="00710A0F">
              <w:rPr>
                <w:noProof/>
                <w:webHidden/>
              </w:rPr>
              <w:fldChar w:fldCharType="end"/>
            </w:r>
          </w:hyperlink>
        </w:p>
        <w:p w14:paraId="29685D52"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56" w:history="1">
            <w:r w:rsidR="00710A0F" w:rsidRPr="009470AE">
              <w:rPr>
                <w:rStyle w:val="af1"/>
                <w:noProof/>
              </w:rPr>
              <w:t>2.4.</w:t>
            </w:r>
            <w:r w:rsidR="00710A0F">
              <w:rPr>
                <w:rFonts w:eastAsiaTheme="minorEastAsia"/>
                <w:b w:val="0"/>
                <w:bCs w:val="0"/>
                <w:noProof/>
                <w:sz w:val="22"/>
                <w:szCs w:val="22"/>
                <w:lang w:eastAsia="ru-RU"/>
              </w:rPr>
              <w:tab/>
            </w:r>
            <w:r w:rsidR="00710A0F" w:rsidRPr="009470AE">
              <w:rPr>
                <w:rStyle w:val="af1"/>
                <w:noProof/>
              </w:rPr>
              <w:t>Общероссийская общественная организация «Деловая Россия»</w:t>
            </w:r>
            <w:r w:rsidR="00710A0F">
              <w:rPr>
                <w:noProof/>
                <w:webHidden/>
              </w:rPr>
              <w:tab/>
            </w:r>
            <w:r w:rsidR="00710A0F">
              <w:rPr>
                <w:noProof/>
                <w:webHidden/>
              </w:rPr>
              <w:fldChar w:fldCharType="begin"/>
            </w:r>
            <w:r w:rsidR="00710A0F">
              <w:rPr>
                <w:noProof/>
                <w:webHidden/>
              </w:rPr>
              <w:instrText xml:space="preserve"> PAGEREF _Toc7448056 \h </w:instrText>
            </w:r>
            <w:r w:rsidR="00710A0F">
              <w:rPr>
                <w:noProof/>
                <w:webHidden/>
              </w:rPr>
            </w:r>
            <w:r w:rsidR="00710A0F">
              <w:rPr>
                <w:noProof/>
                <w:webHidden/>
              </w:rPr>
              <w:fldChar w:fldCharType="separate"/>
            </w:r>
            <w:r w:rsidR="00710A0F">
              <w:rPr>
                <w:noProof/>
                <w:webHidden/>
              </w:rPr>
              <w:t>431</w:t>
            </w:r>
            <w:r w:rsidR="00710A0F">
              <w:rPr>
                <w:noProof/>
                <w:webHidden/>
              </w:rPr>
              <w:fldChar w:fldCharType="end"/>
            </w:r>
          </w:hyperlink>
        </w:p>
        <w:p w14:paraId="23D0E896"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57" w:history="1">
            <w:r w:rsidR="00710A0F" w:rsidRPr="009470AE">
              <w:rPr>
                <w:rStyle w:val="af1"/>
                <w:noProof/>
              </w:rPr>
              <w:t>2.5.</w:t>
            </w:r>
            <w:r w:rsidR="00710A0F">
              <w:rPr>
                <w:rFonts w:eastAsiaTheme="minorEastAsia"/>
                <w:b w:val="0"/>
                <w:bCs w:val="0"/>
                <w:noProof/>
                <w:sz w:val="22"/>
                <w:szCs w:val="22"/>
                <w:lang w:eastAsia="ru-RU"/>
              </w:rPr>
              <w:tab/>
            </w:r>
            <w:r w:rsidR="00710A0F" w:rsidRPr="009470AE">
              <w:rPr>
                <w:rStyle w:val="af1"/>
                <w:noProof/>
              </w:rPr>
              <w:t>Общероссийская общественно-государственная организация «Добровольное общество содействия армии, авиации и флоту России» (ДОСААФ России)</w:t>
            </w:r>
            <w:r w:rsidR="00710A0F">
              <w:rPr>
                <w:noProof/>
                <w:webHidden/>
              </w:rPr>
              <w:tab/>
            </w:r>
            <w:r w:rsidR="00710A0F">
              <w:rPr>
                <w:noProof/>
                <w:webHidden/>
              </w:rPr>
              <w:fldChar w:fldCharType="begin"/>
            </w:r>
            <w:r w:rsidR="00710A0F">
              <w:rPr>
                <w:noProof/>
                <w:webHidden/>
              </w:rPr>
              <w:instrText xml:space="preserve"> PAGEREF _Toc7448057 \h </w:instrText>
            </w:r>
            <w:r w:rsidR="00710A0F">
              <w:rPr>
                <w:noProof/>
                <w:webHidden/>
              </w:rPr>
            </w:r>
            <w:r w:rsidR="00710A0F">
              <w:rPr>
                <w:noProof/>
                <w:webHidden/>
              </w:rPr>
              <w:fldChar w:fldCharType="separate"/>
            </w:r>
            <w:r w:rsidR="00710A0F">
              <w:rPr>
                <w:noProof/>
                <w:webHidden/>
              </w:rPr>
              <w:t>433</w:t>
            </w:r>
            <w:r w:rsidR="00710A0F">
              <w:rPr>
                <w:noProof/>
                <w:webHidden/>
              </w:rPr>
              <w:fldChar w:fldCharType="end"/>
            </w:r>
          </w:hyperlink>
        </w:p>
        <w:p w14:paraId="20777525" w14:textId="77777777" w:rsidR="00710A0F" w:rsidRDefault="000C4795">
          <w:pPr>
            <w:pStyle w:val="12"/>
            <w:tabs>
              <w:tab w:val="left" w:pos="440"/>
            </w:tabs>
            <w:rPr>
              <w:rFonts w:asciiTheme="minorHAnsi" w:eastAsiaTheme="minorEastAsia" w:hAnsiTheme="minorHAnsi"/>
              <w:b w:val="0"/>
              <w:bCs w:val="0"/>
              <w:caps w:val="0"/>
              <w:noProof/>
              <w:sz w:val="22"/>
              <w:szCs w:val="22"/>
              <w:lang w:eastAsia="ru-RU"/>
            </w:rPr>
          </w:pPr>
          <w:hyperlink w:anchor="_Toc7448058" w:history="1">
            <w:r w:rsidR="00710A0F" w:rsidRPr="009470AE">
              <w:rPr>
                <w:rStyle w:val="af1"/>
                <w:rFonts w:cs="Times New Roman"/>
                <w:noProof/>
              </w:rPr>
              <w:t>3.</w:t>
            </w:r>
            <w:r w:rsidR="00710A0F">
              <w:rPr>
                <w:rFonts w:asciiTheme="minorHAnsi" w:eastAsiaTheme="minorEastAsia" w:hAnsiTheme="minorHAnsi"/>
                <w:b w:val="0"/>
                <w:bCs w:val="0"/>
                <w:caps w:val="0"/>
                <w:noProof/>
                <w:sz w:val="22"/>
                <w:szCs w:val="22"/>
                <w:lang w:eastAsia="ru-RU"/>
              </w:rPr>
              <w:tab/>
            </w:r>
            <w:r w:rsidR="00710A0F" w:rsidRPr="009470AE">
              <w:rPr>
                <w:rStyle w:val="af1"/>
                <w:rFonts w:cs="Times New Roman"/>
                <w:noProof/>
              </w:rPr>
              <w:t>Оценки федеральных органов исполнительной власти</w:t>
            </w:r>
            <w:r w:rsidR="00710A0F">
              <w:rPr>
                <w:noProof/>
                <w:webHidden/>
              </w:rPr>
              <w:tab/>
            </w:r>
            <w:r w:rsidR="00710A0F">
              <w:rPr>
                <w:noProof/>
                <w:webHidden/>
              </w:rPr>
              <w:fldChar w:fldCharType="begin"/>
            </w:r>
            <w:r w:rsidR="00710A0F">
              <w:rPr>
                <w:noProof/>
                <w:webHidden/>
              </w:rPr>
              <w:instrText xml:space="preserve"> PAGEREF _Toc7448058 \h </w:instrText>
            </w:r>
            <w:r w:rsidR="00710A0F">
              <w:rPr>
                <w:noProof/>
                <w:webHidden/>
              </w:rPr>
            </w:r>
            <w:r w:rsidR="00710A0F">
              <w:rPr>
                <w:noProof/>
                <w:webHidden/>
              </w:rPr>
              <w:fldChar w:fldCharType="separate"/>
            </w:r>
            <w:r w:rsidR="00710A0F">
              <w:rPr>
                <w:noProof/>
                <w:webHidden/>
              </w:rPr>
              <w:t>434</w:t>
            </w:r>
            <w:r w:rsidR="00710A0F">
              <w:rPr>
                <w:noProof/>
                <w:webHidden/>
              </w:rPr>
              <w:fldChar w:fldCharType="end"/>
            </w:r>
          </w:hyperlink>
        </w:p>
        <w:p w14:paraId="21D5DE31"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60" w:history="1">
            <w:r w:rsidR="00710A0F" w:rsidRPr="009470AE">
              <w:rPr>
                <w:rStyle w:val="af1"/>
                <w:noProof/>
              </w:rPr>
              <w:t>3.1.</w:t>
            </w:r>
            <w:r w:rsidR="00710A0F">
              <w:rPr>
                <w:rFonts w:eastAsiaTheme="minorEastAsia"/>
                <w:b w:val="0"/>
                <w:bCs w:val="0"/>
                <w:noProof/>
                <w:sz w:val="22"/>
                <w:szCs w:val="22"/>
                <w:lang w:eastAsia="ru-RU"/>
              </w:rPr>
              <w:tab/>
            </w:r>
            <w:r w:rsidR="00710A0F" w:rsidRPr="009470AE">
              <w:rPr>
                <w:rStyle w:val="af1"/>
                <w:noProof/>
              </w:rPr>
              <w:t>Министерство экономического развития Российской Федерации</w:t>
            </w:r>
            <w:r w:rsidR="00710A0F">
              <w:rPr>
                <w:noProof/>
                <w:webHidden/>
              </w:rPr>
              <w:tab/>
            </w:r>
            <w:r w:rsidR="00710A0F">
              <w:rPr>
                <w:noProof/>
                <w:webHidden/>
              </w:rPr>
              <w:fldChar w:fldCharType="begin"/>
            </w:r>
            <w:r w:rsidR="00710A0F">
              <w:rPr>
                <w:noProof/>
                <w:webHidden/>
              </w:rPr>
              <w:instrText xml:space="preserve"> PAGEREF _Toc7448060 \h </w:instrText>
            </w:r>
            <w:r w:rsidR="00710A0F">
              <w:rPr>
                <w:noProof/>
                <w:webHidden/>
              </w:rPr>
            </w:r>
            <w:r w:rsidR="00710A0F">
              <w:rPr>
                <w:noProof/>
                <w:webHidden/>
              </w:rPr>
              <w:fldChar w:fldCharType="separate"/>
            </w:r>
            <w:r w:rsidR="00710A0F">
              <w:rPr>
                <w:noProof/>
                <w:webHidden/>
              </w:rPr>
              <w:t>434</w:t>
            </w:r>
            <w:r w:rsidR="00710A0F">
              <w:rPr>
                <w:noProof/>
                <w:webHidden/>
              </w:rPr>
              <w:fldChar w:fldCharType="end"/>
            </w:r>
          </w:hyperlink>
        </w:p>
        <w:p w14:paraId="24B9B7CC"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61" w:history="1">
            <w:r w:rsidR="00710A0F" w:rsidRPr="009470AE">
              <w:rPr>
                <w:rStyle w:val="af1"/>
                <w:noProof/>
              </w:rPr>
              <w:t>3.2.</w:t>
            </w:r>
            <w:r w:rsidR="00710A0F">
              <w:rPr>
                <w:rFonts w:eastAsiaTheme="minorEastAsia"/>
                <w:b w:val="0"/>
                <w:bCs w:val="0"/>
                <w:noProof/>
                <w:sz w:val="22"/>
                <w:szCs w:val="22"/>
                <w:lang w:eastAsia="ru-RU"/>
              </w:rPr>
              <w:tab/>
            </w:r>
            <w:r w:rsidR="00710A0F" w:rsidRPr="009470AE">
              <w:rPr>
                <w:rStyle w:val="af1"/>
                <w:noProof/>
              </w:rPr>
              <w:t>Министерство промышленности и торговли Российской Федерации</w:t>
            </w:r>
            <w:r w:rsidR="00710A0F">
              <w:rPr>
                <w:noProof/>
                <w:webHidden/>
              </w:rPr>
              <w:tab/>
            </w:r>
            <w:r w:rsidR="00710A0F">
              <w:rPr>
                <w:noProof/>
                <w:webHidden/>
              </w:rPr>
              <w:fldChar w:fldCharType="begin"/>
            </w:r>
            <w:r w:rsidR="00710A0F">
              <w:rPr>
                <w:noProof/>
                <w:webHidden/>
              </w:rPr>
              <w:instrText xml:space="preserve"> PAGEREF _Toc7448061 \h </w:instrText>
            </w:r>
            <w:r w:rsidR="00710A0F">
              <w:rPr>
                <w:noProof/>
                <w:webHidden/>
              </w:rPr>
            </w:r>
            <w:r w:rsidR="00710A0F">
              <w:rPr>
                <w:noProof/>
                <w:webHidden/>
              </w:rPr>
              <w:fldChar w:fldCharType="separate"/>
            </w:r>
            <w:r w:rsidR="00710A0F">
              <w:rPr>
                <w:noProof/>
                <w:webHidden/>
              </w:rPr>
              <w:t>450</w:t>
            </w:r>
            <w:r w:rsidR="00710A0F">
              <w:rPr>
                <w:noProof/>
                <w:webHidden/>
              </w:rPr>
              <w:fldChar w:fldCharType="end"/>
            </w:r>
          </w:hyperlink>
        </w:p>
        <w:p w14:paraId="03CCD738"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62" w:history="1">
            <w:r w:rsidR="00710A0F" w:rsidRPr="009470AE">
              <w:rPr>
                <w:rStyle w:val="af1"/>
                <w:noProof/>
              </w:rPr>
              <w:t>3.3.</w:t>
            </w:r>
            <w:r w:rsidR="00710A0F">
              <w:rPr>
                <w:rFonts w:eastAsiaTheme="minorEastAsia"/>
                <w:b w:val="0"/>
                <w:bCs w:val="0"/>
                <w:noProof/>
                <w:sz w:val="22"/>
                <w:szCs w:val="22"/>
                <w:lang w:eastAsia="ru-RU"/>
              </w:rPr>
              <w:tab/>
            </w:r>
            <w:r w:rsidR="00710A0F" w:rsidRPr="009470AE">
              <w:rPr>
                <w:rStyle w:val="af1"/>
                <w:noProof/>
              </w:rPr>
              <w:t>Министерство сельского хозяйства Российской Федерации</w:t>
            </w:r>
            <w:r w:rsidR="00710A0F">
              <w:rPr>
                <w:noProof/>
                <w:webHidden/>
              </w:rPr>
              <w:tab/>
            </w:r>
            <w:r w:rsidR="00710A0F">
              <w:rPr>
                <w:noProof/>
                <w:webHidden/>
              </w:rPr>
              <w:fldChar w:fldCharType="begin"/>
            </w:r>
            <w:r w:rsidR="00710A0F">
              <w:rPr>
                <w:noProof/>
                <w:webHidden/>
              </w:rPr>
              <w:instrText xml:space="preserve"> PAGEREF _Toc7448062 \h </w:instrText>
            </w:r>
            <w:r w:rsidR="00710A0F">
              <w:rPr>
                <w:noProof/>
                <w:webHidden/>
              </w:rPr>
            </w:r>
            <w:r w:rsidR="00710A0F">
              <w:rPr>
                <w:noProof/>
                <w:webHidden/>
              </w:rPr>
              <w:fldChar w:fldCharType="separate"/>
            </w:r>
            <w:r w:rsidR="00710A0F">
              <w:rPr>
                <w:noProof/>
                <w:webHidden/>
              </w:rPr>
              <w:t>495</w:t>
            </w:r>
            <w:r w:rsidR="00710A0F">
              <w:rPr>
                <w:noProof/>
                <w:webHidden/>
              </w:rPr>
              <w:fldChar w:fldCharType="end"/>
            </w:r>
          </w:hyperlink>
        </w:p>
        <w:p w14:paraId="6469251B"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63" w:history="1">
            <w:r w:rsidR="00710A0F" w:rsidRPr="009470AE">
              <w:rPr>
                <w:rStyle w:val="af1"/>
                <w:noProof/>
              </w:rPr>
              <w:t>3.4.</w:t>
            </w:r>
            <w:r w:rsidR="00710A0F">
              <w:rPr>
                <w:rFonts w:eastAsiaTheme="minorEastAsia"/>
                <w:b w:val="0"/>
                <w:bCs w:val="0"/>
                <w:noProof/>
                <w:sz w:val="22"/>
                <w:szCs w:val="22"/>
                <w:lang w:eastAsia="ru-RU"/>
              </w:rPr>
              <w:tab/>
            </w:r>
            <w:r w:rsidR="00710A0F" w:rsidRPr="009470AE">
              <w:rPr>
                <w:rStyle w:val="af1"/>
                <w:noProof/>
              </w:rPr>
              <w:t>Министерство труда и социальной защиты Российской Федерации</w:t>
            </w:r>
            <w:r w:rsidR="00710A0F">
              <w:rPr>
                <w:noProof/>
                <w:webHidden/>
              </w:rPr>
              <w:tab/>
            </w:r>
            <w:r w:rsidR="00710A0F">
              <w:rPr>
                <w:noProof/>
                <w:webHidden/>
              </w:rPr>
              <w:fldChar w:fldCharType="begin"/>
            </w:r>
            <w:r w:rsidR="00710A0F">
              <w:rPr>
                <w:noProof/>
                <w:webHidden/>
              </w:rPr>
              <w:instrText xml:space="preserve"> PAGEREF _Toc7448063 \h </w:instrText>
            </w:r>
            <w:r w:rsidR="00710A0F">
              <w:rPr>
                <w:noProof/>
                <w:webHidden/>
              </w:rPr>
            </w:r>
            <w:r w:rsidR="00710A0F">
              <w:rPr>
                <w:noProof/>
                <w:webHidden/>
              </w:rPr>
              <w:fldChar w:fldCharType="separate"/>
            </w:r>
            <w:r w:rsidR="00710A0F">
              <w:rPr>
                <w:noProof/>
                <w:webHidden/>
              </w:rPr>
              <w:t>501</w:t>
            </w:r>
            <w:r w:rsidR="00710A0F">
              <w:rPr>
                <w:noProof/>
                <w:webHidden/>
              </w:rPr>
              <w:fldChar w:fldCharType="end"/>
            </w:r>
          </w:hyperlink>
        </w:p>
        <w:p w14:paraId="30C16BA1"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64" w:history="1">
            <w:r w:rsidR="00710A0F" w:rsidRPr="009470AE">
              <w:rPr>
                <w:rStyle w:val="af1"/>
                <w:noProof/>
              </w:rPr>
              <w:t>3.5.</w:t>
            </w:r>
            <w:r w:rsidR="00710A0F">
              <w:rPr>
                <w:rFonts w:eastAsiaTheme="minorEastAsia"/>
                <w:b w:val="0"/>
                <w:bCs w:val="0"/>
                <w:noProof/>
                <w:sz w:val="22"/>
                <w:szCs w:val="22"/>
                <w:lang w:eastAsia="ru-RU"/>
              </w:rPr>
              <w:tab/>
            </w:r>
            <w:r w:rsidR="00710A0F" w:rsidRPr="009470AE">
              <w:rPr>
                <w:rStyle w:val="af1"/>
                <w:noProof/>
              </w:rPr>
              <w:t>Министерство спорта Российской Федерации</w:t>
            </w:r>
            <w:r w:rsidR="00710A0F">
              <w:rPr>
                <w:noProof/>
                <w:webHidden/>
              </w:rPr>
              <w:tab/>
            </w:r>
            <w:r w:rsidR="00710A0F">
              <w:rPr>
                <w:noProof/>
                <w:webHidden/>
              </w:rPr>
              <w:fldChar w:fldCharType="begin"/>
            </w:r>
            <w:r w:rsidR="00710A0F">
              <w:rPr>
                <w:noProof/>
                <w:webHidden/>
              </w:rPr>
              <w:instrText xml:space="preserve"> PAGEREF _Toc7448064 \h </w:instrText>
            </w:r>
            <w:r w:rsidR="00710A0F">
              <w:rPr>
                <w:noProof/>
                <w:webHidden/>
              </w:rPr>
            </w:r>
            <w:r w:rsidR="00710A0F">
              <w:rPr>
                <w:noProof/>
                <w:webHidden/>
              </w:rPr>
              <w:fldChar w:fldCharType="separate"/>
            </w:r>
            <w:r w:rsidR="00710A0F">
              <w:rPr>
                <w:noProof/>
                <w:webHidden/>
              </w:rPr>
              <w:t>508</w:t>
            </w:r>
            <w:r w:rsidR="00710A0F">
              <w:rPr>
                <w:noProof/>
                <w:webHidden/>
              </w:rPr>
              <w:fldChar w:fldCharType="end"/>
            </w:r>
          </w:hyperlink>
        </w:p>
        <w:p w14:paraId="074ACBC5"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65" w:history="1">
            <w:r w:rsidR="00710A0F" w:rsidRPr="009470AE">
              <w:rPr>
                <w:rStyle w:val="af1"/>
                <w:noProof/>
              </w:rPr>
              <w:t>3.6.</w:t>
            </w:r>
            <w:r w:rsidR="00710A0F">
              <w:rPr>
                <w:rFonts w:eastAsiaTheme="minorEastAsia"/>
                <w:b w:val="0"/>
                <w:bCs w:val="0"/>
                <w:noProof/>
                <w:sz w:val="22"/>
                <w:szCs w:val="22"/>
                <w:lang w:eastAsia="ru-RU"/>
              </w:rPr>
              <w:tab/>
            </w:r>
            <w:r w:rsidR="00710A0F" w:rsidRPr="009470AE">
              <w:rPr>
                <w:rStyle w:val="af1"/>
                <w:noProof/>
              </w:rPr>
              <w:t>Федеральная служба по экологическому, технологическому и атомному надзору (Ростехнадзор)</w:t>
            </w:r>
            <w:r w:rsidR="00710A0F">
              <w:rPr>
                <w:noProof/>
                <w:webHidden/>
              </w:rPr>
              <w:tab/>
            </w:r>
            <w:r w:rsidR="00710A0F">
              <w:rPr>
                <w:noProof/>
                <w:webHidden/>
              </w:rPr>
              <w:fldChar w:fldCharType="begin"/>
            </w:r>
            <w:r w:rsidR="00710A0F">
              <w:rPr>
                <w:noProof/>
                <w:webHidden/>
              </w:rPr>
              <w:instrText xml:space="preserve"> PAGEREF _Toc7448065 \h </w:instrText>
            </w:r>
            <w:r w:rsidR="00710A0F">
              <w:rPr>
                <w:noProof/>
                <w:webHidden/>
              </w:rPr>
            </w:r>
            <w:r w:rsidR="00710A0F">
              <w:rPr>
                <w:noProof/>
                <w:webHidden/>
              </w:rPr>
              <w:fldChar w:fldCharType="separate"/>
            </w:r>
            <w:r w:rsidR="00710A0F">
              <w:rPr>
                <w:noProof/>
                <w:webHidden/>
              </w:rPr>
              <w:t>512</w:t>
            </w:r>
            <w:r w:rsidR="00710A0F">
              <w:rPr>
                <w:noProof/>
                <w:webHidden/>
              </w:rPr>
              <w:fldChar w:fldCharType="end"/>
            </w:r>
          </w:hyperlink>
        </w:p>
        <w:p w14:paraId="5B77F498"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66" w:history="1">
            <w:r w:rsidR="00710A0F" w:rsidRPr="009470AE">
              <w:rPr>
                <w:rStyle w:val="af1"/>
                <w:noProof/>
              </w:rPr>
              <w:t>3.7.</w:t>
            </w:r>
            <w:r w:rsidR="00710A0F">
              <w:rPr>
                <w:rFonts w:eastAsiaTheme="minorEastAsia"/>
                <w:b w:val="0"/>
                <w:bCs w:val="0"/>
                <w:noProof/>
                <w:sz w:val="22"/>
                <w:szCs w:val="22"/>
                <w:lang w:eastAsia="ru-RU"/>
              </w:rPr>
              <w:tab/>
            </w:r>
            <w:r w:rsidR="00710A0F" w:rsidRPr="009470AE">
              <w:rPr>
                <w:rStyle w:val="af1"/>
                <w:noProof/>
              </w:rPr>
              <w:t>Федеральная служба по надзору в сфере защиты прав потребителей и благополучия человека (Роспетребнадзор)</w:t>
            </w:r>
            <w:r w:rsidR="00710A0F">
              <w:rPr>
                <w:noProof/>
                <w:webHidden/>
              </w:rPr>
              <w:tab/>
            </w:r>
            <w:r w:rsidR="00710A0F">
              <w:rPr>
                <w:noProof/>
                <w:webHidden/>
              </w:rPr>
              <w:fldChar w:fldCharType="begin"/>
            </w:r>
            <w:r w:rsidR="00710A0F">
              <w:rPr>
                <w:noProof/>
                <w:webHidden/>
              </w:rPr>
              <w:instrText xml:space="preserve"> PAGEREF _Toc7448066 \h </w:instrText>
            </w:r>
            <w:r w:rsidR="00710A0F">
              <w:rPr>
                <w:noProof/>
                <w:webHidden/>
              </w:rPr>
            </w:r>
            <w:r w:rsidR="00710A0F">
              <w:rPr>
                <w:noProof/>
                <w:webHidden/>
              </w:rPr>
              <w:fldChar w:fldCharType="separate"/>
            </w:r>
            <w:r w:rsidR="00710A0F">
              <w:rPr>
                <w:noProof/>
                <w:webHidden/>
              </w:rPr>
              <w:t>513</w:t>
            </w:r>
            <w:r w:rsidR="00710A0F">
              <w:rPr>
                <w:noProof/>
                <w:webHidden/>
              </w:rPr>
              <w:fldChar w:fldCharType="end"/>
            </w:r>
          </w:hyperlink>
        </w:p>
        <w:p w14:paraId="23EF559E"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67" w:history="1">
            <w:r w:rsidR="00710A0F" w:rsidRPr="009470AE">
              <w:rPr>
                <w:rStyle w:val="af1"/>
                <w:noProof/>
              </w:rPr>
              <w:t>3.8.</w:t>
            </w:r>
            <w:r w:rsidR="00710A0F">
              <w:rPr>
                <w:rFonts w:eastAsiaTheme="minorEastAsia"/>
                <w:b w:val="0"/>
                <w:bCs w:val="0"/>
                <w:noProof/>
                <w:sz w:val="22"/>
                <w:szCs w:val="22"/>
                <w:lang w:eastAsia="ru-RU"/>
              </w:rPr>
              <w:tab/>
            </w:r>
            <w:r w:rsidR="00710A0F" w:rsidRPr="009470AE">
              <w:rPr>
                <w:rStyle w:val="af1"/>
                <w:noProof/>
              </w:rPr>
              <w:t>Федеральное агентство по рыболовству (Росрыболовство)</w:t>
            </w:r>
            <w:r w:rsidR="00710A0F">
              <w:rPr>
                <w:noProof/>
                <w:webHidden/>
              </w:rPr>
              <w:tab/>
            </w:r>
            <w:r w:rsidR="00710A0F">
              <w:rPr>
                <w:noProof/>
                <w:webHidden/>
              </w:rPr>
              <w:fldChar w:fldCharType="begin"/>
            </w:r>
            <w:r w:rsidR="00710A0F">
              <w:rPr>
                <w:noProof/>
                <w:webHidden/>
              </w:rPr>
              <w:instrText xml:space="preserve"> PAGEREF _Toc7448067 \h </w:instrText>
            </w:r>
            <w:r w:rsidR="00710A0F">
              <w:rPr>
                <w:noProof/>
                <w:webHidden/>
              </w:rPr>
            </w:r>
            <w:r w:rsidR="00710A0F">
              <w:rPr>
                <w:noProof/>
                <w:webHidden/>
              </w:rPr>
              <w:fldChar w:fldCharType="separate"/>
            </w:r>
            <w:r w:rsidR="00710A0F">
              <w:rPr>
                <w:noProof/>
                <w:webHidden/>
              </w:rPr>
              <w:t>513</w:t>
            </w:r>
            <w:r w:rsidR="00710A0F">
              <w:rPr>
                <w:noProof/>
                <w:webHidden/>
              </w:rPr>
              <w:fldChar w:fldCharType="end"/>
            </w:r>
          </w:hyperlink>
        </w:p>
        <w:p w14:paraId="2FB4658B"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68" w:history="1">
            <w:r w:rsidR="00710A0F" w:rsidRPr="009470AE">
              <w:rPr>
                <w:rStyle w:val="af1"/>
                <w:noProof/>
              </w:rPr>
              <w:t>3.9.</w:t>
            </w:r>
            <w:r w:rsidR="00710A0F">
              <w:rPr>
                <w:rFonts w:eastAsiaTheme="minorEastAsia"/>
                <w:b w:val="0"/>
                <w:bCs w:val="0"/>
                <w:noProof/>
                <w:sz w:val="22"/>
                <w:szCs w:val="22"/>
                <w:lang w:eastAsia="ru-RU"/>
              </w:rPr>
              <w:tab/>
            </w:r>
            <w:r w:rsidR="00710A0F" w:rsidRPr="009470AE">
              <w:rPr>
                <w:rStyle w:val="af1"/>
                <w:noProof/>
              </w:rPr>
              <w:t>Федеральная таможенная служба</w:t>
            </w:r>
            <w:r w:rsidR="00710A0F">
              <w:rPr>
                <w:noProof/>
                <w:webHidden/>
              </w:rPr>
              <w:tab/>
            </w:r>
            <w:r w:rsidR="00710A0F">
              <w:rPr>
                <w:noProof/>
                <w:webHidden/>
              </w:rPr>
              <w:fldChar w:fldCharType="begin"/>
            </w:r>
            <w:r w:rsidR="00710A0F">
              <w:rPr>
                <w:noProof/>
                <w:webHidden/>
              </w:rPr>
              <w:instrText xml:space="preserve"> PAGEREF _Toc7448068 \h </w:instrText>
            </w:r>
            <w:r w:rsidR="00710A0F">
              <w:rPr>
                <w:noProof/>
                <w:webHidden/>
              </w:rPr>
            </w:r>
            <w:r w:rsidR="00710A0F">
              <w:rPr>
                <w:noProof/>
                <w:webHidden/>
              </w:rPr>
              <w:fldChar w:fldCharType="separate"/>
            </w:r>
            <w:r w:rsidR="00710A0F">
              <w:rPr>
                <w:noProof/>
                <w:webHidden/>
              </w:rPr>
              <w:t>516</w:t>
            </w:r>
            <w:r w:rsidR="00710A0F">
              <w:rPr>
                <w:noProof/>
                <w:webHidden/>
              </w:rPr>
              <w:fldChar w:fldCharType="end"/>
            </w:r>
          </w:hyperlink>
        </w:p>
        <w:p w14:paraId="36A8427D"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69" w:history="1">
            <w:r w:rsidR="00710A0F" w:rsidRPr="009470AE">
              <w:rPr>
                <w:rStyle w:val="af1"/>
                <w:rFonts w:eastAsia="Calibri"/>
                <w:noProof/>
              </w:rPr>
              <w:t>3.10.</w:t>
            </w:r>
            <w:r w:rsidR="00710A0F">
              <w:rPr>
                <w:rFonts w:eastAsiaTheme="minorEastAsia"/>
                <w:b w:val="0"/>
                <w:bCs w:val="0"/>
                <w:noProof/>
                <w:sz w:val="22"/>
                <w:szCs w:val="22"/>
                <w:lang w:eastAsia="ru-RU"/>
              </w:rPr>
              <w:tab/>
            </w:r>
            <w:r w:rsidR="00710A0F" w:rsidRPr="009470AE">
              <w:rPr>
                <w:rStyle w:val="af1"/>
                <w:noProof/>
              </w:rPr>
              <w:t>Министерство</w:t>
            </w:r>
            <w:r w:rsidR="00710A0F" w:rsidRPr="009470AE">
              <w:rPr>
                <w:rStyle w:val="af1"/>
                <w:rFonts w:eastAsia="Calibri"/>
                <w:noProof/>
              </w:rPr>
              <w:t xml:space="preserve"> природы и экологии Российской Федерации</w:t>
            </w:r>
            <w:r w:rsidR="00710A0F">
              <w:rPr>
                <w:noProof/>
                <w:webHidden/>
              </w:rPr>
              <w:tab/>
            </w:r>
            <w:r w:rsidR="00710A0F">
              <w:rPr>
                <w:noProof/>
                <w:webHidden/>
              </w:rPr>
              <w:fldChar w:fldCharType="begin"/>
            </w:r>
            <w:r w:rsidR="00710A0F">
              <w:rPr>
                <w:noProof/>
                <w:webHidden/>
              </w:rPr>
              <w:instrText xml:space="preserve"> PAGEREF _Toc7448069 \h </w:instrText>
            </w:r>
            <w:r w:rsidR="00710A0F">
              <w:rPr>
                <w:noProof/>
                <w:webHidden/>
              </w:rPr>
            </w:r>
            <w:r w:rsidR="00710A0F">
              <w:rPr>
                <w:noProof/>
                <w:webHidden/>
              </w:rPr>
              <w:fldChar w:fldCharType="separate"/>
            </w:r>
            <w:r w:rsidR="00710A0F">
              <w:rPr>
                <w:noProof/>
                <w:webHidden/>
              </w:rPr>
              <w:t>528</w:t>
            </w:r>
            <w:r w:rsidR="00710A0F">
              <w:rPr>
                <w:noProof/>
                <w:webHidden/>
              </w:rPr>
              <w:fldChar w:fldCharType="end"/>
            </w:r>
          </w:hyperlink>
        </w:p>
        <w:p w14:paraId="700B89B4"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70" w:history="1">
            <w:r w:rsidR="00710A0F" w:rsidRPr="009470AE">
              <w:rPr>
                <w:rStyle w:val="af1"/>
                <w:noProof/>
              </w:rPr>
              <w:t>3.11.</w:t>
            </w:r>
            <w:r w:rsidR="00710A0F">
              <w:rPr>
                <w:rFonts w:eastAsiaTheme="minorEastAsia"/>
                <w:b w:val="0"/>
                <w:bCs w:val="0"/>
                <w:noProof/>
                <w:sz w:val="22"/>
                <w:szCs w:val="22"/>
                <w:lang w:eastAsia="ru-RU"/>
              </w:rPr>
              <w:tab/>
            </w:r>
            <w:r w:rsidR="00710A0F" w:rsidRPr="009470AE">
              <w:rPr>
                <w:rStyle w:val="af1"/>
                <w:noProof/>
              </w:rPr>
              <w:t>Федеральное агентство лесного хозяйства (Россельхоз)</w:t>
            </w:r>
            <w:r w:rsidR="00710A0F">
              <w:rPr>
                <w:noProof/>
                <w:webHidden/>
              </w:rPr>
              <w:tab/>
            </w:r>
            <w:r w:rsidR="00710A0F">
              <w:rPr>
                <w:noProof/>
                <w:webHidden/>
              </w:rPr>
              <w:fldChar w:fldCharType="begin"/>
            </w:r>
            <w:r w:rsidR="00710A0F">
              <w:rPr>
                <w:noProof/>
                <w:webHidden/>
              </w:rPr>
              <w:instrText xml:space="preserve"> PAGEREF _Toc7448070 \h </w:instrText>
            </w:r>
            <w:r w:rsidR="00710A0F">
              <w:rPr>
                <w:noProof/>
                <w:webHidden/>
              </w:rPr>
            </w:r>
            <w:r w:rsidR="00710A0F">
              <w:rPr>
                <w:noProof/>
                <w:webHidden/>
              </w:rPr>
              <w:fldChar w:fldCharType="separate"/>
            </w:r>
            <w:r w:rsidR="00710A0F">
              <w:rPr>
                <w:noProof/>
                <w:webHidden/>
              </w:rPr>
              <w:t>534</w:t>
            </w:r>
            <w:r w:rsidR="00710A0F">
              <w:rPr>
                <w:noProof/>
                <w:webHidden/>
              </w:rPr>
              <w:fldChar w:fldCharType="end"/>
            </w:r>
          </w:hyperlink>
        </w:p>
        <w:p w14:paraId="05AEA57F"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71" w:history="1">
            <w:r w:rsidR="00710A0F" w:rsidRPr="009470AE">
              <w:rPr>
                <w:rStyle w:val="af1"/>
                <w:noProof/>
              </w:rPr>
              <w:t>3.12.</w:t>
            </w:r>
            <w:r w:rsidR="00710A0F">
              <w:rPr>
                <w:rFonts w:eastAsiaTheme="minorEastAsia"/>
                <w:b w:val="0"/>
                <w:bCs w:val="0"/>
                <w:noProof/>
                <w:sz w:val="22"/>
                <w:szCs w:val="22"/>
                <w:lang w:eastAsia="ru-RU"/>
              </w:rPr>
              <w:tab/>
            </w:r>
            <w:r w:rsidR="00710A0F" w:rsidRPr="009470AE">
              <w:rPr>
                <w:rStyle w:val="af1"/>
                <w:noProof/>
              </w:rPr>
              <w:t>Министерство строительства и жилищно-коммунального хозяйства Российской Федерации (Минстрой России)</w:t>
            </w:r>
            <w:r w:rsidR="00710A0F">
              <w:rPr>
                <w:noProof/>
                <w:webHidden/>
              </w:rPr>
              <w:tab/>
            </w:r>
            <w:r w:rsidR="00710A0F">
              <w:rPr>
                <w:noProof/>
                <w:webHidden/>
              </w:rPr>
              <w:fldChar w:fldCharType="begin"/>
            </w:r>
            <w:r w:rsidR="00710A0F">
              <w:rPr>
                <w:noProof/>
                <w:webHidden/>
              </w:rPr>
              <w:instrText xml:space="preserve"> PAGEREF _Toc7448071 \h </w:instrText>
            </w:r>
            <w:r w:rsidR="00710A0F">
              <w:rPr>
                <w:noProof/>
                <w:webHidden/>
              </w:rPr>
            </w:r>
            <w:r w:rsidR="00710A0F">
              <w:rPr>
                <w:noProof/>
                <w:webHidden/>
              </w:rPr>
              <w:fldChar w:fldCharType="separate"/>
            </w:r>
            <w:r w:rsidR="00710A0F">
              <w:rPr>
                <w:noProof/>
                <w:webHidden/>
              </w:rPr>
              <w:t>538</w:t>
            </w:r>
            <w:r w:rsidR="00710A0F">
              <w:rPr>
                <w:noProof/>
                <w:webHidden/>
              </w:rPr>
              <w:fldChar w:fldCharType="end"/>
            </w:r>
          </w:hyperlink>
        </w:p>
        <w:p w14:paraId="180FAA38"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72" w:history="1">
            <w:r w:rsidR="00710A0F" w:rsidRPr="009470AE">
              <w:rPr>
                <w:rStyle w:val="af1"/>
                <w:noProof/>
              </w:rPr>
              <w:t>3.13.</w:t>
            </w:r>
            <w:r w:rsidR="00710A0F">
              <w:rPr>
                <w:rFonts w:eastAsiaTheme="minorEastAsia"/>
                <w:b w:val="0"/>
                <w:bCs w:val="0"/>
                <w:noProof/>
                <w:sz w:val="22"/>
                <w:szCs w:val="22"/>
                <w:lang w:eastAsia="ru-RU"/>
              </w:rPr>
              <w:tab/>
            </w:r>
            <w:r w:rsidR="00710A0F" w:rsidRPr="009470AE">
              <w:rPr>
                <w:rStyle w:val="af1"/>
                <w:noProof/>
              </w:rPr>
              <w:t>Министерство энергетики Российской Федерации</w:t>
            </w:r>
            <w:r w:rsidR="00710A0F">
              <w:rPr>
                <w:noProof/>
                <w:webHidden/>
              </w:rPr>
              <w:tab/>
            </w:r>
            <w:r w:rsidR="00710A0F">
              <w:rPr>
                <w:noProof/>
                <w:webHidden/>
              </w:rPr>
              <w:fldChar w:fldCharType="begin"/>
            </w:r>
            <w:r w:rsidR="00710A0F">
              <w:rPr>
                <w:noProof/>
                <w:webHidden/>
              </w:rPr>
              <w:instrText xml:space="preserve"> PAGEREF _Toc7448072 \h </w:instrText>
            </w:r>
            <w:r w:rsidR="00710A0F">
              <w:rPr>
                <w:noProof/>
                <w:webHidden/>
              </w:rPr>
            </w:r>
            <w:r w:rsidR="00710A0F">
              <w:rPr>
                <w:noProof/>
                <w:webHidden/>
              </w:rPr>
              <w:fldChar w:fldCharType="separate"/>
            </w:r>
            <w:r w:rsidR="00710A0F">
              <w:rPr>
                <w:noProof/>
                <w:webHidden/>
              </w:rPr>
              <w:t>550</w:t>
            </w:r>
            <w:r w:rsidR="00710A0F">
              <w:rPr>
                <w:noProof/>
                <w:webHidden/>
              </w:rPr>
              <w:fldChar w:fldCharType="end"/>
            </w:r>
          </w:hyperlink>
        </w:p>
        <w:p w14:paraId="2C01D8D9" w14:textId="77777777" w:rsidR="00710A0F" w:rsidRDefault="000C4795">
          <w:pPr>
            <w:pStyle w:val="21"/>
            <w:tabs>
              <w:tab w:val="left" w:pos="660"/>
              <w:tab w:val="right" w:leader="dot" w:pos="9344"/>
            </w:tabs>
            <w:rPr>
              <w:rFonts w:eastAsiaTheme="minorEastAsia"/>
              <w:b w:val="0"/>
              <w:bCs w:val="0"/>
              <w:noProof/>
              <w:sz w:val="22"/>
              <w:szCs w:val="22"/>
              <w:lang w:eastAsia="ru-RU"/>
            </w:rPr>
          </w:pPr>
          <w:hyperlink w:anchor="_Toc7448073" w:history="1">
            <w:r w:rsidR="00710A0F" w:rsidRPr="009470AE">
              <w:rPr>
                <w:rStyle w:val="af1"/>
                <w:noProof/>
              </w:rPr>
              <w:t>3.14.</w:t>
            </w:r>
            <w:r w:rsidR="00710A0F">
              <w:rPr>
                <w:rFonts w:eastAsiaTheme="minorEastAsia"/>
                <w:b w:val="0"/>
                <w:bCs w:val="0"/>
                <w:noProof/>
                <w:sz w:val="22"/>
                <w:szCs w:val="22"/>
                <w:lang w:eastAsia="ru-RU"/>
              </w:rPr>
              <w:tab/>
            </w:r>
            <w:r w:rsidR="00710A0F" w:rsidRPr="009470AE">
              <w:rPr>
                <w:rStyle w:val="af1"/>
                <w:noProof/>
              </w:rPr>
              <w:t>Министерство транспорта Российской Федерации</w:t>
            </w:r>
            <w:r w:rsidR="00710A0F">
              <w:rPr>
                <w:noProof/>
                <w:webHidden/>
              </w:rPr>
              <w:tab/>
            </w:r>
            <w:r w:rsidR="00710A0F">
              <w:rPr>
                <w:noProof/>
                <w:webHidden/>
              </w:rPr>
              <w:fldChar w:fldCharType="begin"/>
            </w:r>
            <w:r w:rsidR="00710A0F">
              <w:rPr>
                <w:noProof/>
                <w:webHidden/>
              </w:rPr>
              <w:instrText xml:space="preserve"> PAGEREF _Toc7448073 \h </w:instrText>
            </w:r>
            <w:r w:rsidR="00710A0F">
              <w:rPr>
                <w:noProof/>
                <w:webHidden/>
              </w:rPr>
            </w:r>
            <w:r w:rsidR="00710A0F">
              <w:rPr>
                <w:noProof/>
                <w:webHidden/>
              </w:rPr>
              <w:fldChar w:fldCharType="separate"/>
            </w:r>
            <w:r w:rsidR="00710A0F">
              <w:rPr>
                <w:noProof/>
                <w:webHidden/>
              </w:rPr>
              <w:t>574</w:t>
            </w:r>
            <w:r w:rsidR="00710A0F">
              <w:rPr>
                <w:noProof/>
                <w:webHidden/>
              </w:rPr>
              <w:fldChar w:fldCharType="end"/>
            </w:r>
          </w:hyperlink>
        </w:p>
        <w:p w14:paraId="5DE8C0A4" w14:textId="77777777" w:rsidR="00710A0F" w:rsidRDefault="000C4795">
          <w:pPr>
            <w:pStyle w:val="12"/>
            <w:tabs>
              <w:tab w:val="left" w:pos="440"/>
            </w:tabs>
            <w:rPr>
              <w:rFonts w:asciiTheme="minorHAnsi" w:eastAsiaTheme="minorEastAsia" w:hAnsiTheme="minorHAnsi"/>
              <w:b w:val="0"/>
              <w:bCs w:val="0"/>
              <w:caps w:val="0"/>
              <w:noProof/>
              <w:sz w:val="22"/>
              <w:szCs w:val="22"/>
              <w:lang w:eastAsia="ru-RU"/>
            </w:rPr>
          </w:pPr>
          <w:hyperlink w:anchor="_Toc7448074" w:history="1">
            <w:r w:rsidR="00710A0F" w:rsidRPr="009470AE">
              <w:rPr>
                <w:rStyle w:val="af1"/>
                <w:noProof/>
              </w:rPr>
              <w:t>4.</w:t>
            </w:r>
            <w:r w:rsidR="00710A0F">
              <w:rPr>
                <w:rFonts w:asciiTheme="minorHAnsi" w:eastAsiaTheme="minorEastAsia" w:hAnsiTheme="minorHAnsi"/>
                <w:b w:val="0"/>
                <w:bCs w:val="0"/>
                <w:caps w:val="0"/>
                <w:noProof/>
                <w:sz w:val="22"/>
                <w:szCs w:val="22"/>
                <w:lang w:eastAsia="ru-RU"/>
              </w:rPr>
              <w:tab/>
            </w:r>
            <w:r w:rsidR="00710A0F" w:rsidRPr="009470AE">
              <w:rPr>
                <w:rStyle w:val="af1"/>
                <w:noProof/>
              </w:rPr>
              <w:t>Оценочные характеристики Банка России</w:t>
            </w:r>
            <w:r w:rsidR="00710A0F">
              <w:rPr>
                <w:noProof/>
                <w:webHidden/>
              </w:rPr>
              <w:tab/>
            </w:r>
            <w:r w:rsidR="00710A0F">
              <w:rPr>
                <w:noProof/>
                <w:webHidden/>
              </w:rPr>
              <w:fldChar w:fldCharType="begin"/>
            </w:r>
            <w:r w:rsidR="00710A0F">
              <w:rPr>
                <w:noProof/>
                <w:webHidden/>
              </w:rPr>
              <w:instrText xml:space="preserve"> PAGEREF _Toc7448074 \h </w:instrText>
            </w:r>
            <w:r w:rsidR="00710A0F">
              <w:rPr>
                <w:noProof/>
                <w:webHidden/>
              </w:rPr>
            </w:r>
            <w:r w:rsidR="00710A0F">
              <w:rPr>
                <w:noProof/>
                <w:webHidden/>
              </w:rPr>
              <w:fldChar w:fldCharType="separate"/>
            </w:r>
            <w:r w:rsidR="00710A0F">
              <w:rPr>
                <w:noProof/>
                <w:webHidden/>
              </w:rPr>
              <w:t>597</w:t>
            </w:r>
            <w:r w:rsidR="00710A0F">
              <w:rPr>
                <w:noProof/>
                <w:webHidden/>
              </w:rPr>
              <w:fldChar w:fldCharType="end"/>
            </w:r>
          </w:hyperlink>
        </w:p>
        <w:p w14:paraId="5073075B" w14:textId="05E9CF0F" w:rsidR="00A42DBE" w:rsidRDefault="00192312" w:rsidP="00A42DBE">
          <w:pPr>
            <w:rPr>
              <w:b/>
              <w:bCs/>
            </w:rPr>
          </w:pPr>
          <w:r>
            <w:rPr>
              <w:b/>
              <w:bCs/>
            </w:rPr>
            <w:fldChar w:fldCharType="end"/>
          </w:r>
        </w:p>
      </w:sdtContent>
    </w:sdt>
    <w:p w14:paraId="67EE06B2" w14:textId="77777777" w:rsidR="00B67E2C" w:rsidRDefault="00B67E2C">
      <w:r>
        <w:br w:type="page"/>
      </w:r>
    </w:p>
    <w:p w14:paraId="3183D64C" w14:textId="504ACF8E" w:rsidR="00D22F1E" w:rsidRPr="00784036" w:rsidRDefault="00D22F1E" w:rsidP="00D22F1E">
      <w:pPr>
        <w:pStyle w:val="1"/>
        <w:ind w:left="720"/>
        <w:rPr>
          <w:rFonts w:eastAsia="Calibri" w:cs="Times New Roman"/>
          <w:b w:val="0"/>
          <w:szCs w:val="28"/>
          <w:lang w:eastAsia="ru-RU"/>
        </w:rPr>
      </w:pPr>
      <w:bookmarkStart w:id="0" w:name="_Toc7447923"/>
      <w:r w:rsidRPr="00D22F1E">
        <w:t>ВВЕДЕНИЕ</w:t>
      </w:r>
      <w:bookmarkEnd w:id="0"/>
    </w:p>
    <w:p w14:paraId="29C0F036"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p>
    <w:p w14:paraId="69CC0FD9"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Конституция Российской Федерации устанавливает гарантии единства экономического пространства, свободного перемещения товаров, услуг и финансовых средств, поддержки конкуренции, свободы экономической деятельности.</w:t>
      </w:r>
    </w:p>
    <w:p w14:paraId="5488D591"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Защита конкуренции и обеспечение конкурентных рыночных отношений, недопущение монополистической деятельности являются основой существования и развития рыночной экономики, а активное содействие развитию конкуренции в Российской Федерации, безусловно, является приоритетным направлением деятельности органов власти.</w:t>
      </w:r>
    </w:p>
    <w:p w14:paraId="2075FE6F" w14:textId="387464D5"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Направления структурных реформ, а также цели, задачи и принципы деятельности для решения поставленных задач определены в Указе Президента Российской Федерации от 21.12.2017 года № 618 «Об основных направлениях государственной политики по развитию конкуренции»</w:t>
      </w:r>
      <w:r w:rsidR="00B7413C" w:rsidRPr="00B7413C">
        <w:rPr>
          <w:rFonts w:ascii="Times New Roman" w:eastAsia="Calibri" w:hAnsi="Times New Roman" w:cs="Times New Roman"/>
          <w:sz w:val="28"/>
          <w:szCs w:val="28"/>
          <w:lang w:eastAsia="ru-RU"/>
        </w:rPr>
        <w:t xml:space="preserve"> (</w:t>
      </w:r>
      <w:r w:rsidR="00B7413C">
        <w:rPr>
          <w:rFonts w:ascii="Times New Roman" w:eastAsia="Calibri" w:hAnsi="Times New Roman" w:cs="Times New Roman"/>
          <w:sz w:val="28"/>
          <w:szCs w:val="28"/>
          <w:lang w:eastAsia="ru-RU"/>
        </w:rPr>
        <w:t>далее</w:t>
      </w:r>
      <w:r w:rsidR="00564BFC" w:rsidRPr="00564BFC">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также</w:t>
      </w:r>
      <w:r w:rsidR="00B7413C">
        <w:rPr>
          <w:rFonts w:ascii="Times New Roman" w:eastAsia="Calibri" w:hAnsi="Times New Roman" w:cs="Times New Roman"/>
          <w:sz w:val="28"/>
          <w:szCs w:val="28"/>
          <w:lang w:eastAsia="ru-RU"/>
        </w:rPr>
        <w:t xml:space="preserve"> – Указ № 618</w:t>
      </w:r>
      <w:r w:rsidR="00564BFC">
        <w:rPr>
          <w:rFonts w:ascii="Times New Roman" w:eastAsia="Calibri" w:hAnsi="Times New Roman" w:cs="Times New Roman"/>
          <w:sz w:val="28"/>
          <w:szCs w:val="28"/>
          <w:lang w:eastAsia="ru-RU"/>
        </w:rPr>
        <w:t xml:space="preserve">, Указ Президента Российской Федерации № 618, </w:t>
      </w:r>
      <w:r w:rsidR="00C54020">
        <w:rPr>
          <w:rFonts w:ascii="Times New Roman" w:eastAsia="Calibri" w:hAnsi="Times New Roman" w:cs="Times New Roman"/>
          <w:sz w:val="28"/>
          <w:szCs w:val="28"/>
          <w:lang w:eastAsia="ru-RU"/>
        </w:rPr>
        <w:t>Указ Президента № 618</w:t>
      </w:r>
      <w:r w:rsidR="00C54020" w:rsidRPr="00C54020">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Указ</w:t>
      </w:r>
      <w:r w:rsidR="00B7413C">
        <w:rPr>
          <w:rFonts w:ascii="Times New Roman" w:eastAsia="Calibri" w:hAnsi="Times New Roman" w:cs="Times New Roman"/>
          <w:sz w:val="28"/>
          <w:szCs w:val="28"/>
          <w:lang w:eastAsia="ru-RU"/>
        </w:rPr>
        <w:t>)</w:t>
      </w:r>
      <w:r w:rsidRPr="001C7597">
        <w:rPr>
          <w:rFonts w:ascii="Times New Roman" w:eastAsia="Calibri" w:hAnsi="Times New Roman" w:cs="Times New Roman"/>
          <w:sz w:val="28"/>
          <w:szCs w:val="28"/>
          <w:lang w:eastAsia="ru-RU"/>
        </w:rPr>
        <w:t>.</w:t>
      </w:r>
    </w:p>
    <w:p w14:paraId="69AEAB3C"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Calibri" w:hAnsi="Times New Roman" w:cs="Times New Roman"/>
          <w:sz w:val="28"/>
          <w:szCs w:val="28"/>
          <w:lang w:eastAsia="ru-RU"/>
        </w:rPr>
        <w:t xml:space="preserve">Указом </w:t>
      </w:r>
      <w:r w:rsidR="00B7413C">
        <w:rPr>
          <w:rFonts w:ascii="Times New Roman" w:eastAsia="Calibri" w:hAnsi="Times New Roman" w:cs="Times New Roman"/>
          <w:sz w:val="28"/>
          <w:szCs w:val="28"/>
          <w:lang w:eastAsia="ru-RU"/>
        </w:rPr>
        <w:t xml:space="preserve">№ 618 </w:t>
      </w:r>
      <w:r w:rsidRPr="001C7597">
        <w:rPr>
          <w:rFonts w:ascii="Times New Roman" w:eastAsia="Calibri" w:hAnsi="Times New Roman" w:cs="Times New Roman"/>
          <w:sz w:val="28"/>
          <w:szCs w:val="28"/>
          <w:lang w:eastAsia="ru-RU"/>
        </w:rPr>
        <w:t xml:space="preserve">установлено, что </w:t>
      </w:r>
      <w:r w:rsidRPr="001C7597">
        <w:rPr>
          <w:rFonts w:ascii="Times New Roman" w:eastAsia="Times New Roman" w:hAnsi="Times New Roman" w:cs="Times New Roman"/>
          <w:sz w:val="28"/>
          <w:szCs w:val="28"/>
          <w:lang w:eastAsia="ru-RU"/>
        </w:rPr>
        <w:t>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6CEBFE80"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 xml:space="preserve">5 апреля 2018 года </w:t>
      </w:r>
      <w:r>
        <w:rPr>
          <w:rFonts w:ascii="Times New Roman" w:eastAsia="Calibri" w:hAnsi="Times New Roman" w:cs="Times New Roman"/>
          <w:sz w:val="28"/>
          <w:szCs w:val="28"/>
          <w:lang w:eastAsia="ru-RU"/>
        </w:rPr>
        <w:t>состоялось</w:t>
      </w:r>
      <w:r w:rsidRPr="004B5910">
        <w:rPr>
          <w:rFonts w:ascii="Times New Roman" w:eastAsia="Calibri" w:hAnsi="Times New Roman" w:cs="Times New Roman"/>
          <w:sz w:val="28"/>
          <w:szCs w:val="28"/>
          <w:lang w:eastAsia="ru-RU"/>
        </w:rPr>
        <w:t xml:space="preserve"> заседание Государственного совета по вопросу приоритетных направлений деятельности субъектов Р</w:t>
      </w:r>
      <w:r>
        <w:rPr>
          <w:rFonts w:ascii="Times New Roman" w:eastAsia="Calibri" w:hAnsi="Times New Roman" w:cs="Times New Roman"/>
          <w:sz w:val="28"/>
          <w:szCs w:val="28"/>
          <w:lang w:eastAsia="ru-RU"/>
        </w:rPr>
        <w:t xml:space="preserve">оссийской </w:t>
      </w:r>
      <w:r w:rsidRPr="004B5910">
        <w:rPr>
          <w:rFonts w:ascii="Times New Roman" w:eastAsia="Calibri" w:hAnsi="Times New Roman" w:cs="Times New Roman"/>
          <w:sz w:val="28"/>
          <w:szCs w:val="28"/>
          <w:lang w:eastAsia="ru-RU"/>
        </w:rPr>
        <w:t>Ф</w:t>
      </w:r>
      <w:r>
        <w:rPr>
          <w:rFonts w:ascii="Times New Roman" w:eastAsia="Calibri" w:hAnsi="Times New Roman" w:cs="Times New Roman"/>
          <w:sz w:val="28"/>
          <w:szCs w:val="28"/>
          <w:lang w:eastAsia="ru-RU"/>
        </w:rPr>
        <w:t>едерации</w:t>
      </w:r>
      <w:r w:rsidRPr="004B5910">
        <w:rPr>
          <w:rFonts w:ascii="Times New Roman" w:eastAsia="Calibri" w:hAnsi="Times New Roman" w:cs="Times New Roman"/>
          <w:sz w:val="28"/>
          <w:szCs w:val="28"/>
          <w:lang w:eastAsia="ru-RU"/>
        </w:rPr>
        <w:t xml:space="preserve"> по содействию конкуренции в стране</w:t>
      </w:r>
      <w:r>
        <w:rPr>
          <w:rFonts w:ascii="Times New Roman" w:eastAsia="Calibri" w:hAnsi="Times New Roman" w:cs="Times New Roman"/>
          <w:sz w:val="28"/>
          <w:szCs w:val="28"/>
          <w:lang w:eastAsia="ru-RU"/>
        </w:rPr>
        <w:t xml:space="preserve">, на котором Президент Российской Федерации </w:t>
      </w:r>
      <w:r w:rsidRPr="004B5910">
        <w:rPr>
          <w:rFonts w:ascii="Times New Roman" w:eastAsia="Calibri" w:hAnsi="Times New Roman" w:cs="Times New Roman"/>
          <w:sz w:val="28"/>
          <w:szCs w:val="28"/>
          <w:lang w:eastAsia="ru-RU"/>
        </w:rPr>
        <w:t>В.В.</w:t>
      </w:r>
      <w:r>
        <w:rPr>
          <w:rFonts w:ascii="Times New Roman" w:eastAsia="Calibri" w:hAnsi="Times New Roman" w:cs="Times New Roman"/>
          <w:sz w:val="28"/>
          <w:szCs w:val="28"/>
          <w:lang w:eastAsia="ru-RU"/>
        </w:rPr>
        <w:t xml:space="preserve"> Путин отметил, что «с</w:t>
      </w:r>
      <w:r w:rsidRPr="0046701D">
        <w:rPr>
          <w:rFonts w:ascii="Times New Roman" w:eastAsia="Calibri" w:hAnsi="Times New Roman" w:cs="Times New Roman"/>
          <w:sz w:val="28"/>
          <w:szCs w:val="28"/>
          <w:lang w:eastAsia="ru-RU"/>
        </w:rPr>
        <w:t>праведливая и честная конкуренция – это базовое условие для экономического и технологического развития, залог обновления страны, её динамичного движения вперёд во всех сферах жизни</w:t>
      </w:r>
      <w:r>
        <w:rPr>
          <w:rFonts w:ascii="Times New Roman" w:eastAsia="Calibri" w:hAnsi="Times New Roman" w:cs="Times New Roman"/>
          <w:sz w:val="28"/>
          <w:szCs w:val="28"/>
          <w:lang w:eastAsia="ru-RU"/>
        </w:rPr>
        <w:t>». По и</w:t>
      </w:r>
      <w:r w:rsidRPr="004B5910">
        <w:rPr>
          <w:rFonts w:ascii="Times New Roman" w:eastAsia="Calibri" w:hAnsi="Times New Roman" w:cs="Times New Roman"/>
          <w:sz w:val="28"/>
          <w:szCs w:val="28"/>
          <w:lang w:eastAsia="ru-RU"/>
        </w:rPr>
        <w:t>тог</w:t>
      </w:r>
      <w:r>
        <w:rPr>
          <w:rFonts w:ascii="Times New Roman" w:eastAsia="Calibri" w:hAnsi="Times New Roman" w:cs="Times New Roman"/>
          <w:sz w:val="28"/>
          <w:szCs w:val="28"/>
          <w:lang w:eastAsia="ru-RU"/>
        </w:rPr>
        <w:t>ам</w:t>
      </w:r>
      <w:r w:rsidRPr="004B5910">
        <w:rPr>
          <w:rFonts w:ascii="Times New Roman" w:eastAsia="Calibri" w:hAnsi="Times New Roman" w:cs="Times New Roman"/>
          <w:sz w:val="28"/>
          <w:szCs w:val="28"/>
          <w:lang w:eastAsia="ru-RU"/>
        </w:rPr>
        <w:t xml:space="preserve"> обсуждения</w:t>
      </w:r>
      <w:r>
        <w:rPr>
          <w:rFonts w:ascii="Times New Roman" w:eastAsia="Calibri" w:hAnsi="Times New Roman" w:cs="Times New Roman"/>
          <w:sz w:val="28"/>
          <w:szCs w:val="28"/>
          <w:lang w:eastAsia="ru-RU"/>
        </w:rPr>
        <w:t xml:space="preserve"> </w:t>
      </w:r>
      <w:r w:rsidRPr="00104E94">
        <w:rPr>
          <w:rFonts w:ascii="Times New Roman" w:eastAsia="Calibri" w:hAnsi="Times New Roman" w:cs="Times New Roman"/>
          <w:sz w:val="28"/>
          <w:szCs w:val="28"/>
          <w:lang w:eastAsia="ru-RU"/>
        </w:rPr>
        <w:t>Президентом Российской Федерации</w:t>
      </w:r>
      <w:r>
        <w:rPr>
          <w:rFonts w:ascii="Times New Roman" w:eastAsia="Calibri" w:hAnsi="Times New Roman" w:cs="Times New Roman"/>
          <w:sz w:val="28"/>
          <w:szCs w:val="28"/>
          <w:lang w:eastAsia="ru-RU"/>
        </w:rPr>
        <w:t xml:space="preserve"> утвержден </w:t>
      </w:r>
      <w:r w:rsidRPr="00104E94">
        <w:rPr>
          <w:rFonts w:ascii="Times New Roman" w:eastAsia="Calibri" w:hAnsi="Times New Roman" w:cs="Times New Roman"/>
          <w:sz w:val="28"/>
          <w:szCs w:val="28"/>
          <w:lang w:eastAsia="ru-RU"/>
        </w:rPr>
        <w:t>Переч</w:t>
      </w:r>
      <w:r>
        <w:rPr>
          <w:rFonts w:ascii="Times New Roman" w:eastAsia="Calibri" w:hAnsi="Times New Roman" w:cs="Times New Roman"/>
          <w:sz w:val="28"/>
          <w:szCs w:val="28"/>
          <w:lang w:eastAsia="ru-RU"/>
        </w:rPr>
        <w:t>ень</w:t>
      </w:r>
      <w:r w:rsidRPr="00104E94">
        <w:rPr>
          <w:rFonts w:ascii="Times New Roman" w:eastAsia="Calibri" w:hAnsi="Times New Roman" w:cs="Times New Roman"/>
          <w:sz w:val="28"/>
          <w:szCs w:val="28"/>
          <w:lang w:eastAsia="ru-RU"/>
        </w:rPr>
        <w:t xml:space="preserve"> поручений по итогам заседания Госсовета по вопросу развития конкуренции</w:t>
      </w:r>
      <w:r>
        <w:rPr>
          <w:rFonts w:ascii="Times New Roman" w:eastAsia="Calibri" w:hAnsi="Times New Roman" w:cs="Times New Roman"/>
          <w:sz w:val="28"/>
          <w:szCs w:val="28"/>
          <w:lang w:eastAsia="ru-RU"/>
        </w:rPr>
        <w:t xml:space="preserve"> от 1</w:t>
      </w:r>
      <w:r w:rsidRPr="00A8044F">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.05.</w:t>
      </w:r>
      <w:r w:rsidRPr="00A8044F">
        <w:rPr>
          <w:rFonts w:ascii="Times New Roman" w:eastAsia="Calibri" w:hAnsi="Times New Roman" w:cs="Times New Roman"/>
          <w:sz w:val="28"/>
          <w:szCs w:val="28"/>
          <w:lang w:eastAsia="ru-RU"/>
        </w:rPr>
        <w:t>2018</w:t>
      </w:r>
      <w:r>
        <w:rPr>
          <w:rFonts w:ascii="Times New Roman" w:eastAsia="Calibri" w:hAnsi="Times New Roman" w:cs="Times New Roman"/>
          <w:sz w:val="28"/>
          <w:szCs w:val="28"/>
          <w:lang w:eastAsia="ru-RU"/>
        </w:rPr>
        <w:t xml:space="preserve"> №</w:t>
      </w:r>
      <w:r w:rsidRPr="00A8044F">
        <w:rPr>
          <w:rFonts w:ascii="Times New Roman" w:eastAsia="Calibri" w:hAnsi="Times New Roman" w:cs="Times New Roman"/>
          <w:sz w:val="28"/>
          <w:szCs w:val="28"/>
          <w:lang w:eastAsia="ru-RU"/>
        </w:rPr>
        <w:t xml:space="preserve"> Пр-817ГС</w:t>
      </w:r>
      <w:r>
        <w:rPr>
          <w:rFonts w:ascii="Times New Roman" w:eastAsia="Calibri" w:hAnsi="Times New Roman" w:cs="Times New Roman"/>
          <w:sz w:val="28"/>
          <w:szCs w:val="28"/>
          <w:lang w:eastAsia="ru-RU"/>
        </w:rPr>
        <w:t>. Ос</w:t>
      </w:r>
      <w:r w:rsidRPr="004B5910">
        <w:rPr>
          <w:rFonts w:ascii="Times New Roman" w:eastAsia="Calibri" w:hAnsi="Times New Roman" w:cs="Times New Roman"/>
          <w:sz w:val="28"/>
          <w:szCs w:val="28"/>
          <w:lang w:eastAsia="ru-RU"/>
        </w:rPr>
        <w:t>нов</w:t>
      </w:r>
      <w:r>
        <w:rPr>
          <w:rFonts w:ascii="Times New Roman" w:eastAsia="Calibri" w:hAnsi="Times New Roman" w:cs="Times New Roman"/>
          <w:sz w:val="28"/>
          <w:szCs w:val="28"/>
          <w:lang w:eastAsia="ru-RU"/>
        </w:rPr>
        <w:t>ы</w:t>
      </w:r>
      <w:r w:rsidRPr="004B5910">
        <w:rPr>
          <w:rFonts w:ascii="Times New Roman" w:eastAsia="Calibri" w:hAnsi="Times New Roman" w:cs="Times New Roman"/>
          <w:sz w:val="28"/>
          <w:szCs w:val="28"/>
          <w:lang w:eastAsia="ru-RU"/>
        </w:rPr>
        <w:t xml:space="preserve"> новой региональной политики по развитию конкуренции</w:t>
      </w:r>
      <w:r>
        <w:rPr>
          <w:rFonts w:ascii="Times New Roman" w:eastAsia="Calibri" w:hAnsi="Times New Roman" w:cs="Times New Roman"/>
          <w:sz w:val="28"/>
          <w:szCs w:val="28"/>
          <w:lang w:eastAsia="ru-RU"/>
        </w:rPr>
        <w:t xml:space="preserve"> определены </w:t>
      </w:r>
      <w:r w:rsidRPr="005E0AAA">
        <w:rPr>
          <w:rFonts w:ascii="Times New Roman" w:eastAsia="Calibri" w:hAnsi="Times New Roman" w:cs="Times New Roman"/>
          <w:sz w:val="28"/>
          <w:szCs w:val="28"/>
          <w:lang w:eastAsia="ru-RU"/>
        </w:rPr>
        <w:t>Поручение</w:t>
      </w:r>
      <w:r>
        <w:rPr>
          <w:rFonts w:ascii="Times New Roman" w:eastAsia="Calibri" w:hAnsi="Times New Roman" w:cs="Times New Roman"/>
          <w:sz w:val="28"/>
          <w:szCs w:val="28"/>
          <w:lang w:eastAsia="ru-RU"/>
        </w:rPr>
        <w:t>м</w:t>
      </w:r>
      <w:r w:rsidRPr="005E0AAA">
        <w:rPr>
          <w:rFonts w:ascii="Times New Roman" w:eastAsia="Calibri" w:hAnsi="Times New Roman" w:cs="Times New Roman"/>
          <w:sz w:val="28"/>
          <w:szCs w:val="28"/>
          <w:lang w:eastAsia="ru-RU"/>
        </w:rPr>
        <w:t xml:space="preserve"> Правительства Российской Федерации от 22</w:t>
      </w:r>
      <w:r>
        <w:rPr>
          <w:rFonts w:ascii="Times New Roman" w:eastAsia="Calibri" w:hAnsi="Times New Roman" w:cs="Times New Roman"/>
          <w:sz w:val="28"/>
          <w:szCs w:val="28"/>
          <w:lang w:eastAsia="ru-RU"/>
        </w:rPr>
        <w:t>.05.</w:t>
      </w:r>
      <w:r w:rsidRPr="005E0AAA">
        <w:rPr>
          <w:rFonts w:ascii="Times New Roman" w:eastAsia="Calibri" w:hAnsi="Times New Roman" w:cs="Times New Roman"/>
          <w:sz w:val="28"/>
          <w:szCs w:val="28"/>
          <w:lang w:eastAsia="ru-RU"/>
        </w:rPr>
        <w:t>2018 № ДМ-П13-2864</w:t>
      </w:r>
      <w:r>
        <w:rPr>
          <w:rFonts w:ascii="Times New Roman" w:eastAsia="Calibri" w:hAnsi="Times New Roman" w:cs="Times New Roman"/>
          <w:sz w:val="28"/>
          <w:szCs w:val="28"/>
          <w:lang w:eastAsia="ru-RU"/>
        </w:rPr>
        <w:t>.</w:t>
      </w:r>
    </w:p>
    <w:p w14:paraId="348F6F4F"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8A797B">
        <w:rPr>
          <w:rFonts w:ascii="Times New Roman" w:eastAsia="Calibri" w:hAnsi="Times New Roman" w:cs="Times New Roman"/>
          <w:sz w:val="28"/>
          <w:szCs w:val="28"/>
          <w:lang w:eastAsia="ru-RU"/>
        </w:rPr>
        <w:t>Высокий уровень развития конкуренции во всех отраслях способен обеспечить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экономической эффективности и конкурентоспособности хозяйствующих субъектов.</w:t>
      </w:r>
    </w:p>
    <w:p w14:paraId="7DADF872"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По результатам анализа экономической ситуации в России Федеральная антимонопольная служба ежегодно представляет Доклад о состоянии конкуренции, в котором отражаются основные проблемы и перспективы развития товарных рынков, содержатся предложения по повышению эффективности их функционирования.</w:t>
      </w:r>
    </w:p>
    <w:p w14:paraId="162129F3"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Оценка состояния конкуренции как в целом, так и в отдельных отраслях и сферах является важнейшим инструментом разработки и реализации государственной экономической политики.</w:t>
      </w:r>
    </w:p>
    <w:p w14:paraId="1152FE8F"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Times New Roman" w:hAnsi="Times New Roman" w:cs="Times New Roman"/>
          <w:sz w:val="28"/>
          <w:szCs w:val="28"/>
          <w:lang w:eastAsia="ru-RU"/>
        </w:rPr>
        <w:t>Для возможности противостоять глобальным экономическим вызовам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37FC7F07" w14:textId="4AEB5E35"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 xml:space="preserve">В целях реализации государственной политики, направленной на развитие конкуренции, органы государственной власти, органы местного самоуправления, юридические лица, индивидуальные предприниматели и граждане должны быть обеспечены систематизированной аналитической информацией о состоянии конкуренции в Российской Федерации. Официальным документом, отражающим </w:t>
      </w:r>
      <w:r w:rsidR="00871019" w:rsidRPr="001C7597">
        <w:rPr>
          <w:rFonts w:ascii="Times New Roman" w:eastAsia="Calibri" w:hAnsi="Times New Roman" w:cs="Times New Roman"/>
          <w:sz w:val="28"/>
          <w:szCs w:val="28"/>
          <w:lang w:eastAsia="ru-RU"/>
        </w:rPr>
        <w:t>такую информацию,</w:t>
      </w:r>
      <w:r w:rsidRPr="001C7597">
        <w:rPr>
          <w:rFonts w:ascii="Times New Roman" w:eastAsia="Calibri" w:hAnsi="Times New Roman" w:cs="Times New Roman"/>
          <w:sz w:val="28"/>
          <w:szCs w:val="28"/>
          <w:lang w:eastAsia="ru-RU"/>
        </w:rPr>
        <w:t xml:space="preserve"> является Доклад о состоянии конкуренции в Российской Федерации (далее – Доклад).</w:t>
      </w:r>
    </w:p>
    <w:p w14:paraId="6CA20988" w14:textId="77777777"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Федеральная антимонопольная служба представляет Доклад, подготовленный в соответствии с пунктом 10 частью 2 статьи 23 Федерального закона от 26 июля 2006 года № 135-ФЗ «О защите конкуренции» (далее – Закон о защите конкуренции).</w:t>
      </w:r>
    </w:p>
    <w:p w14:paraId="1F548604"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Доклад служит основой для реализации органами государственной власти и местного самоуправления приоритетных направлений деятельности по обеспечению и развитию конкуренции, определенных Указом № 618.</w:t>
      </w:r>
    </w:p>
    <w:p w14:paraId="08A6189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670A9AE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1CE61472"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41AB228B" w14:textId="3D5F3E6B" w:rsidR="00486C79" w:rsidRDefault="00486C79">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14:paraId="14005280" w14:textId="071AFF2C" w:rsidR="00883C8E" w:rsidRPr="00CE7443" w:rsidRDefault="00A42DBE" w:rsidP="00F6030C">
      <w:pPr>
        <w:pStyle w:val="1"/>
        <w:numPr>
          <w:ilvl w:val="0"/>
          <w:numId w:val="59"/>
        </w:numPr>
      </w:pPr>
      <w:bookmarkStart w:id="1" w:name="_Toc7447924"/>
      <w:r w:rsidRPr="00CE7443">
        <w:t>СОСТОЯНИЕ КОНКУРЕНЦИИ В РОССИЙСКОЙ ФЕДЕРАЦИИ</w:t>
      </w:r>
      <w:bookmarkEnd w:id="1"/>
    </w:p>
    <w:p w14:paraId="6B69ABE6" w14:textId="77777777" w:rsidR="00883C8E" w:rsidRPr="007C6DC9" w:rsidRDefault="00883C8E" w:rsidP="00883C8E">
      <w:pPr>
        <w:spacing w:after="0" w:line="360" w:lineRule="auto"/>
        <w:jc w:val="center"/>
        <w:rPr>
          <w:rFonts w:ascii="Times New Roman" w:hAnsi="Times New Roman" w:cs="Times New Roman"/>
          <w:b/>
        </w:rPr>
      </w:pPr>
    </w:p>
    <w:p w14:paraId="4FF4879F" w14:textId="331FE401" w:rsidR="00883C8E" w:rsidRDefault="00883C8E" w:rsidP="00EF64DA">
      <w:pPr>
        <w:pStyle w:val="2"/>
        <w:numPr>
          <w:ilvl w:val="1"/>
          <w:numId w:val="5"/>
        </w:numPr>
      </w:pPr>
      <w:bookmarkStart w:id="2" w:name="_Toc7447925"/>
      <w:r w:rsidRPr="00CE7443">
        <w:t>Оценка состояния и основные тенденции развития конкуренции в Российской Федерации</w:t>
      </w:r>
      <w:bookmarkEnd w:id="2"/>
    </w:p>
    <w:p w14:paraId="7303BC58" w14:textId="77777777" w:rsidR="00AB3F56" w:rsidRPr="00AB3F56" w:rsidRDefault="00AB3F56" w:rsidP="00AB3F56"/>
    <w:p w14:paraId="715D7726" w14:textId="4BE7D16D" w:rsidR="00883C8E" w:rsidRPr="00944656" w:rsidRDefault="00680A07" w:rsidP="00DA3F05">
      <w:pPr>
        <w:pStyle w:val="3"/>
      </w:pPr>
      <w:bookmarkStart w:id="3" w:name="_Toc7447926"/>
      <w:r w:rsidRPr="00944656">
        <w:t>Вызовы</w:t>
      </w:r>
      <w:r w:rsidR="00BE7910" w:rsidRPr="00944656">
        <w:t xml:space="preserve"> </w:t>
      </w:r>
      <w:r w:rsidRPr="00944656">
        <w:t>р</w:t>
      </w:r>
      <w:r w:rsidR="00883C8E" w:rsidRPr="00944656">
        <w:t>осси</w:t>
      </w:r>
      <w:r w:rsidRPr="00944656">
        <w:t>йской экономик</w:t>
      </w:r>
      <w:bookmarkStart w:id="4" w:name="_Toc6834310"/>
      <w:bookmarkStart w:id="5" w:name="_Toc6834597"/>
      <w:bookmarkStart w:id="6" w:name="_Toc6834800"/>
      <w:bookmarkEnd w:id="4"/>
      <w:bookmarkEnd w:id="5"/>
      <w:bookmarkEnd w:id="6"/>
      <w:r w:rsidR="008E6D63">
        <w:t>и</w:t>
      </w:r>
      <w:bookmarkEnd w:id="3"/>
    </w:p>
    <w:p w14:paraId="29B0DE53" w14:textId="77777777" w:rsidR="00883C8E" w:rsidRDefault="00883C8E" w:rsidP="00883C8E">
      <w:pPr>
        <w:spacing w:after="0" w:line="360" w:lineRule="auto"/>
        <w:jc w:val="both"/>
        <w:rPr>
          <w:rFonts w:ascii="Times New Roman" w:hAnsi="Times New Roman" w:cs="Times New Roman"/>
        </w:rPr>
      </w:pPr>
    </w:p>
    <w:p w14:paraId="2E7CBDCE" w14:textId="77777777" w:rsidR="00680A07" w:rsidRDefault="00680A07" w:rsidP="00680A07">
      <w:pPr>
        <w:spacing w:after="0" w:line="240" w:lineRule="auto"/>
        <w:ind w:firstLine="708"/>
        <w:jc w:val="both"/>
        <w:rPr>
          <w:rFonts w:ascii="Times New Roman" w:hAnsi="Times New Roman" w:cs="Times New Roman"/>
          <w:sz w:val="28"/>
          <w:szCs w:val="28"/>
        </w:rPr>
      </w:pPr>
      <w:r w:rsidRPr="00944B18">
        <w:rPr>
          <w:rFonts w:ascii="Times New Roman" w:hAnsi="Times New Roman" w:cs="Times New Roman"/>
          <w:sz w:val="28"/>
          <w:szCs w:val="28"/>
        </w:rPr>
        <w:t>Главными стратегическими угрозами национальной безопасности в области экономики</w:t>
      </w:r>
      <w:r>
        <w:rPr>
          <w:rFonts w:ascii="Times New Roman" w:hAnsi="Times New Roman" w:cs="Times New Roman"/>
          <w:sz w:val="28"/>
          <w:szCs w:val="28"/>
        </w:rPr>
        <w:t xml:space="preserve">, согласно Стратегии национальной безопасности Российской Федерации, утвержденной Указом Президента Российской Федерации № от 31.12.2015 № 683, </w:t>
      </w:r>
      <w:r w:rsidRPr="00944B18">
        <w:rPr>
          <w:rFonts w:ascii="Times New Roman" w:hAnsi="Times New Roman" w:cs="Times New Roman"/>
          <w:sz w:val="28"/>
          <w:szCs w:val="28"/>
        </w:rPr>
        <w:t xml:space="preserve">являются ее низкая конкурентоспособность, сохранение экспортно-сырьевой модели развития и высокая зависимость от внешнеэкономической конъюнктуры, отставание в разработке и внедрении перспективных технологий, незащищенность национальной финансовой системы от действий нерезидентов и спекулятивного иностранного капитала, уязвимость ее информационной инфраструктуры, несбалансированность национальной бюджетной системы, регистрация прав собственности в отношении значительной части организаций в иностранных юрисдикциях, ухудшение состояния и истощение сырьевой базы, сокращение добычи и запасов стратегически важных полезных ископаемых, прогрессирующая трудонедостаточность, сохранение значительной доли теневой экономики, условий для коррупции и криминализации хозяйственно-финансовых отношений, незаконной миграции, </w:t>
      </w:r>
      <w:r>
        <w:rPr>
          <w:rFonts w:ascii="Times New Roman" w:hAnsi="Times New Roman" w:cs="Times New Roman"/>
          <w:sz w:val="28"/>
          <w:szCs w:val="28"/>
        </w:rPr>
        <w:t>неравномерное развитие регионов</w:t>
      </w:r>
      <w:r w:rsidRPr="00944B18">
        <w:rPr>
          <w:rFonts w:ascii="Times New Roman" w:hAnsi="Times New Roman" w:cs="Times New Roman"/>
          <w:sz w:val="28"/>
          <w:szCs w:val="28"/>
        </w:rPr>
        <w:t>.</w:t>
      </w:r>
    </w:p>
    <w:p w14:paraId="028A4B5A" w14:textId="6002FC40"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экономического состояния ФАС России позволяет выявить следующие </w:t>
      </w:r>
      <w:r w:rsidR="00871019">
        <w:rPr>
          <w:rFonts w:ascii="Times New Roman" w:hAnsi="Times New Roman" w:cs="Times New Roman"/>
          <w:sz w:val="28"/>
          <w:szCs w:val="28"/>
        </w:rPr>
        <w:t xml:space="preserve">внешние и внутренние </w:t>
      </w:r>
      <w:r>
        <w:rPr>
          <w:rFonts w:ascii="Times New Roman" w:hAnsi="Times New Roman" w:cs="Times New Roman"/>
          <w:sz w:val="28"/>
          <w:szCs w:val="28"/>
        </w:rPr>
        <w:t>угрозы</w:t>
      </w:r>
      <w:r w:rsidR="00871019">
        <w:rPr>
          <w:rFonts w:ascii="Times New Roman" w:hAnsi="Times New Roman" w:cs="Times New Roman"/>
          <w:sz w:val="28"/>
          <w:szCs w:val="28"/>
        </w:rPr>
        <w:t xml:space="preserve"> российской экономик</w:t>
      </w:r>
      <w:r w:rsidR="008E6D63">
        <w:rPr>
          <w:rFonts w:ascii="Times New Roman" w:hAnsi="Times New Roman" w:cs="Times New Roman"/>
          <w:sz w:val="28"/>
          <w:szCs w:val="28"/>
        </w:rPr>
        <w:t>е</w:t>
      </w:r>
      <w:r>
        <w:rPr>
          <w:rFonts w:ascii="Times New Roman" w:hAnsi="Times New Roman" w:cs="Times New Roman"/>
          <w:sz w:val="28"/>
          <w:szCs w:val="28"/>
        </w:rPr>
        <w:t>:</w:t>
      </w:r>
    </w:p>
    <w:p w14:paraId="6B4A8510" w14:textId="144525FC" w:rsidR="00871019" w:rsidRDefault="00871019" w:rsidP="00F6030C">
      <w:pPr>
        <w:pStyle w:val="a5"/>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Глобальное изменени</w:t>
      </w:r>
      <w:r w:rsidR="00E07DAD">
        <w:rPr>
          <w:rFonts w:ascii="Times New Roman" w:hAnsi="Times New Roman" w:cs="Times New Roman"/>
          <w:sz w:val="28"/>
          <w:szCs w:val="28"/>
        </w:rPr>
        <w:t>е</w:t>
      </w:r>
      <w:r>
        <w:rPr>
          <w:rFonts w:ascii="Times New Roman" w:hAnsi="Times New Roman" w:cs="Times New Roman"/>
          <w:sz w:val="28"/>
          <w:szCs w:val="28"/>
        </w:rPr>
        <w:t xml:space="preserve"> мировой экономики.</w:t>
      </w:r>
    </w:p>
    <w:p w14:paraId="0E796210" w14:textId="77777777" w:rsidR="00680A07" w:rsidRDefault="00680A07" w:rsidP="00F6030C">
      <w:pPr>
        <w:pStyle w:val="a5"/>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Сохранение государственно-монополистических тенденций в экономике.</w:t>
      </w:r>
    </w:p>
    <w:p w14:paraId="61B3B34A" w14:textId="77777777" w:rsidR="00680A07" w:rsidRDefault="00680A07" w:rsidP="00F6030C">
      <w:pPr>
        <w:pStyle w:val="a5"/>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Состояние развития малого и среднего предпринимательства.</w:t>
      </w:r>
    </w:p>
    <w:p w14:paraId="45F2068F" w14:textId="77777777" w:rsidR="00680A07" w:rsidRDefault="00680A07" w:rsidP="00F6030C">
      <w:pPr>
        <w:pStyle w:val="a5"/>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Картелизация российской экономики.</w:t>
      </w:r>
    </w:p>
    <w:p w14:paraId="70F26C45" w14:textId="77777777" w:rsidR="00680A07" w:rsidRDefault="00680A07" w:rsidP="00F6030C">
      <w:pPr>
        <w:pStyle w:val="a5"/>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Системные проблемы законодательства о закупках и обязательных торгах.</w:t>
      </w:r>
    </w:p>
    <w:p w14:paraId="1F30887B" w14:textId="77777777" w:rsidR="00680A07" w:rsidRDefault="00680A07" w:rsidP="00F6030C">
      <w:pPr>
        <w:pStyle w:val="a5"/>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Несовершенство нормативной системы тарифного регулирования.</w:t>
      </w:r>
    </w:p>
    <w:p w14:paraId="23F0A270" w14:textId="77777777" w:rsidR="00680A07" w:rsidRPr="00D74852" w:rsidRDefault="00680A07" w:rsidP="00F6030C">
      <w:pPr>
        <w:pStyle w:val="a5"/>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Нарушение конкуренции со стороны органов власти.</w:t>
      </w:r>
    </w:p>
    <w:p w14:paraId="4C7F07BE" w14:textId="77777777" w:rsidR="00271457" w:rsidRDefault="00271457" w:rsidP="00680A07">
      <w:pPr>
        <w:spacing w:after="0" w:line="240" w:lineRule="auto"/>
        <w:ind w:firstLine="708"/>
        <w:jc w:val="both"/>
        <w:rPr>
          <w:rFonts w:ascii="Times New Roman" w:hAnsi="Times New Roman" w:cs="Times New Roman"/>
          <w:i/>
          <w:sz w:val="28"/>
          <w:szCs w:val="28"/>
        </w:rPr>
      </w:pPr>
    </w:p>
    <w:p w14:paraId="5EC41874" w14:textId="0867ECCE" w:rsidR="00871019" w:rsidRDefault="00871019" w:rsidP="00271457">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Глобальные изменения мировой экономики</w:t>
      </w:r>
    </w:p>
    <w:p w14:paraId="15296F32"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Структурные сдвиги в экономике происходят все стремительнее и </w:t>
      </w:r>
      <w:r>
        <w:rPr>
          <w:rFonts w:ascii="Times New Roman" w:hAnsi="Times New Roman" w:cs="Times New Roman"/>
          <w:sz w:val="28"/>
          <w:szCs w:val="28"/>
        </w:rPr>
        <w:t xml:space="preserve">их </w:t>
      </w:r>
      <w:r w:rsidRPr="002D5F26">
        <w:rPr>
          <w:rFonts w:ascii="Times New Roman" w:hAnsi="Times New Roman" w:cs="Times New Roman"/>
          <w:sz w:val="28"/>
          <w:szCs w:val="28"/>
        </w:rPr>
        <w:t>существование влия</w:t>
      </w:r>
      <w:r>
        <w:rPr>
          <w:rFonts w:ascii="Times New Roman" w:hAnsi="Times New Roman" w:cs="Times New Roman"/>
          <w:sz w:val="28"/>
          <w:szCs w:val="28"/>
        </w:rPr>
        <w:t>е</w:t>
      </w:r>
      <w:r w:rsidRPr="002D5F26">
        <w:rPr>
          <w:rFonts w:ascii="Times New Roman" w:hAnsi="Times New Roman" w:cs="Times New Roman"/>
          <w:sz w:val="28"/>
          <w:szCs w:val="28"/>
        </w:rPr>
        <w:t>т на все процессы, в том числе политические и социальные.</w:t>
      </w:r>
    </w:p>
    <w:p w14:paraId="719B8FF4"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Происходящие изменения настолько значительны, что могут быть охарактеризованы, как крупнейший за всю историю технологический переход, когда богатство природных ресурсов и дешевизна труда перестают быть основными факторами роста.</w:t>
      </w:r>
    </w:p>
    <w:p w14:paraId="77EE65B8"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Цифровые преобразования на современном этапе - один из главных факторов мирового экономического роста.</w:t>
      </w:r>
    </w:p>
    <w:p w14:paraId="0FC13B35"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Развитие цифровых технологий и усиление роли инноваций приводят к изменению экономической картины мира, стирают географические границы товарных рынков, разрушают устоявшиеся экономические связи и создают совершенно новые рынки (информационно-технологические) и совершенно новые структурные связи, характеризующиеся глобальным многосторонним характером, </w:t>
      </w:r>
      <w:r>
        <w:rPr>
          <w:rFonts w:ascii="Times New Roman" w:hAnsi="Times New Roman" w:cs="Times New Roman"/>
          <w:sz w:val="28"/>
          <w:szCs w:val="28"/>
        </w:rPr>
        <w:t xml:space="preserve">а также </w:t>
      </w:r>
      <w:r w:rsidRPr="002D5F26">
        <w:rPr>
          <w:rFonts w:ascii="Times New Roman" w:hAnsi="Times New Roman" w:cs="Times New Roman"/>
          <w:sz w:val="28"/>
          <w:szCs w:val="28"/>
        </w:rPr>
        <w:t>оказывающие влияние на смежные отрасли и сферы хозяйствования.</w:t>
      </w:r>
    </w:p>
    <w:p w14:paraId="0309215F" w14:textId="77777777" w:rsidR="00871019"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Быстрые изменения, происходящие в сфере цифровых технологий, представляют собой вызов и угрозу для задействованных в процессе участников. На рынках появляются новые, ранее не существовавшие продукты, применение которых потребителями до этого не представлялось возможным и потому их обращение до недавнего времени не подлежало контролю со стороны государства.</w:t>
      </w:r>
    </w:p>
    <w:p w14:paraId="0EC7E1ED" w14:textId="636097CC"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Основными факторами экономического роста в современной экономике информационные технологии, обладание большими данными и интеллектуальная собственность.</w:t>
      </w:r>
    </w:p>
    <w:p w14:paraId="5C167A18" w14:textId="77777777"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Так, по некоторым оценкам к</w:t>
      </w:r>
      <w:r w:rsidR="00BE213D" w:rsidRPr="00215F46">
        <w:rPr>
          <w:rFonts w:ascii="Times New Roman" w:hAnsi="Times New Roman" w:cs="Times New Roman"/>
          <w:sz w:val="28"/>
          <w:szCs w:val="28"/>
        </w:rPr>
        <w:t xml:space="preserve"> 2025 году объем всех данных во всем мире составит 163 зеттабайт (ЗБ). Это в 10 раз больше, чем общий объем д</w:t>
      </w:r>
      <w:r>
        <w:rPr>
          <w:rFonts w:ascii="Times New Roman" w:hAnsi="Times New Roman" w:cs="Times New Roman"/>
          <w:sz w:val="28"/>
          <w:szCs w:val="28"/>
        </w:rPr>
        <w:t>анных по состоянию на 2016 год.</w:t>
      </w:r>
    </w:p>
    <w:p w14:paraId="1AEA3550" w14:textId="32F6300A" w:rsid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По оценкам Глобального института McKinsey, в Китае до 22% увеличения ВВП к 2025 году может произойти за счет интернет-технологий</w:t>
      </w:r>
      <w:r w:rsidR="00215F46">
        <w:rPr>
          <w:rFonts w:ascii="Times New Roman" w:hAnsi="Times New Roman" w:cs="Times New Roman"/>
          <w:sz w:val="28"/>
          <w:szCs w:val="28"/>
        </w:rPr>
        <w:t>.</w:t>
      </w:r>
    </w:p>
    <w:p w14:paraId="73C81EDF" w14:textId="299DBCF6" w:rsidR="00423AEA" w:rsidRP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В следующие 10 лет более 80 млрд подключённых устройств по всему миру будут постоянно обмениваться данными с людьми и друг с другом</w:t>
      </w:r>
      <w:r w:rsidR="00215F46">
        <w:rPr>
          <w:rFonts w:ascii="Times New Roman" w:hAnsi="Times New Roman" w:cs="Times New Roman"/>
          <w:sz w:val="28"/>
          <w:szCs w:val="28"/>
        </w:rPr>
        <w:t>.</w:t>
      </w:r>
    </w:p>
    <w:p w14:paraId="0A5BCB16" w14:textId="084572AB"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Новое качество экономических связей существенно изменило сущностное понимание экономической силы (рыночной власти) на современном этапе.</w:t>
      </w:r>
    </w:p>
    <w:p w14:paraId="30920F33" w14:textId="47547329" w:rsidR="00423AEA" w:rsidRDefault="00215F46" w:rsidP="00271457">
      <w:pPr>
        <w:pStyle w:val="ConsPlusNormal0"/>
        <w:ind w:firstLine="709"/>
        <w:jc w:val="both"/>
        <w:rPr>
          <w:rFonts w:ascii="Times New Roman" w:hAnsi="Times New Roman" w:cs="Times New Roman"/>
          <w:bCs/>
          <w:sz w:val="28"/>
          <w:szCs w:val="28"/>
        </w:rPr>
      </w:pPr>
      <w:r w:rsidRPr="00215F46">
        <w:rPr>
          <w:rFonts w:ascii="Times New Roman" w:hAnsi="Times New Roman" w:cs="Times New Roman"/>
          <w:sz w:val="28"/>
          <w:szCs w:val="28"/>
        </w:rPr>
        <w:t>Так, к</w:t>
      </w:r>
      <w:r w:rsidR="00BE213D" w:rsidRPr="00215F46">
        <w:rPr>
          <w:rFonts w:ascii="Times New Roman" w:hAnsi="Times New Roman" w:cs="Times New Roman"/>
          <w:sz w:val="28"/>
          <w:szCs w:val="28"/>
        </w:rPr>
        <w:t xml:space="preserve">рупнейшая в мире компания такси </w:t>
      </w:r>
      <w:r w:rsidR="00BE213D" w:rsidRPr="00215F46">
        <w:rPr>
          <w:rFonts w:ascii="Times New Roman" w:hAnsi="Times New Roman" w:cs="Times New Roman"/>
          <w:bCs/>
          <w:sz w:val="28"/>
          <w:szCs w:val="28"/>
        </w:rPr>
        <w:t>Uber</w:t>
      </w:r>
      <w:r w:rsidR="00BE213D" w:rsidRPr="00215F46">
        <w:rPr>
          <w:rFonts w:ascii="Times New Roman" w:hAnsi="Times New Roman" w:cs="Times New Roman"/>
          <w:sz w:val="28"/>
          <w:szCs w:val="28"/>
        </w:rPr>
        <w:t xml:space="preserve"> </w:t>
      </w:r>
      <w:r w:rsidR="00BE213D" w:rsidRPr="00215F46">
        <w:rPr>
          <w:rFonts w:ascii="Times New Roman" w:hAnsi="Times New Roman" w:cs="Times New Roman"/>
          <w:bCs/>
          <w:sz w:val="28"/>
          <w:szCs w:val="28"/>
        </w:rPr>
        <w:t>не является собственником</w:t>
      </w:r>
      <w:r w:rsidR="00BE213D" w:rsidRPr="00215F46">
        <w:rPr>
          <w:rFonts w:ascii="Times New Roman" w:hAnsi="Times New Roman" w:cs="Times New Roman"/>
          <w:sz w:val="28"/>
          <w:szCs w:val="28"/>
        </w:rPr>
        <w:t xml:space="preserve"> транспортных средств</w:t>
      </w:r>
      <w:r w:rsidRPr="00215F46">
        <w:rPr>
          <w:rFonts w:ascii="Times New Roman" w:hAnsi="Times New Roman" w:cs="Times New Roman"/>
          <w:sz w:val="28"/>
          <w:szCs w:val="28"/>
        </w:rPr>
        <w:t>, с</w:t>
      </w:r>
      <w:r w:rsidR="00BE213D" w:rsidRPr="00215F46">
        <w:rPr>
          <w:rFonts w:ascii="Times New Roman" w:hAnsi="Times New Roman" w:cs="Times New Roman"/>
          <w:sz w:val="28"/>
          <w:szCs w:val="28"/>
        </w:rPr>
        <w:t xml:space="preserve">амый популярный в мире медийный собственник </w:t>
      </w:r>
      <w:r w:rsidR="00BE213D" w:rsidRPr="00215F46">
        <w:rPr>
          <w:rFonts w:ascii="Times New Roman" w:hAnsi="Times New Roman" w:cs="Times New Roman"/>
          <w:bCs/>
          <w:sz w:val="28"/>
          <w:szCs w:val="28"/>
        </w:rPr>
        <w:t>Facebook не создает контента</w:t>
      </w:r>
      <w:r w:rsidRPr="00215F46">
        <w:rPr>
          <w:rFonts w:ascii="Times New Roman" w:hAnsi="Times New Roman" w:cs="Times New Roman"/>
          <w:bCs/>
          <w:sz w:val="28"/>
          <w:szCs w:val="28"/>
        </w:rPr>
        <w:t>, с</w:t>
      </w:r>
      <w:r w:rsidR="00BE213D" w:rsidRPr="00215F46">
        <w:rPr>
          <w:rFonts w:ascii="Times New Roman" w:hAnsi="Times New Roman" w:cs="Times New Roman"/>
          <w:sz w:val="28"/>
          <w:szCs w:val="28"/>
        </w:rPr>
        <w:t xml:space="preserve">амый дорогостоящий розничный продавец </w:t>
      </w:r>
      <w:r w:rsidR="00BE213D" w:rsidRPr="00215F46">
        <w:rPr>
          <w:rFonts w:ascii="Times New Roman" w:hAnsi="Times New Roman" w:cs="Times New Roman"/>
          <w:bCs/>
          <w:sz w:val="28"/>
          <w:szCs w:val="28"/>
        </w:rPr>
        <w:t>Alibaba не имеет товарного запаса</w:t>
      </w:r>
      <w:r w:rsidRPr="00215F46">
        <w:rPr>
          <w:rFonts w:ascii="Times New Roman" w:hAnsi="Times New Roman" w:cs="Times New Roman"/>
          <w:bCs/>
          <w:sz w:val="28"/>
          <w:szCs w:val="28"/>
        </w:rPr>
        <w:t>, к</w:t>
      </w:r>
      <w:r w:rsidR="00BE213D" w:rsidRPr="00215F46">
        <w:rPr>
          <w:rFonts w:ascii="Times New Roman" w:hAnsi="Times New Roman" w:cs="Times New Roman"/>
          <w:sz w:val="28"/>
          <w:szCs w:val="28"/>
        </w:rPr>
        <w:t xml:space="preserve">рупнейший в мире поставщик услуг по временному проживанию </w:t>
      </w:r>
      <w:r w:rsidR="00BE213D" w:rsidRPr="00215F46">
        <w:rPr>
          <w:rFonts w:ascii="Times New Roman" w:hAnsi="Times New Roman" w:cs="Times New Roman"/>
          <w:bCs/>
          <w:sz w:val="28"/>
          <w:szCs w:val="28"/>
        </w:rPr>
        <w:t>Airbnb не является владельцем недвижимости</w:t>
      </w:r>
      <w:r w:rsidRPr="00215F46">
        <w:rPr>
          <w:rFonts w:ascii="Times New Roman" w:hAnsi="Times New Roman" w:cs="Times New Roman"/>
          <w:bCs/>
          <w:sz w:val="28"/>
          <w:szCs w:val="28"/>
        </w:rPr>
        <w:t>.</w:t>
      </w:r>
    </w:p>
    <w:p w14:paraId="0DD2D625" w14:textId="7836DCAB"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bCs/>
          <w:sz w:val="28"/>
          <w:szCs w:val="28"/>
        </w:rPr>
        <w:t xml:space="preserve">Трансграничность </w:t>
      </w:r>
      <w:r w:rsidR="00DD7ADA">
        <w:rPr>
          <w:rFonts w:ascii="Times New Roman" w:hAnsi="Times New Roman" w:cs="Times New Roman"/>
          <w:bCs/>
          <w:sz w:val="28"/>
          <w:szCs w:val="28"/>
        </w:rPr>
        <w:t xml:space="preserve">товарных рынков, связанных между собой цифровыми технологиями и цифровыми платформами, заставляет совершенно </w:t>
      </w:r>
      <w:r w:rsidR="00271457">
        <w:rPr>
          <w:rFonts w:ascii="Times New Roman" w:hAnsi="Times New Roman" w:cs="Times New Roman"/>
          <w:bCs/>
          <w:sz w:val="28"/>
          <w:szCs w:val="28"/>
        </w:rPr>
        <w:t>по-новому</w:t>
      </w:r>
      <w:r w:rsidR="00DD7ADA">
        <w:rPr>
          <w:rFonts w:ascii="Times New Roman" w:hAnsi="Times New Roman" w:cs="Times New Roman"/>
          <w:bCs/>
          <w:sz w:val="28"/>
          <w:szCs w:val="28"/>
        </w:rPr>
        <w:t xml:space="preserve"> подходить к вопросам государственного регулирования экономики.</w:t>
      </w:r>
    </w:p>
    <w:p w14:paraId="479A05D3" w14:textId="77E9F2D0"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Председателем Правительства Российской Федерации </w:t>
      </w:r>
      <w:r w:rsidR="00EE3F3B">
        <w:rPr>
          <w:rFonts w:ascii="Times New Roman" w:hAnsi="Times New Roman" w:cs="Times New Roman"/>
          <w:sz w:val="28"/>
          <w:szCs w:val="28"/>
        </w:rPr>
        <w:t xml:space="preserve">            </w:t>
      </w:r>
      <w:r>
        <w:rPr>
          <w:rFonts w:ascii="Times New Roman" w:hAnsi="Times New Roman" w:cs="Times New Roman"/>
          <w:sz w:val="28"/>
          <w:szCs w:val="28"/>
        </w:rPr>
        <w:t xml:space="preserve">Д.А. Медведевым в журнале «Вопросы экономики» была опубликована статья </w:t>
      </w:r>
      <w:r w:rsidRPr="00871019">
        <w:rPr>
          <w:rFonts w:ascii="Times New Roman" w:hAnsi="Times New Roman" w:cs="Times New Roman"/>
          <w:sz w:val="28"/>
          <w:szCs w:val="28"/>
        </w:rPr>
        <w:t>«Новая реальность: Россия и глобальные вызовы»</w:t>
      </w:r>
      <w:r>
        <w:rPr>
          <w:rFonts w:ascii="Times New Roman" w:hAnsi="Times New Roman" w:cs="Times New Roman"/>
          <w:sz w:val="28"/>
          <w:szCs w:val="28"/>
        </w:rPr>
        <w:t>.</w:t>
      </w:r>
    </w:p>
    <w:p w14:paraId="46C6F421" w14:textId="651511DE"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статье выделены следующие основные явления современно</w:t>
      </w:r>
      <w:r w:rsidR="00EE3F3B">
        <w:rPr>
          <w:rFonts w:ascii="Times New Roman" w:hAnsi="Times New Roman" w:cs="Times New Roman"/>
          <w:sz w:val="28"/>
          <w:szCs w:val="28"/>
        </w:rPr>
        <w:t>й</w:t>
      </w:r>
      <w:r>
        <w:rPr>
          <w:rFonts w:ascii="Times New Roman" w:hAnsi="Times New Roman" w:cs="Times New Roman"/>
          <w:sz w:val="28"/>
          <w:szCs w:val="28"/>
        </w:rPr>
        <w:t xml:space="preserve"> экономики, отражающие ее существенные изменения:</w:t>
      </w:r>
    </w:p>
    <w:p w14:paraId="07DF69DC" w14:textId="745B58AC" w:rsidR="00871019" w:rsidRPr="00871019" w:rsidRDefault="00871019" w:rsidP="00F6030C">
      <w:pPr>
        <w:pStyle w:val="ConsPlusNormal0"/>
        <w:numPr>
          <w:ilvl w:val="0"/>
          <w:numId w:val="51"/>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усиление технологической непредсказуемости</w:t>
      </w:r>
      <w:r w:rsidR="00EE3F3B">
        <w:rPr>
          <w:rFonts w:ascii="Times New Roman" w:hAnsi="Times New Roman" w:cs="Times New Roman"/>
          <w:bCs/>
          <w:sz w:val="28"/>
          <w:szCs w:val="28"/>
        </w:rPr>
        <w:t>;</w:t>
      </w:r>
    </w:p>
    <w:p w14:paraId="20ECC636" w14:textId="6F65B551" w:rsidR="00871019" w:rsidRPr="00871019" w:rsidRDefault="00871019" w:rsidP="00F6030C">
      <w:pPr>
        <w:pStyle w:val="ConsPlusNormal0"/>
        <w:numPr>
          <w:ilvl w:val="0"/>
          <w:numId w:val="51"/>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стирание границы между physical and digital, то есть распространение цифровых технологий на все сферы материального мира</w:t>
      </w:r>
      <w:r w:rsidR="00EE3F3B">
        <w:rPr>
          <w:rFonts w:ascii="Times New Roman" w:hAnsi="Times New Roman" w:cs="Times New Roman"/>
          <w:bCs/>
          <w:sz w:val="28"/>
          <w:szCs w:val="28"/>
        </w:rPr>
        <w:t>;</w:t>
      </w:r>
    </w:p>
    <w:p w14:paraId="367CBC51" w14:textId="2BE9E7ED" w:rsidR="00871019" w:rsidRPr="00871019" w:rsidRDefault="00871019" w:rsidP="00F6030C">
      <w:pPr>
        <w:pStyle w:val="ConsPlusNormal0"/>
        <w:numPr>
          <w:ilvl w:val="0"/>
          <w:numId w:val="51"/>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новая индустриализация, то есть появление промышленных технологий и секторов, для которых издержки на труд оказываются менее значимыми, чем доступность НИОКР и близость потребителя</w:t>
      </w:r>
      <w:r w:rsidR="00EE3F3B">
        <w:rPr>
          <w:rFonts w:ascii="Times New Roman" w:hAnsi="Times New Roman" w:cs="Times New Roman"/>
          <w:bCs/>
          <w:sz w:val="28"/>
          <w:szCs w:val="28"/>
        </w:rPr>
        <w:t>;</w:t>
      </w:r>
    </w:p>
    <w:p w14:paraId="6A5139D4" w14:textId="5C56A907" w:rsidR="00871019" w:rsidRDefault="00871019" w:rsidP="00F6030C">
      <w:pPr>
        <w:pStyle w:val="ConsPlusNormal0"/>
        <w:numPr>
          <w:ilvl w:val="0"/>
          <w:numId w:val="51"/>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инновационный технологический трансферт все более осуществляется от гражданских отраслей к военным</w:t>
      </w:r>
      <w:r>
        <w:rPr>
          <w:rFonts w:ascii="Times New Roman" w:hAnsi="Times New Roman" w:cs="Times New Roman"/>
          <w:sz w:val="28"/>
          <w:szCs w:val="28"/>
        </w:rPr>
        <w:t>.</w:t>
      </w:r>
    </w:p>
    <w:p w14:paraId="3B0B4AB5" w14:textId="1CF41663"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28 июля 2017 года Правительство</w:t>
      </w:r>
      <w:r w:rsidR="007238D5">
        <w:rPr>
          <w:rFonts w:ascii="Times New Roman" w:hAnsi="Times New Roman" w:cs="Times New Roman"/>
          <w:sz w:val="28"/>
          <w:szCs w:val="28"/>
        </w:rPr>
        <w:t>м</w:t>
      </w:r>
      <w:r>
        <w:rPr>
          <w:rFonts w:ascii="Times New Roman" w:hAnsi="Times New Roman" w:cs="Times New Roman"/>
          <w:sz w:val="28"/>
          <w:szCs w:val="28"/>
        </w:rPr>
        <w:t xml:space="preserve"> Российской Федерации прин</w:t>
      </w:r>
      <w:r w:rsidR="007238D5">
        <w:rPr>
          <w:rFonts w:ascii="Times New Roman" w:hAnsi="Times New Roman" w:cs="Times New Roman"/>
          <w:sz w:val="28"/>
          <w:szCs w:val="28"/>
        </w:rPr>
        <w:t>ято</w:t>
      </w:r>
      <w:r>
        <w:rPr>
          <w:rFonts w:ascii="Times New Roman" w:hAnsi="Times New Roman" w:cs="Times New Roman"/>
          <w:sz w:val="28"/>
          <w:szCs w:val="28"/>
        </w:rPr>
        <w:t xml:space="preserve"> </w:t>
      </w:r>
      <w:r w:rsidRPr="00DD7ADA">
        <w:rPr>
          <w:rFonts w:ascii="Times New Roman" w:hAnsi="Times New Roman" w:cs="Times New Roman"/>
          <w:sz w:val="28"/>
          <w:szCs w:val="28"/>
        </w:rPr>
        <w:t>распоряжение №</w:t>
      </w:r>
      <w:r w:rsidRPr="00215F46">
        <w:rPr>
          <w:rFonts w:ascii="Times New Roman" w:hAnsi="Times New Roman" w:cs="Times New Roman"/>
          <w:sz w:val="28"/>
          <w:szCs w:val="28"/>
        </w:rPr>
        <w:t xml:space="preserve"> 1632</w:t>
      </w:r>
      <w:r w:rsidRPr="00DD7ADA">
        <w:rPr>
          <w:rFonts w:ascii="Times New Roman" w:hAnsi="Times New Roman" w:cs="Times New Roman"/>
          <w:sz w:val="28"/>
          <w:szCs w:val="28"/>
        </w:rPr>
        <w:t xml:space="preserve">, утверждающее Программу </w:t>
      </w:r>
      <w:r w:rsidR="00DD7ADA" w:rsidRPr="00DD7ADA">
        <w:rPr>
          <w:rFonts w:ascii="Times New Roman" w:hAnsi="Times New Roman" w:cs="Times New Roman"/>
          <w:sz w:val="28"/>
          <w:szCs w:val="28"/>
        </w:rPr>
        <w:t>«Ц</w:t>
      </w:r>
      <w:r w:rsidRPr="00DD7ADA">
        <w:rPr>
          <w:rFonts w:ascii="Times New Roman" w:hAnsi="Times New Roman" w:cs="Times New Roman"/>
          <w:sz w:val="28"/>
          <w:szCs w:val="28"/>
        </w:rPr>
        <w:t>ифровая экономика</w:t>
      </w:r>
      <w:r w:rsidR="00DD7ADA" w:rsidRPr="00DD7ADA">
        <w:rPr>
          <w:rFonts w:ascii="Times New Roman" w:hAnsi="Times New Roman" w:cs="Times New Roman"/>
          <w:sz w:val="28"/>
          <w:szCs w:val="28"/>
        </w:rPr>
        <w:t xml:space="preserve"> Российской Федерации»</w:t>
      </w:r>
      <w:r w:rsidR="00DD7ADA">
        <w:rPr>
          <w:rFonts w:ascii="Times New Roman" w:hAnsi="Times New Roman" w:cs="Times New Roman"/>
          <w:sz w:val="28"/>
          <w:szCs w:val="28"/>
        </w:rPr>
        <w:t>.</w:t>
      </w:r>
    </w:p>
    <w:p w14:paraId="69A3954D" w14:textId="5BF4BFAD" w:rsidR="00215F46" w:rsidRPr="00DD7ADA" w:rsidRDefault="00215F46" w:rsidP="00271457">
      <w:pPr>
        <w:spacing w:after="0" w:line="240" w:lineRule="auto"/>
        <w:ind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 xml:space="preserve">Целями Программы </w:t>
      </w:r>
      <w:r w:rsidR="00DD7ADA" w:rsidRPr="00DD7ADA">
        <w:rPr>
          <w:rFonts w:ascii="Times New Roman" w:eastAsia="Times New Roman" w:hAnsi="Times New Roman" w:cs="Times New Roman"/>
          <w:sz w:val="28"/>
          <w:szCs w:val="28"/>
          <w:lang w:eastAsia="ru-RU"/>
        </w:rPr>
        <w:t>заявлены</w:t>
      </w:r>
      <w:r w:rsidRPr="00DD7ADA">
        <w:rPr>
          <w:rFonts w:ascii="Times New Roman" w:eastAsia="Times New Roman" w:hAnsi="Times New Roman" w:cs="Times New Roman"/>
          <w:sz w:val="28"/>
          <w:szCs w:val="28"/>
          <w:lang w:eastAsia="ru-RU"/>
        </w:rPr>
        <w:t>:</w:t>
      </w:r>
    </w:p>
    <w:p w14:paraId="765724E7" w14:textId="508B8603" w:rsidR="00215F46" w:rsidRPr="00DD7ADA" w:rsidRDefault="00215F46" w:rsidP="00F6030C">
      <w:pPr>
        <w:pStyle w:val="a5"/>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экосистемы цифровой экономики Российской Федерации, в которой данные в цифровой форме являются ключевым фактором производства</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во всех сферах социально-экономической деятельности и в которой обеспечено эффективное взаимодействие, включая</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трансграничное, бизнеса, научно-образовательного сообщества, государства и граждан;</w:t>
      </w:r>
    </w:p>
    <w:p w14:paraId="6A17A141" w14:textId="1487C409" w:rsidR="00215F46" w:rsidRPr="00DD7ADA" w:rsidRDefault="00215F46" w:rsidP="00F6030C">
      <w:pPr>
        <w:pStyle w:val="a5"/>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необходимых и достаточных условий институционального и инфраструктурного характера, устранение имеющихся препятствий и ограничений для создания и</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(или) развития высокотехнологических бизнесов и недопущение появления новых препятствий и ограничений как в традиционных отраслях экономики, так и в новых отраслях и высокотехнологичных рынках;</w:t>
      </w:r>
    </w:p>
    <w:p w14:paraId="017AA0B5" w14:textId="6C401D17" w:rsidR="00215F46" w:rsidRPr="00DD7ADA" w:rsidRDefault="00215F46" w:rsidP="00F6030C">
      <w:pPr>
        <w:pStyle w:val="a5"/>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повышение конкурентоспособности на глобальном рынке как отдельных отраслей экономики Российской Федерации, так и экономики в целом.</w:t>
      </w:r>
    </w:p>
    <w:p w14:paraId="3C26D567" w14:textId="32E3D673" w:rsidR="00215F46" w:rsidRPr="00DD7ADA" w:rsidRDefault="00DD7ADA" w:rsidP="002714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Программе «Цифровая экономика Российской Федерации» заявлено, что э</w:t>
      </w:r>
      <w:r w:rsidR="00215F46" w:rsidRPr="00DD7ADA">
        <w:rPr>
          <w:rFonts w:ascii="Times New Roman" w:eastAsia="Times New Roman" w:hAnsi="Times New Roman" w:cs="Times New Roman"/>
          <w:sz w:val="28"/>
          <w:szCs w:val="28"/>
          <w:lang w:eastAsia="ru-RU"/>
        </w:rPr>
        <w:t>ффективное развитие рынков и отраслей (сфер деятельности) в цифровой экономике возможно только при наличии развитых платформ, технологий, институциональной и инфраструктурной сред</w:t>
      </w:r>
      <w:r>
        <w:rPr>
          <w:rFonts w:ascii="Times New Roman" w:eastAsia="Times New Roman" w:hAnsi="Times New Roman" w:cs="Times New Roman"/>
          <w:sz w:val="28"/>
          <w:szCs w:val="28"/>
          <w:lang w:eastAsia="ru-RU"/>
        </w:rPr>
        <w:t>.</w:t>
      </w:r>
    </w:p>
    <w:p w14:paraId="5C26D228" w14:textId="0FE96916" w:rsidR="00871019" w:rsidRDefault="00500FA1"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00DD7ADA">
        <w:rPr>
          <w:rFonts w:ascii="Times New Roman" w:hAnsi="Times New Roman" w:cs="Times New Roman"/>
          <w:sz w:val="28"/>
          <w:szCs w:val="28"/>
        </w:rPr>
        <w:t xml:space="preserve"> анализ происходящих процессов заставляет постоянно учитывать основной фактор экономической трансформации современного мира – ускорение, вызванное «взрывными» технологическими открытиями, приводящими к изменению конфигурации рынков даже в меньший период времени, чем они могут быть подвержены традиционному антимонопольному анализу.</w:t>
      </w:r>
    </w:p>
    <w:p w14:paraId="60F45691" w14:textId="77777777"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В 2018 году качественные изменения экономической картины мира позволяют говорить уже не о вызовах и угрозах цифровизации экономики, а вступлении в новую стадию экономического развития – четвертая </w:t>
      </w:r>
      <w:r w:rsidRPr="00DB5C7F">
        <w:rPr>
          <w:rFonts w:ascii="Times New Roman" w:hAnsi="Times New Roman" w:cs="Times New Roman"/>
          <w:sz w:val="28"/>
          <w:szCs w:val="28"/>
        </w:rPr>
        <w:t>промышленная революция.</w:t>
      </w:r>
    </w:p>
    <w:p w14:paraId="22759796" w14:textId="087123B9" w:rsidR="00DB5C7F" w:rsidRPr="00DB5C7F" w:rsidRDefault="00DB5C7F" w:rsidP="00271457">
      <w:pPr>
        <w:pStyle w:val="ConsPlusNormal0"/>
        <w:ind w:firstLine="709"/>
        <w:jc w:val="both"/>
        <w:rPr>
          <w:rFonts w:ascii="Times New Roman" w:hAnsi="Times New Roman" w:cs="Times New Roman"/>
          <w:sz w:val="28"/>
          <w:szCs w:val="28"/>
        </w:rPr>
      </w:pPr>
      <w:r w:rsidRPr="00DB5C7F">
        <w:rPr>
          <w:rFonts w:ascii="Times New Roman" w:hAnsi="Times New Roman" w:cs="Times New Roman"/>
          <w:sz w:val="28"/>
          <w:szCs w:val="28"/>
        </w:rPr>
        <w:t>По мнению экспертов</w:t>
      </w:r>
      <w:r w:rsidR="00500FA1">
        <w:rPr>
          <w:rFonts w:ascii="Times New Roman" w:hAnsi="Times New Roman" w:cs="Times New Roman"/>
          <w:sz w:val="28"/>
          <w:szCs w:val="28"/>
        </w:rPr>
        <w:t>,</w:t>
      </w:r>
      <w:r w:rsidRPr="00DB5C7F">
        <w:rPr>
          <w:rFonts w:ascii="Times New Roman" w:hAnsi="Times New Roman" w:cs="Times New Roman"/>
          <w:sz w:val="28"/>
          <w:szCs w:val="28"/>
        </w:rPr>
        <w:t xml:space="preserve"> по масштабу, объему и сложности четвертая промышленная революция не</w:t>
      </w:r>
      <w:r>
        <w:rPr>
          <w:rFonts w:ascii="Times New Roman" w:hAnsi="Times New Roman" w:cs="Times New Roman"/>
          <w:sz w:val="28"/>
          <w:szCs w:val="28"/>
        </w:rPr>
        <w:t xml:space="preserve"> </w:t>
      </w:r>
      <w:r w:rsidRPr="00DB5C7F">
        <w:rPr>
          <w:rFonts w:ascii="Times New Roman" w:hAnsi="Times New Roman" w:cs="Times New Roman"/>
          <w:sz w:val="28"/>
          <w:szCs w:val="28"/>
        </w:rPr>
        <w:t>имеет аналогов во всем предыдущем опыте человечества. Нам предстоит увидеть ошеломляющие технологические прорывы в самом широком спектре областей, включая искусственный интеллект, роботизацию, автомобили-роботы, трехмерную печать, нанотехнологии, биотехнологии и многое другое.</w:t>
      </w:r>
    </w:p>
    <w:p w14:paraId="746FBD45" w14:textId="55E1BE5C"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Четвертая промышленная революция – это трансформация действительности, появление новой экономической и социальной реальности. Среди основных угроз этих глобальных изменений эксперты называют:</w:t>
      </w:r>
    </w:p>
    <w:p w14:paraId="226AE312" w14:textId="7767ACEE" w:rsidR="00423AEA" w:rsidRPr="00DB5C7F" w:rsidRDefault="00271457" w:rsidP="00F6030C">
      <w:pPr>
        <w:pStyle w:val="ConsPlusNormal0"/>
        <w:numPr>
          <w:ilvl w:val="0"/>
          <w:numId w:val="52"/>
        </w:numPr>
        <w:ind w:left="0" w:firstLine="709"/>
        <w:jc w:val="both"/>
        <w:rPr>
          <w:rFonts w:ascii="Times New Roman" w:hAnsi="Times New Roman" w:cs="Times New Roman"/>
          <w:sz w:val="28"/>
          <w:szCs w:val="28"/>
        </w:rPr>
      </w:pPr>
      <w:r>
        <w:rPr>
          <w:rFonts w:ascii="Times New Roman" w:hAnsi="Times New Roman" w:cs="Times New Roman"/>
          <w:bCs/>
          <w:sz w:val="28"/>
          <w:szCs w:val="28"/>
        </w:rPr>
        <w:t>н</w:t>
      </w:r>
      <w:r w:rsidR="00BE213D" w:rsidRPr="00DB5C7F">
        <w:rPr>
          <w:rFonts w:ascii="Times New Roman" w:hAnsi="Times New Roman" w:cs="Times New Roman"/>
          <w:bCs/>
          <w:sz w:val="28"/>
          <w:szCs w:val="28"/>
        </w:rPr>
        <w:t>еравенство как системный вызов</w:t>
      </w:r>
      <w:r w:rsidR="00DB5C7F" w:rsidRPr="00DB5C7F">
        <w:rPr>
          <w:rFonts w:ascii="Times New Roman" w:hAnsi="Times New Roman" w:cs="Times New Roman"/>
          <w:bCs/>
          <w:sz w:val="28"/>
          <w:szCs w:val="28"/>
        </w:rPr>
        <w:t>;</w:t>
      </w:r>
    </w:p>
    <w:p w14:paraId="7995E45B" w14:textId="50643CAE" w:rsidR="00423AEA" w:rsidRPr="00DB5C7F" w:rsidRDefault="00271457" w:rsidP="00F6030C">
      <w:pPr>
        <w:pStyle w:val="ConsPlusNormal0"/>
        <w:numPr>
          <w:ilvl w:val="0"/>
          <w:numId w:val="52"/>
        </w:numPr>
        <w:ind w:left="0" w:firstLine="709"/>
        <w:jc w:val="both"/>
        <w:rPr>
          <w:rFonts w:ascii="Times New Roman" w:hAnsi="Times New Roman" w:cs="Times New Roman"/>
          <w:sz w:val="28"/>
          <w:szCs w:val="28"/>
        </w:rPr>
      </w:pPr>
      <w:r>
        <w:rPr>
          <w:rFonts w:ascii="Times New Roman" w:hAnsi="Times New Roman" w:cs="Times New Roman"/>
          <w:bCs/>
          <w:sz w:val="28"/>
          <w:szCs w:val="28"/>
        </w:rPr>
        <w:t>с</w:t>
      </w:r>
      <w:r w:rsidR="00BE213D" w:rsidRPr="00DB5C7F">
        <w:rPr>
          <w:rFonts w:ascii="Times New Roman" w:hAnsi="Times New Roman" w:cs="Times New Roman"/>
          <w:bCs/>
          <w:sz w:val="28"/>
          <w:szCs w:val="28"/>
        </w:rPr>
        <w:t>ущественное процентное снижение доли труда в ВВП</w:t>
      </w:r>
      <w:r w:rsidR="00DB5C7F" w:rsidRPr="00DB5C7F">
        <w:rPr>
          <w:rFonts w:ascii="Times New Roman" w:hAnsi="Times New Roman" w:cs="Times New Roman"/>
          <w:bCs/>
          <w:sz w:val="28"/>
          <w:szCs w:val="28"/>
        </w:rPr>
        <w:t>;</w:t>
      </w:r>
    </w:p>
    <w:p w14:paraId="58D89E80" w14:textId="249BFFA9" w:rsidR="00DB5C7F" w:rsidRPr="00DB5C7F" w:rsidRDefault="00271457" w:rsidP="00F6030C">
      <w:pPr>
        <w:pStyle w:val="ConsPlusNormal0"/>
        <w:numPr>
          <w:ilvl w:val="0"/>
          <w:numId w:val="52"/>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00DB5C7F" w:rsidRPr="00DB5C7F">
        <w:rPr>
          <w:rFonts w:ascii="Times New Roman" w:hAnsi="Times New Roman" w:cs="Times New Roman"/>
          <w:sz w:val="28"/>
          <w:szCs w:val="28"/>
        </w:rPr>
        <w:t xml:space="preserve">епредсказуемость технологических, экономических и социальных изменений; </w:t>
      </w:r>
    </w:p>
    <w:p w14:paraId="06666774" w14:textId="4B245934" w:rsidR="00423AEA" w:rsidRPr="00DB5C7F" w:rsidRDefault="00271457" w:rsidP="00F6030C">
      <w:pPr>
        <w:pStyle w:val="ConsPlusNormal0"/>
        <w:numPr>
          <w:ilvl w:val="0"/>
          <w:numId w:val="52"/>
        </w:numPr>
        <w:ind w:left="0" w:firstLine="709"/>
        <w:jc w:val="both"/>
        <w:rPr>
          <w:rFonts w:ascii="Times New Roman" w:hAnsi="Times New Roman" w:cs="Times New Roman"/>
          <w:sz w:val="28"/>
          <w:szCs w:val="28"/>
        </w:rPr>
      </w:pPr>
      <w:r>
        <w:rPr>
          <w:rFonts w:ascii="Times New Roman" w:hAnsi="Times New Roman" w:cs="Times New Roman"/>
          <w:bCs/>
          <w:sz w:val="28"/>
          <w:szCs w:val="28"/>
        </w:rPr>
        <w:t>к</w:t>
      </w:r>
      <w:r w:rsidR="00BE213D" w:rsidRPr="00DB5C7F">
        <w:rPr>
          <w:rFonts w:ascii="Times New Roman" w:hAnsi="Times New Roman" w:cs="Times New Roman"/>
          <w:bCs/>
          <w:sz w:val="28"/>
          <w:szCs w:val="28"/>
        </w:rPr>
        <w:t>онцентрация преимуществ и ценностей в руках небольшого процента людей также усугубляется эффектом платформы</w:t>
      </w:r>
      <w:r w:rsidR="00DB5C7F" w:rsidRPr="00DB5C7F">
        <w:rPr>
          <w:rFonts w:ascii="Times New Roman" w:hAnsi="Times New Roman" w:cs="Times New Roman"/>
          <w:bCs/>
          <w:sz w:val="28"/>
          <w:szCs w:val="28"/>
        </w:rPr>
        <w:t>.</w:t>
      </w:r>
    </w:p>
    <w:p w14:paraId="4AE19308" w14:textId="0309AB41" w:rsidR="00DD7ADA" w:rsidRDefault="00DD7ADA"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этих условиях можно выделить следующие основные угрозы экономике Российской Федерации, основанной на обеспечении и защите конкуренции как фактора экономического роста:</w:t>
      </w:r>
    </w:p>
    <w:p w14:paraId="29CE9CA6" w14:textId="1C38DF7D" w:rsidR="00423AEA" w:rsidRPr="00DD7ADA" w:rsidRDefault="00DD7ADA" w:rsidP="00F6030C">
      <w:pPr>
        <w:pStyle w:val="ConsPlusNormal0"/>
        <w:numPr>
          <w:ilvl w:val="0"/>
          <w:numId w:val="5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глобальные </w:t>
      </w:r>
      <w:r w:rsidR="00BE213D" w:rsidRPr="00DD7ADA">
        <w:rPr>
          <w:rFonts w:ascii="Times New Roman" w:hAnsi="Times New Roman" w:cs="Times New Roman"/>
          <w:sz w:val="28"/>
          <w:szCs w:val="28"/>
        </w:rPr>
        <w:t>компании монополизируют рынки с помощью цифровых технологий</w:t>
      </w:r>
      <w:r>
        <w:rPr>
          <w:rFonts w:ascii="Times New Roman" w:hAnsi="Times New Roman" w:cs="Times New Roman"/>
          <w:sz w:val="28"/>
          <w:szCs w:val="28"/>
        </w:rPr>
        <w:t>, больших данных и интеллектуальной собственности;</w:t>
      </w:r>
    </w:p>
    <w:p w14:paraId="765C447F" w14:textId="1EBB7427" w:rsidR="00423AEA" w:rsidRPr="00DD7ADA" w:rsidRDefault="00DD7ADA" w:rsidP="00F6030C">
      <w:pPr>
        <w:pStyle w:val="ConsPlusNormal0"/>
        <w:numPr>
          <w:ilvl w:val="0"/>
          <w:numId w:val="51"/>
        </w:numPr>
        <w:ind w:left="0" w:firstLine="709"/>
        <w:jc w:val="both"/>
        <w:rPr>
          <w:rFonts w:ascii="Times New Roman" w:hAnsi="Times New Roman" w:cs="Times New Roman"/>
          <w:sz w:val="28"/>
          <w:szCs w:val="28"/>
        </w:rPr>
      </w:pPr>
      <w:r>
        <w:rPr>
          <w:rFonts w:ascii="Times New Roman" w:hAnsi="Times New Roman" w:cs="Times New Roman"/>
          <w:sz w:val="28"/>
          <w:szCs w:val="28"/>
        </w:rPr>
        <w:t>к</w:t>
      </w:r>
      <w:r w:rsidR="00BE213D" w:rsidRPr="00DD7ADA">
        <w:rPr>
          <w:rFonts w:ascii="Times New Roman" w:hAnsi="Times New Roman" w:cs="Times New Roman"/>
          <w:sz w:val="28"/>
          <w:szCs w:val="28"/>
        </w:rPr>
        <w:t>артельные сговоры реализуются с использованием цифровых алгоритмов</w:t>
      </w:r>
      <w:r>
        <w:rPr>
          <w:rFonts w:ascii="Times New Roman" w:hAnsi="Times New Roman" w:cs="Times New Roman"/>
          <w:sz w:val="28"/>
          <w:szCs w:val="28"/>
        </w:rPr>
        <w:t>.</w:t>
      </w:r>
    </w:p>
    <w:p w14:paraId="4CBCC52E" w14:textId="43BBD7A6" w:rsidR="00423AEA" w:rsidRDefault="00BE213D" w:rsidP="00271457">
      <w:pPr>
        <w:pStyle w:val="ConsPlusNormal0"/>
        <w:ind w:firstLine="709"/>
        <w:jc w:val="both"/>
        <w:rPr>
          <w:rFonts w:ascii="Times New Roman" w:hAnsi="Times New Roman" w:cs="Times New Roman"/>
          <w:sz w:val="28"/>
          <w:szCs w:val="28"/>
        </w:rPr>
      </w:pPr>
      <w:r w:rsidRPr="00DD7ADA">
        <w:rPr>
          <w:rFonts w:ascii="Times New Roman" w:hAnsi="Times New Roman" w:cs="Times New Roman"/>
          <w:sz w:val="28"/>
          <w:szCs w:val="28"/>
        </w:rPr>
        <w:t>Выработанное противодействие нарушениям ан</w:t>
      </w:r>
      <w:r w:rsidR="00DB5C7F">
        <w:rPr>
          <w:rFonts w:ascii="Times New Roman" w:hAnsi="Times New Roman" w:cs="Times New Roman"/>
          <w:sz w:val="28"/>
          <w:szCs w:val="28"/>
        </w:rPr>
        <w:t>тимонопольного законодательства, основанное на применении его к традиционным товарным рынкам, утрачивает эффективность в новых экономических условиях и требует существенного изменения в подходах.</w:t>
      </w:r>
    </w:p>
    <w:p w14:paraId="3A8B6778" w14:textId="335BA65D" w:rsidR="00271457" w:rsidRPr="00DD7ADA" w:rsidRDefault="00271457"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 этом</w:t>
      </w:r>
      <w:r w:rsidR="00CC5319">
        <w:rPr>
          <w:rFonts w:ascii="Times New Roman" w:hAnsi="Times New Roman" w:cs="Times New Roman"/>
          <w:sz w:val="28"/>
          <w:szCs w:val="28"/>
        </w:rPr>
        <w:t>,</w:t>
      </w:r>
      <w:r>
        <w:rPr>
          <w:rFonts w:ascii="Times New Roman" w:hAnsi="Times New Roman" w:cs="Times New Roman"/>
          <w:sz w:val="28"/>
          <w:szCs w:val="28"/>
        </w:rPr>
        <w:t xml:space="preserve"> обеспечение конкурентоспособности российской экономики невозможно без преодоления сдерживающих факторов, являющихся следствием незавершенности реформ и препятствующих развитию частной инициативы и инноваций, в частности: высокая доля государства во всех отраслях и сферах экономики, низкая доля малого и среднего бизнеса в ВВП, картелизация, сдерживающее развитие конкуренции состояние регулирования естественных монополий и тарифного регулирования.</w:t>
      </w:r>
    </w:p>
    <w:p w14:paraId="6BBC86C7" w14:textId="77777777" w:rsidR="00271457" w:rsidRDefault="00271457" w:rsidP="00680A07">
      <w:pPr>
        <w:spacing w:after="0" w:line="240" w:lineRule="auto"/>
        <w:ind w:firstLine="708"/>
        <w:jc w:val="both"/>
        <w:rPr>
          <w:rFonts w:ascii="Times New Roman" w:hAnsi="Times New Roman" w:cs="Times New Roman"/>
          <w:i/>
          <w:sz w:val="28"/>
          <w:szCs w:val="28"/>
        </w:rPr>
      </w:pPr>
    </w:p>
    <w:p w14:paraId="61946EAA" w14:textId="77777777" w:rsidR="00680A07" w:rsidRPr="006023CE" w:rsidRDefault="00680A07" w:rsidP="00680A07">
      <w:pPr>
        <w:spacing w:after="0" w:line="240" w:lineRule="auto"/>
        <w:ind w:firstLine="708"/>
        <w:jc w:val="both"/>
        <w:rPr>
          <w:rFonts w:ascii="Times New Roman" w:hAnsi="Times New Roman" w:cs="Times New Roman"/>
          <w:i/>
          <w:sz w:val="28"/>
          <w:szCs w:val="28"/>
        </w:rPr>
      </w:pPr>
      <w:r w:rsidRPr="006023CE">
        <w:rPr>
          <w:rFonts w:ascii="Times New Roman" w:hAnsi="Times New Roman" w:cs="Times New Roman"/>
          <w:i/>
          <w:sz w:val="28"/>
          <w:szCs w:val="28"/>
        </w:rPr>
        <w:t>Государство в экономике</w:t>
      </w:r>
    </w:p>
    <w:p w14:paraId="166650A5" w14:textId="4C50CF69" w:rsidR="00680A07" w:rsidRDefault="00680A07" w:rsidP="002714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государственного сектора составляет значительную часть российской экономики и составляет более </w:t>
      </w:r>
      <w:r w:rsidRPr="006C5338">
        <w:rPr>
          <w:rFonts w:ascii="Times New Roman" w:hAnsi="Times New Roman" w:cs="Times New Roman"/>
          <w:sz w:val="28"/>
          <w:szCs w:val="28"/>
        </w:rPr>
        <w:t>половин</w:t>
      </w:r>
      <w:r>
        <w:rPr>
          <w:rFonts w:ascii="Times New Roman" w:hAnsi="Times New Roman" w:cs="Times New Roman"/>
          <w:sz w:val="28"/>
          <w:szCs w:val="28"/>
        </w:rPr>
        <w:t>ы</w:t>
      </w:r>
      <w:r w:rsidRPr="006C5338">
        <w:rPr>
          <w:rFonts w:ascii="Times New Roman" w:hAnsi="Times New Roman" w:cs="Times New Roman"/>
          <w:sz w:val="28"/>
          <w:szCs w:val="28"/>
        </w:rPr>
        <w:t xml:space="preserve"> национальной экономики Р</w:t>
      </w:r>
      <w:r>
        <w:rPr>
          <w:rFonts w:ascii="Times New Roman" w:hAnsi="Times New Roman" w:cs="Times New Roman"/>
          <w:sz w:val="28"/>
          <w:szCs w:val="28"/>
        </w:rPr>
        <w:t xml:space="preserve">оссийской </w:t>
      </w:r>
      <w:r w:rsidRPr="006C5338">
        <w:rPr>
          <w:rFonts w:ascii="Times New Roman" w:hAnsi="Times New Roman" w:cs="Times New Roman"/>
          <w:sz w:val="28"/>
          <w:szCs w:val="28"/>
        </w:rPr>
        <w:t>Ф</w:t>
      </w:r>
      <w:r>
        <w:rPr>
          <w:rFonts w:ascii="Times New Roman" w:hAnsi="Times New Roman" w:cs="Times New Roman"/>
          <w:sz w:val="28"/>
          <w:szCs w:val="28"/>
        </w:rPr>
        <w:t>едерации</w:t>
      </w:r>
      <w:r w:rsidRPr="006C5338">
        <w:rPr>
          <w:rFonts w:ascii="Times New Roman" w:hAnsi="Times New Roman" w:cs="Times New Roman"/>
          <w:sz w:val="28"/>
          <w:szCs w:val="28"/>
        </w:rPr>
        <w:t>.</w:t>
      </w:r>
      <w:r>
        <w:rPr>
          <w:rFonts w:ascii="Times New Roman" w:hAnsi="Times New Roman" w:cs="Times New Roman"/>
          <w:sz w:val="28"/>
          <w:szCs w:val="28"/>
        </w:rPr>
        <w:t xml:space="preserve"> По данным Центра стратегических разработок </w:t>
      </w:r>
      <w:r w:rsidR="00DB5C7F">
        <w:rPr>
          <w:rFonts w:ascii="Times New Roman" w:hAnsi="Times New Roman" w:cs="Times New Roman"/>
          <w:sz w:val="28"/>
          <w:szCs w:val="28"/>
        </w:rPr>
        <w:t xml:space="preserve">доля государства в экономике </w:t>
      </w:r>
      <w:r w:rsidRPr="006C5338">
        <w:rPr>
          <w:rFonts w:ascii="Times New Roman" w:hAnsi="Times New Roman" w:cs="Times New Roman"/>
          <w:sz w:val="28"/>
          <w:szCs w:val="28"/>
        </w:rPr>
        <w:t>рос</w:t>
      </w:r>
      <w:r w:rsidR="00DB5C7F">
        <w:rPr>
          <w:rFonts w:ascii="Times New Roman" w:hAnsi="Times New Roman" w:cs="Times New Roman"/>
          <w:sz w:val="28"/>
          <w:szCs w:val="28"/>
        </w:rPr>
        <w:t>ла</w:t>
      </w:r>
      <w:r w:rsidRPr="006C5338">
        <w:rPr>
          <w:rFonts w:ascii="Times New Roman" w:hAnsi="Times New Roman" w:cs="Times New Roman"/>
          <w:sz w:val="28"/>
          <w:szCs w:val="28"/>
        </w:rPr>
        <w:t>, начиная с 2000-х, и сейчас достиг</w:t>
      </w:r>
      <w:r w:rsidR="00DB5C7F">
        <w:rPr>
          <w:rFonts w:ascii="Times New Roman" w:hAnsi="Times New Roman" w:cs="Times New Roman"/>
          <w:sz w:val="28"/>
          <w:szCs w:val="28"/>
        </w:rPr>
        <w:t>ла</w:t>
      </w:r>
      <w:r w:rsidRPr="006C5338">
        <w:rPr>
          <w:rFonts w:ascii="Times New Roman" w:hAnsi="Times New Roman" w:cs="Times New Roman"/>
          <w:sz w:val="28"/>
          <w:szCs w:val="28"/>
        </w:rPr>
        <w:t xml:space="preserve"> «исключительно высоких значений». </w:t>
      </w:r>
    </w:p>
    <w:p w14:paraId="6E307818" w14:textId="77777777" w:rsidR="00680A07" w:rsidRDefault="00680A07" w:rsidP="00271457">
      <w:pPr>
        <w:spacing w:after="0" w:line="240" w:lineRule="auto"/>
        <w:ind w:firstLine="709"/>
        <w:jc w:val="both"/>
        <w:rPr>
          <w:rFonts w:ascii="Times New Roman" w:hAnsi="Times New Roman" w:cs="Times New Roman"/>
          <w:sz w:val="28"/>
          <w:szCs w:val="28"/>
        </w:rPr>
      </w:pPr>
      <w:r w:rsidRPr="00277E36">
        <w:rPr>
          <w:rFonts w:ascii="Times New Roman" w:hAnsi="Times New Roman" w:cs="Times New Roman"/>
          <w:sz w:val="28"/>
          <w:szCs w:val="28"/>
        </w:rPr>
        <w:t>Оценки, приведенные ФАС России в 2015 году, свидетельствовали о значительном вкладе государства и компаний с государственным участием в ВВП Российской Федерации. Перед кризисом 1998 года доля государства в экономике России оценивалась примерно в 25%. В 2008 году – уже в 40-45%. К 2013 году она превысила 50%. В 2017 году, по многим экспертным оценкам, она может превышать уже 60-70%. Следует отметить, что в 2018 году ситуация существенно не изменилась.</w:t>
      </w:r>
    </w:p>
    <w:p w14:paraId="547C2CB9" w14:textId="77777777" w:rsidR="00680A07" w:rsidRPr="00066631"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291CC7">
        <w:rPr>
          <w:rFonts w:ascii="Times New Roman" w:hAnsi="Times New Roman" w:cs="Times New Roman"/>
          <w:sz w:val="28"/>
          <w:szCs w:val="28"/>
        </w:rPr>
        <w:t>оказатель максимальной доли участия государства в экономике по выручке крупнейших компаний</w:t>
      </w:r>
      <w:r>
        <w:rPr>
          <w:rFonts w:ascii="Times New Roman" w:hAnsi="Times New Roman" w:cs="Times New Roman"/>
          <w:sz w:val="28"/>
          <w:szCs w:val="28"/>
        </w:rPr>
        <w:t>, приводимый институтом экономической политики Е.Т. Гайдара,</w:t>
      </w:r>
      <w:r w:rsidRPr="00291CC7">
        <w:rPr>
          <w:rFonts w:ascii="Times New Roman" w:hAnsi="Times New Roman" w:cs="Times New Roman"/>
          <w:sz w:val="28"/>
          <w:szCs w:val="28"/>
        </w:rPr>
        <w:t xml:space="preserve"> существенно варьируется в зависимости от сектора</w:t>
      </w:r>
      <w:r>
        <w:rPr>
          <w:rFonts w:ascii="Times New Roman" w:hAnsi="Times New Roman" w:cs="Times New Roman"/>
          <w:sz w:val="28"/>
          <w:szCs w:val="28"/>
        </w:rPr>
        <w:t xml:space="preserve"> экономики</w:t>
      </w:r>
      <w:r w:rsidRPr="00291CC7">
        <w:rPr>
          <w:rFonts w:ascii="Times New Roman" w:hAnsi="Times New Roman" w:cs="Times New Roman"/>
          <w:sz w:val="28"/>
          <w:szCs w:val="28"/>
        </w:rPr>
        <w:t xml:space="preserve">. Фактически в четырех секторах экономики (энергетика, транспорт, добыча полезных ископаемых и финансы) доля выручки госкомпаний в общей выручке 100 крупнейших компаний по каждому сектору близка или превышает 50%. При этом 100 крупнейших компаний, указанных </w:t>
      </w:r>
      <w:r w:rsidRPr="00066631">
        <w:rPr>
          <w:rFonts w:ascii="Times New Roman" w:hAnsi="Times New Roman" w:cs="Times New Roman"/>
          <w:sz w:val="28"/>
          <w:szCs w:val="28"/>
        </w:rPr>
        <w:t>четырех секторов (всего – 400 компаний) формируют более 30% выручки всех российских компаний. Эти пропорции в существенной мере обусловливают общий высокий уровень участия государства в экономике.</w:t>
      </w:r>
    </w:p>
    <w:p w14:paraId="339F41A3" w14:textId="64B89A80" w:rsidR="00066631" w:rsidRPr="00066631" w:rsidRDefault="00066631"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Подсчеты Центра стратегических разработок показали, что в транспорте, энергетике и добыче полезных ископаемых на долю госкомпаний приходится свыше двух третей совокупной выручки крупнейших 100 компаний, а в финансах и страховании – почти половина. Чуть более четверти доля государства составляет в коммунальном хозяйстве и машиностроении, а чуть менее четверти – в телекоммуникациях и строительстве. К наименее огосударствленным секторам относятся металлургия, фармацевтика и легкая промышленность, где доля государства не достигает 5%, 3% и 1% соответственно.</w:t>
      </w:r>
    </w:p>
    <w:p w14:paraId="3ACCA6B9"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 оценкам специалистов всего два предприятия (АО «Газпром» и АО «Роснефть») обеспечивают вклад в ВВП в размере 12-14%. Госкорпорации имеют до тысячи дочерних и зависимых обществ: так, например, Государственная корпорация «Ростех» объединяет более 700 дочерних и зависимых обществ. Совокупная</w:t>
      </w:r>
      <w:r w:rsidRPr="006D6165">
        <w:rPr>
          <w:rFonts w:ascii="Times New Roman" w:hAnsi="Times New Roman" w:cs="Times New Roman"/>
          <w:sz w:val="28"/>
          <w:szCs w:val="28"/>
        </w:rPr>
        <w:t xml:space="preserve"> доля </w:t>
      </w:r>
      <w:r>
        <w:rPr>
          <w:rFonts w:ascii="Times New Roman" w:hAnsi="Times New Roman" w:cs="Times New Roman"/>
          <w:sz w:val="28"/>
          <w:szCs w:val="28"/>
        </w:rPr>
        <w:t xml:space="preserve">госкорпораций </w:t>
      </w:r>
      <w:r w:rsidRPr="006D6165">
        <w:rPr>
          <w:rFonts w:ascii="Times New Roman" w:hAnsi="Times New Roman" w:cs="Times New Roman"/>
          <w:sz w:val="28"/>
          <w:szCs w:val="28"/>
        </w:rPr>
        <w:t xml:space="preserve">в экономике </w:t>
      </w:r>
      <w:r>
        <w:rPr>
          <w:rFonts w:ascii="Times New Roman" w:hAnsi="Times New Roman" w:cs="Times New Roman"/>
          <w:sz w:val="28"/>
          <w:szCs w:val="28"/>
        </w:rPr>
        <w:t>России составляет по различным оценкам</w:t>
      </w:r>
      <w:r w:rsidRPr="006D6165">
        <w:rPr>
          <w:rFonts w:ascii="Times New Roman" w:hAnsi="Times New Roman" w:cs="Times New Roman"/>
          <w:sz w:val="28"/>
          <w:szCs w:val="28"/>
        </w:rPr>
        <w:t xml:space="preserve"> 7-10% ВВП.</w:t>
      </w:r>
    </w:p>
    <w:p w14:paraId="5824E82A" w14:textId="77777777" w:rsidR="00680A07" w:rsidRDefault="00680A07" w:rsidP="00680A07">
      <w:pPr>
        <w:tabs>
          <w:tab w:val="num" w:pos="0"/>
          <w:tab w:val="num" w:pos="432"/>
        </w:tabs>
        <w:spacing w:after="0" w:line="240" w:lineRule="auto"/>
        <w:ind w:firstLine="708"/>
        <w:jc w:val="both"/>
        <w:rPr>
          <w:rFonts w:ascii="Times New Roman" w:eastAsia="Calibri" w:hAnsi="Times New Roman" w:cs="Times New Roman"/>
          <w:sz w:val="28"/>
          <w:szCs w:val="28"/>
          <w:lang w:eastAsia="ru-RU"/>
        </w:rPr>
      </w:pPr>
      <w:r w:rsidRPr="00BD2638">
        <w:rPr>
          <w:rFonts w:ascii="Times New Roman" w:eastAsia="Calibri" w:hAnsi="Times New Roman" w:cs="Times New Roman"/>
          <w:sz w:val="28"/>
          <w:szCs w:val="28"/>
          <w:lang w:eastAsia="ru-RU"/>
        </w:rPr>
        <w:t xml:space="preserve">Президент Российской Федерации в своем послании Федеральному </w:t>
      </w:r>
      <w:r w:rsidRPr="00BD2638">
        <w:rPr>
          <w:rFonts w:ascii="Times New Roman" w:eastAsia="Times New Roman" w:hAnsi="Times New Roman" w:cs="Times New Roman"/>
          <w:sz w:val="28"/>
          <w:szCs w:val="28"/>
          <w:lang w:eastAsia="ru-RU"/>
        </w:rPr>
        <w:t>собранию</w:t>
      </w:r>
      <w:r w:rsidRPr="00BD2638">
        <w:rPr>
          <w:rFonts w:ascii="Times New Roman" w:eastAsia="Calibri" w:hAnsi="Times New Roman" w:cs="Times New Roman"/>
          <w:sz w:val="28"/>
          <w:szCs w:val="28"/>
          <w:lang w:eastAsia="ru-RU"/>
        </w:rPr>
        <w:t xml:space="preserve"> Российской Федерации </w:t>
      </w:r>
      <w:r w:rsidRPr="00FE0677">
        <w:rPr>
          <w:rFonts w:ascii="Times New Roman" w:eastAsia="Calibri" w:hAnsi="Times New Roman" w:cs="Times New Roman"/>
          <w:sz w:val="28"/>
          <w:szCs w:val="28"/>
          <w:lang w:eastAsia="ru-RU"/>
        </w:rPr>
        <w:t xml:space="preserve">от 01.03.2018 </w:t>
      </w:r>
      <w:r w:rsidRPr="00BD2638">
        <w:rPr>
          <w:rFonts w:ascii="Times New Roman" w:eastAsia="Calibri" w:hAnsi="Times New Roman" w:cs="Times New Roman"/>
          <w:sz w:val="28"/>
          <w:szCs w:val="28"/>
          <w:lang w:eastAsia="ru-RU"/>
        </w:rPr>
        <w:t>обозначил свою позицию по указанному вопросу: «Доля государства в экономике должна постепенно снижаться»</w:t>
      </w:r>
      <w:r w:rsidRPr="00BD2638">
        <w:rPr>
          <w:rFonts w:ascii="Times New Roman" w:eastAsia="Calibri" w:hAnsi="Times New Roman" w:cs="Times New Roman"/>
          <w:sz w:val="28"/>
          <w:szCs w:val="28"/>
          <w:vertAlign w:val="superscript"/>
          <w:lang w:eastAsia="ru-RU"/>
        </w:rPr>
        <w:footnoteReference w:id="1"/>
      </w:r>
      <w:r w:rsidRPr="00BD2638">
        <w:rPr>
          <w:rFonts w:ascii="Times New Roman" w:eastAsia="Calibri" w:hAnsi="Times New Roman" w:cs="Times New Roman"/>
          <w:sz w:val="28"/>
          <w:szCs w:val="28"/>
          <w:lang w:eastAsia="ru-RU"/>
        </w:rPr>
        <w:t>.</w:t>
      </w:r>
    </w:p>
    <w:p w14:paraId="1AEB6EBF" w14:textId="3FECD569" w:rsidR="00680A07" w:rsidRPr="006A52E8" w:rsidRDefault="00680A07" w:rsidP="00680A07">
      <w:pPr>
        <w:tabs>
          <w:tab w:val="num" w:pos="0"/>
        </w:tabs>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Председателем Правительства Российской Федерации обозначена следующая проблема</w:t>
      </w:r>
      <w:r w:rsidR="00CC5319">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CC5319">
        <w:rPr>
          <w:rFonts w:ascii="Times New Roman" w:eastAsia="Calibri" w:hAnsi="Times New Roman" w:cs="Times New Roman"/>
          <w:sz w:val="28"/>
          <w:szCs w:val="28"/>
          <w:lang w:eastAsia="ru-RU"/>
        </w:rPr>
        <w:t>В</w:t>
      </w:r>
      <w:r w:rsidRPr="006A52E8">
        <w:rPr>
          <w:rFonts w:ascii="Times New Roman" w:eastAsia="Calibri" w:hAnsi="Times New Roman" w:cs="Times New Roman"/>
          <w:sz w:val="28"/>
          <w:szCs w:val="28"/>
          <w:lang w:eastAsia="ru-RU"/>
        </w:rPr>
        <w:t xml:space="preserve"> </w:t>
      </w:r>
      <w:r w:rsidRPr="00E7665D">
        <w:rPr>
          <w:rFonts w:ascii="Times New Roman" w:hAnsi="Times New Roman" w:cs="Times New Roman"/>
          <w:sz w:val="28"/>
          <w:szCs w:val="28"/>
        </w:rPr>
        <w:t>настоящее</w:t>
      </w:r>
      <w:r w:rsidRPr="006A52E8">
        <w:rPr>
          <w:rFonts w:ascii="Times New Roman" w:eastAsia="Calibri" w:hAnsi="Times New Roman" w:cs="Times New Roman"/>
          <w:sz w:val="28"/>
          <w:szCs w:val="28"/>
          <w:lang w:eastAsia="ru-RU"/>
        </w:rPr>
        <w:t xml:space="preserve"> время можно говорить не о сокращающемся, а даже о растущем участии государства в тех сегментах экономики, где его присутствие не является необходимым</w:t>
      </w:r>
      <w:r>
        <w:rPr>
          <w:rFonts w:ascii="Times New Roman" w:eastAsia="Calibri" w:hAnsi="Times New Roman" w:cs="Times New Roman"/>
          <w:sz w:val="28"/>
          <w:szCs w:val="28"/>
          <w:lang w:eastAsia="ru-RU"/>
        </w:rPr>
        <w:t>»</w:t>
      </w:r>
      <w:r w:rsidRPr="006A52E8">
        <w:rPr>
          <w:rFonts w:ascii="Times New Roman" w:eastAsia="Calibri" w:hAnsi="Times New Roman" w:cs="Times New Roman"/>
          <w:sz w:val="28"/>
          <w:szCs w:val="28"/>
          <w:vertAlign w:val="superscript"/>
          <w:lang w:eastAsia="ru-RU"/>
        </w:rPr>
        <w:footnoteReference w:id="2"/>
      </w:r>
      <w:r w:rsidRPr="006A52E8">
        <w:rPr>
          <w:rFonts w:ascii="Times New Roman" w:eastAsia="Calibri" w:hAnsi="Times New Roman" w:cs="Times New Roman"/>
          <w:sz w:val="28"/>
          <w:szCs w:val="28"/>
          <w:lang w:eastAsia="ru-RU"/>
        </w:rPr>
        <w:t>.</w:t>
      </w:r>
    </w:p>
    <w:p w14:paraId="550466E8" w14:textId="7BC3E0BA"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Участие государства в рыночных взаимодействиях не только в качестве разработчика правил и гаранта их исполнения, но и в качестве игрока, способно</w:t>
      </w:r>
      <w:r w:rsidR="00CC5319">
        <w:rPr>
          <w:rFonts w:ascii="Times New Roman" w:hAnsi="Times New Roman" w:cs="Times New Roman"/>
          <w:sz w:val="28"/>
          <w:szCs w:val="28"/>
        </w:rPr>
        <w:t>го</w:t>
      </w:r>
      <w:r w:rsidRPr="0079110C">
        <w:rPr>
          <w:rFonts w:ascii="Times New Roman" w:hAnsi="Times New Roman" w:cs="Times New Roman"/>
          <w:sz w:val="28"/>
          <w:szCs w:val="28"/>
        </w:rPr>
        <w:t xml:space="preserve"> оказывать существенное искажающее воздействие на конкуренцию. Государственные компании могут приобретать на рынках определенные преимущества (в переговорной позиции и наделенности ресурсами), которые оказывают искажающее влияние на конкуренцию. </w:t>
      </w:r>
    </w:p>
    <w:p w14:paraId="24ECC419" w14:textId="77777777"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Подобные эффекты могут наблюдаться для предприятий разного размера и различных организационно-правовых форм, действующих на разных по масштабам рынках. В частности, созданные на конкурентных рынках ГУПы и МУПы за счет наличия несправедливых преимуществ по сравнению с частными участниками могут своими действиями приводить к ограничению (и потенциально - к устранению) конкуренции. В то же время, необходимость создания таких предприятий на рынках, где уже существует развитая конкуренция, в большинстве случаев не оправдана.</w:t>
      </w:r>
    </w:p>
    <w:p w14:paraId="2A2BC98D" w14:textId="77777777" w:rsidR="00680A07" w:rsidRDefault="00680A07"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унитарных предприятий, осуществляющих деятельность на конкурентных рынках, от общего количества</w:t>
      </w:r>
      <w:r w:rsidRPr="004B5FED">
        <w:t xml:space="preserve"> </w:t>
      </w:r>
      <w:r w:rsidRPr="004B5FED">
        <w:rPr>
          <w:rFonts w:ascii="Times New Roman" w:hAnsi="Times New Roman" w:cs="Times New Roman"/>
          <w:sz w:val="28"/>
          <w:szCs w:val="28"/>
        </w:rPr>
        <w:t>унитарных предприятий</w:t>
      </w:r>
      <w:r>
        <w:rPr>
          <w:rFonts w:ascii="Times New Roman" w:hAnsi="Times New Roman" w:cs="Times New Roman"/>
          <w:sz w:val="28"/>
          <w:szCs w:val="28"/>
        </w:rPr>
        <w:t xml:space="preserve"> составляет более 50 %, в том числе </w:t>
      </w:r>
      <w:r w:rsidRPr="00DB3953">
        <w:rPr>
          <w:rFonts w:ascii="Times New Roman" w:hAnsi="Times New Roman" w:cs="Times New Roman"/>
          <w:sz w:val="28"/>
          <w:szCs w:val="28"/>
        </w:rPr>
        <w:t>по операциям с недвижимым имуществом</w:t>
      </w:r>
      <w:r>
        <w:rPr>
          <w:rFonts w:ascii="Times New Roman" w:hAnsi="Times New Roman" w:cs="Times New Roman"/>
          <w:sz w:val="28"/>
          <w:szCs w:val="28"/>
        </w:rPr>
        <w:t xml:space="preserve"> – 16,91%, </w:t>
      </w:r>
      <w:r w:rsidRPr="00DB3953">
        <w:rPr>
          <w:rFonts w:ascii="Times New Roman" w:hAnsi="Times New Roman" w:cs="Times New Roman"/>
          <w:sz w:val="28"/>
          <w:szCs w:val="28"/>
        </w:rPr>
        <w:t>торговля оптовая и розничная</w:t>
      </w:r>
      <w:r>
        <w:rPr>
          <w:rFonts w:ascii="Times New Roman" w:hAnsi="Times New Roman" w:cs="Times New Roman"/>
          <w:sz w:val="28"/>
          <w:szCs w:val="28"/>
        </w:rPr>
        <w:t xml:space="preserve"> – 8,65%, </w:t>
      </w:r>
      <w:r w:rsidRPr="00DB3953">
        <w:rPr>
          <w:rFonts w:ascii="Times New Roman" w:hAnsi="Times New Roman" w:cs="Times New Roman"/>
          <w:sz w:val="28"/>
          <w:szCs w:val="28"/>
        </w:rPr>
        <w:t>сельское, лесное хозяйство, охота, рыболовство и рыбоводство</w:t>
      </w:r>
      <w:r>
        <w:rPr>
          <w:rFonts w:ascii="Times New Roman" w:hAnsi="Times New Roman" w:cs="Times New Roman"/>
          <w:sz w:val="28"/>
          <w:szCs w:val="28"/>
        </w:rPr>
        <w:t xml:space="preserve"> – 7,49%.</w:t>
      </w:r>
    </w:p>
    <w:p w14:paraId="0E5E752D" w14:textId="112F6B60"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отрицательных факторов большой доли присутствия государства в экономике специалисты называют:</w:t>
      </w:r>
    </w:p>
    <w:p w14:paraId="0580FC6D" w14:textId="3EDCE3BB"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барьеров для развития малого и среднего пре</w:t>
      </w:r>
      <w:r w:rsidR="00CC5319">
        <w:rPr>
          <w:rFonts w:ascii="Times New Roman" w:hAnsi="Times New Roman" w:cs="Times New Roman"/>
          <w:sz w:val="28"/>
          <w:szCs w:val="28"/>
        </w:rPr>
        <w:t>д</w:t>
      </w: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w:t>
      </w:r>
      <w:r w:rsidR="00CC5319">
        <w:rPr>
          <w:rFonts w:ascii="Times New Roman" w:hAnsi="Times New Roman" w:cs="Times New Roman"/>
          <w:sz w:val="28"/>
          <w:szCs w:val="28"/>
        </w:rPr>
        <w:t>нимательства</w:t>
      </w:r>
      <w:r>
        <w:rPr>
          <w:rFonts w:ascii="Times New Roman" w:hAnsi="Times New Roman" w:cs="Times New Roman"/>
          <w:sz w:val="28"/>
          <w:szCs w:val="28"/>
        </w:rPr>
        <w:t>,</w:t>
      </w:r>
    </w:p>
    <w:p w14:paraId="550462E9" w14:textId="7662A05A"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общей производительности в виду более низкой производительности государственного сектора по отношению к частному,</w:t>
      </w:r>
    </w:p>
    <w:p w14:paraId="2D25331F" w14:textId="0771D8D4" w:rsidR="00066631" w:rsidRDefault="00066631" w:rsidP="00066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инновационной а</w:t>
      </w:r>
      <w:r w:rsidR="00CC5319">
        <w:rPr>
          <w:rFonts w:ascii="Times New Roman" w:hAnsi="Times New Roman" w:cs="Times New Roman"/>
          <w:sz w:val="28"/>
          <w:szCs w:val="28"/>
        </w:rPr>
        <w:t>ктивности и развития технологий</w:t>
      </w:r>
      <w:r>
        <w:rPr>
          <w:rFonts w:ascii="Times New Roman" w:hAnsi="Times New Roman" w:cs="Times New Roman"/>
          <w:sz w:val="28"/>
          <w:szCs w:val="28"/>
        </w:rPr>
        <w:t xml:space="preserve"> как фактора</w:t>
      </w:r>
      <w:r w:rsidR="00CC5319">
        <w:rPr>
          <w:rFonts w:ascii="Times New Roman" w:hAnsi="Times New Roman" w:cs="Times New Roman"/>
          <w:sz w:val="28"/>
          <w:szCs w:val="28"/>
        </w:rPr>
        <w:t>,</w:t>
      </w:r>
      <w:r>
        <w:rPr>
          <w:rFonts w:ascii="Times New Roman" w:hAnsi="Times New Roman" w:cs="Times New Roman"/>
          <w:sz w:val="28"/>
          <w:szCs w:val="28"/>
        </w:rPr>
        <w:t xml:space="preserve"> сопровождающего предпринимательскую инициативу.</w:t>
      </w:r>
    </w:p>
    <w:p w14:paraId="6CDFF139" w14:textId="3D8B4E92" w:rsidR="00680A07" w:rsidRPr="00E918C7" w:rsidRDefault="00680A07" w:rsidP="00066631">
      <w:pPr>
        <w:spacing w:after="0" w:line="240" w:lineRule="auto"/>
        <w:ind w:firstLine="709"/>
        <w:jc w:val="both"/>
        <w:rPr>
          <w:rFonts w:ascii="Times New Roman" w:hAnsi="Times New Roman" w:cs="Times New Roman"/>
          <w:i/>
          <w:sz w:val="28"/>
          <w:szCs w:val="28"/>
        </w:rPr>
      </w:pPr>
      <w:r w:rsidRPr="00E918C7">
        <w:rPr>
          <w:rFonts w:ascii="Times New Roman" w:hAnsi="Times New Roman" w:cs="Times New Roman"/>
          <w:i/>
          <w:sz w:val="28"/>
          <w:szCs w:val="28"/>
        </w:rPr>
        <w:t>Приватизация государственного имущества</w:t>
      </w:r>
    </w:p>
    <w:p w14:paraId="66361117"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На федеральном уровне постановлением Правительства Российской Федерации от 15.04.2014 № 327 утверждена Государственная программа Российской Федерации «Управление федеральным имуществом» (далее - Программа). Разработан Прогнозный план приватизации федерального имущества и основных направлений приватизации федерального имущества на 2017 - 2019 годы, утвержденный распоряжением Правительства Российской Федерации от 08.02.2017 № 227-р (далее - Прогнозный план приватизации).</w:t>
      </w:r>
    </w:p>
    <w:p w14:paraId="433A8316" w14:textId="29B7C0B8"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За 8 лет (2013 - 2020 гг.) реализации Программы предполагается, что имущество государственной казны Российской Федерации уменьшится в 2020 г. до 21,</w:t>
      </w:r>
      <w:r w:rsidR="00CC5319">
        <w:rPr>
          <w:rFonts w:ascii="Times New Roman" w:hAnsi="Times New Roman" w:cs="Times New Roman"/>
          <w:sz w:val="28"/>
          <w:szCs w:val="28"/>
        </w:rPr>
        <w:t>9% по отношению к 2012 г., то есть</w:t>
      </w:r>
      <w:r w:rsidRPr="0079110C">
        <w:rPr>
          <w:rFonts w:ascii="Times New Roman" w:hAnsi="Times New Roman" w:cs="Times New Roman"/>
          <w:sz w:val="28"/>
          <w:szCs w:val="28"/>
        </w:rPr>
        <w:t xml:space="preserve"> сократится в 4,57 раза, а количество организаций с государственным участием составит соответственно 42,23%, т</w:t>
      </w:r>
      <w:r w:rsidR="00CC5319">
        <w:rPr>
          <w:rFonts w:ascii="Times New Roman" w:hAnsi="Times New Roman" w:cs="Times New Roman"/>
          <w:sz w:val="28"/>
          <w:szCs w:val="28"/>
        </w:rPr>
        <w:t xml:space="preserve">о есть </w:t>
      </w:r>
      <w:r w:rsidRPr="0079110C">
        <w:rPr>
          <w:rFonts w:ascii="Times New Roman" w:hAnsi="Times New Roman" w:cs="Times New Roman"/>
          <w:sz w:val="28"/>
          <w:szCs w:val="28"/>
        </w:rPr>
        <w:t xml:space="preserve">сократится в 2,37 раза по отношению к </w:t>
      </w:r>
      <w:r w:rsidR="00CC5319">
        <w:rPr>
          <w:rFonts w:ascii="Times New Roman" w:hAnsi="Times New Roman" w:cs="Times New Roman"/>
          <w:sz w:val="28"/>
          <w:szCs w:val="28"/>
        </w:rPr>
        <w:t xml:space="preserve">              </w:t>
      </w:r>
      <w:r w:rsidRPr="0079110C">
        <w:rPr>
          <w:rFonts w:ascii="Times New Roman" w:hAnsi="Times New Roman" w:cs="Times New Roman"/>
          <w:sz w:val="28"/>
          <w:szCs w:val="28"/>
        </w:rPr>
        <w:t>2012 г</w:t>
      </w:r>
      <w:r w:rsidRPr="0079110C">
        <w:rPr>
          <w:rStyle w:val="af0"/>
          <w:rFonts w:ascii="Times New Roman" w:hAnsi="Times New Roman" w:cs="Times New Roman"/>
          <w:sz w:val="28"/>
          <w:szCs w:val="28"/>
        </w:rPr>
        <w:footnoteReference w:id="3"/>
      </w:r>
      <w:r w:rsidRPr="0079110C">
        <w:rPr>
          <w:rFonts w:ascii="Times New Roman" w:hAnsi="Times New Roman" w:cs="Times New Roman"/>
          <w:sz w:val="28"/>
          <w:szCs w:val="28"/>
        </w:rPr>
        <w:t>.</w:t>
      </w:r>
    </w:p>
    <w:p w14:paraId="36C3B3C4"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 данным Минэкономразвития России за последние 5 лет структура федерального имущества претерпела количественные изменения. Количество ФГУП и учреждений сократилось на 44,34%, а количество АО с долей участия государства сократилась в 2 раза</w:t>
      </w:r>
      <w:r w:rsidRPr="0079110C">
        <w:rPr>
          <w:rStyle w:val="af0"/>
          <w:rFonts w:ascii="Times New Roman" w:hAnsi="Times New Roman" w:cs="Times New Roman"/>
          <w:sz w:val="28"/>
          <w:szCs w:val="28"/>
        </w:rPr>
        <w:footnoteReference w:id="4"/>
      </w:r>
      <w:r w:rsidRPr="0079110C">
        <w:rPr>
          <w:rFonts w:ascii="Times New Roman" w:hAnsi="Times New Roman" w:cs="Times New Roman"/>
          <w:sz w:val="28"/>
          <w:szCs w:val="28"/>
        </w:rPr>
        <w:t>.</w:t>
      </w:r>
    </w:p>
    <w:p w14:paraId="0CD438B4"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291CC7">
        <w:rPr>
          <w:rFonts w:ascii="Times New Roman" w:hAnsi="Times New Roman" w:cs="Times New Roman"/>
          <w:sz w:val="28"/>
          <w:szCs w:val="28"/>
        </w:rPr>
        <w:t>Необходимо отдельно отметить проблему отсутствия полной и достоверной информации об имуществе унитарных предприятий, их финансово-хозяйственной деятельности, особенно о муниципальных унитарных предприятиях, что затрудняет проведение анализа. Например, в ходе приватизации унитарных предприятий нередко выявляются ранее неучтенные объекты в реестре государственного имущества</w:t>
      </w:r>
      <w:r w:rsidRPr="00291CC7">
        <w:rPr>
          <w:rFonts w:ascii="Times New Roman" w:hAnsi="Times New Roman" w:cs="Times New Roman"/>
          <w:sz w:val="28"/>
          <w:szCs w:val="28"/>
          <w:vertAlign w:val="superscript"/>
        </w:rPr>
        <w:footnoteReference w:id="5"/>
      </w:r>
      <w:r w:rsidRPr="00291CC7">
        <w:rPr>
          <w:rFonts w:ascii="Times New Roman" w:hAnsi="Times New Roman" w:cs="Times New Roman"/>
          <w:sz w:val="28"/>
          <w:szCs w:val="28"/>
        </w:rPr>
        <w:t>.</w:t>
      </w:r>
    </w:p>
    <w:p w14:paraId="44900458" w14:textId="09691396"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При этом</w:t>
      </w:r>
      <w:r w:rsidR="00CC5319">
        <w:rPr>
          <w:rFonts w:ascii="Times New Roman" w:hAnsi="Times New Roman" w:cs="Times New Roman"/>
          <w:sz w:val="28"/>
          <w:szCs w:val="28"/>
        </w:rPr>
        <w:t>,</w:t>
      </w:r>
      <w:r w:rsidRPr="0079110C">
        <w:rPr>
          <w:rFonts w:ascii="Times New Roman" w:hAnsi="Times New Roman" w:cs="Times New Roman"/>
          <w:sz w:val="28"/>
          <w:szCs w:val="28"/>
        </w:rPr>
        <w:t xml:space="preserve"> в отчете о деятельности Федерального агентства по управлению государственным имуществом за 2018 год содержится информация о том, что по состоянию на 29.12.2018 в Прогнозный план приватизации включены:</w:t>
      </w:r>
    </w:p>
    <w:p w14:paraId="64036B39"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акции (доли в уставных капиталах) 576 хозяйственных обществ, из них акции 79 обществ подлежат приватизации путем внесения в уставные капиталы интегрированных структур;</w:t>
      </w:r>
    </w:p>
    <w:p w14:paraId="72355FF1"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- 825 объектов имущества государственной казны Российской Федерации, из них 130 объектов подлежат приватизации путем внесения в уставные капиталы интегрированных структур.</w:t>
      </w:r>
    </w:p>
    <w:p w14:paraId="04AE9285"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- 276 ФГУП, в том числе 38 ФГУП, участвующих в формировании ВИС, 13 ФГУП, отнесенных к ведению Росимущества</w:t>
      </w:r>
      <w:r w:rsidRPr="0079110C">
        <w:rPr>
          <w:rStyle w:val="af0"/>
          <w:rFonts w:ascii="Times New Roman" w:hAnsi="Times New Roman" w:cs="Times New Roman"/>
          <w:sz w:val="28"/>
          <w:szCs w:val="28"/>
        </w:rPr>
        <w:footnoteReference w:id="6"/>
      </w:r>
      <w:r w:rsidRPr="0079110C">
        <w:rPr>
          <w:rFonts w:ascii="Times New Roman" w:hAnsi="Times New Roman" w:cs="Times New Roman"/>
          <w:sz w:val="28"/>
          <w:szCs w:val="28"/>
        </w:rPr>
        <w:t>.</w:t>
      </w:r>
    </w:p>
    <w:p w14:paraId="3837B66F"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 информации Банка России доля государственных банков в активах отечественного банковского сектора возросла с 59,2% в начале 2017 года до 66,2% после перехода в 2018 году «ФК Открытие», Бинбанка и Промсвязьбанка под контроль в Фонда консолидации банковского сектора (далее - ФКБС). Кроме того, использование нового механизма – санации через ФКБС – привело к некоторому росту доли госсектора, а это порядка 7%</w:t>
      </w:r>
      <w:r w:rsidRPr="0079110C">
        <w:rPr>
          <w:rStyle w:val="af0"/>
          <w:rFonts w:ascii="Times New Roman" w:hAnsi="Times New Roman" w:cs="Times New Roman"/>
          <w:sz w:val="28"/>
          <w:szCs w:val="28"/>
        </w:rPr>
        <w:footnoteReference w:id="7"/>
      </w:r>
      <w:r w:rsidRPr="0079110C">
        <w:rPr>
          <w:rFonts w:ascii="Times New Roman" w:hAnsi="Times New Roman" w:cs="Times New Roman"/>
          <w:sz w:val="28"/>
          <w:szCs w:val="28"/>
        </w:rPr>
        <w:t>.</w:t>
      </w:r>
    </w:p>
    <w:p w14:paraId="4C5E8A0E" w14:textId="7C21D09D"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В той или иной форме продолжается и характерный для 2000-х гг. процесс количественного расширения госсектора — через внесение активов в вертикально интегрированные структуры, увеличение пакетов акций, принадлежащих государству, в капиталах круп</w:t>
      </w:r>
      <w:r w:rsidR="00066631">
        <w:rPr>
          <w:rFonts w:ascii="Times New Roman" w:hAnsi="Times New Roman" w:cs="Times New Roman"/>
          <w:sz w:val="28"/>
          <w:szCs w:val="28"/>
        </w:rPr>
        <w:t>нейших публичных компаний.</w:t>
      </w:r>
    </w:p>
    <w:p w14:paraId="61E30ABC" w14:textId="77777777" w:rsidR="00680A07" w:rsidRPr="00E976DC" w:rsidRDefault="00680A07" w:rsidP="00680A07">
      <w:pPr>
        <w:spacing w:after="0" w:line="240" w:lineRule="auto"/>
        <w:ind w:firstLine="708"/>
        <w:jc w:val="both"/>
        <w:rPr>
          <w:rFonts w:ascii="Times New Roman" w:hAnsi="Times New Roman" w:cs="Times New Roman"/>
          <w:i/>
          <w:sz w:val="28"/>
          <w:szCs w:val="28"/>
        </w:rPr>
      </w:pPr>
      <w:r w:rsidRPr="00E976DC">
        <w:rPr>
          <w:rFonts w:ascii="Times New Roman" w:hAnsi="Times New Roman" w:cs="Times New Roman"/>
          <w:i/>
          <w:sz w:val="28"/>
          <w:szCs w:val="28"/>
        </w:rPr>
        <w:t>Участие государственных компаний в закупках</w:t>
      </w:r>
    </w:p>
    <w:p w14:paraId="5E1FAB5B"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Закупки государственных органов власти могут рассматриваться в качестве одного из институтов развития инструмента поддержки малого и среднего бизнеса. В то же время значительная часть госзакупок распределяется среди компаний с государственным участием.</w:t>
      </w:r>
    </w:p>
    <w:p w14:paraId="7FFDB2D2" w14:textId="127BAA5E"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итогам 2018 года общая сумма контрактов, заключенных государственными и муниципальными заказчиками в рамках </w:t>
      </w:r>
      <w:r w:rsidR="00CC5319">
        <w:rPr>
          <w:rFonts w:ascii="Times New Roman" w:hAnsi="Times New Roman" w:cs="Times New Roman"/>
          <w:sz w:val="28"/>
          <w:szCs w:val="28"/>
        </w:rPr>
        <w:t>Федерального</w:t>
      </w:r>
      <w:r w:rsidR="00CC5319" w:rsidRPr="00CC5319">
        <w:rPr>
          <w:rFonts w:ascii="Times New Roman" w:hAnsi="Times New Roman" w:cs="Times New Roman"/>
          <w:sz w:val="28"/>
          <w:szCs w:val="28"/>
        </w:rPr>
        <w:t xml:space="preserve"> закон</w:t>
      </w:r>
      <w:r w:rsidR="00CC5319">
        <w:rPr>
          <w:rFonts w:ascii="Times New Roman" w:hAnsi="Times New Roman" w:cs="Times New Roman"/>
          <w:sz w:val="28"/>
          <w:szCs w:val="28"/>
        </w:rPr>
        <w:t>а</w:t>
      </w:r>
      <w:r w:rsidR="00CC5319" w:rsidRPr="00CC5319">
        <w:rPr>
          <w:rFonts w:ascii="Times New Roman" w:hAnsi="Times New Roman" w:cs="Times New Roman"/>
          <w:sz w:val="28"/>
          <w:szCs w:val="28"/>
        </w:rPr>
        <w:t xml:space="preserve"> от 05.04.2013 </w:t>
      </w:r>
      <w:r w:rsidR="000F4A65">
        <w:rPr>
          <w:rFonts w:ascii="Times New Roman" w:hAnsi="Times New Roman" w:cs="Times New Roman"/>
          <w:sz w:val="28"/>
          <w:szCs w:val="28"/>
        </w:rPr>
        <w:t>№ 44</w:t>
      </w:r>
      <w:r w:rsidR="00CC5319">
        <w:rPr>
          <w:rFonts w:ascii="Times New Roman" w:hAnsi="Times New Roman" w:cs="Times New Roman"/>
          <w:sz w:val="28"/>
          <w:szCs w:val="28"/>
        </w:rPr>
        <w:t>-ФЗ «</w:t>
      </w:r>
      <w:r w:rsidR="00CC5319" w:rsidRPr="00CC5319">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CC5319">
        <w:rPr>
          <w:rFonts w:ascii="Times New Roman" w:hAnsi="Times New Roman" w:cs="Times New Roman"/>
          <w:sz w:val="28"/>
          <w:szCs w:val="28"/>
        </w:rPr>
        <w:t>» (далее – Закон 44-ФЗ)</w:t>
      </w:r>
      <w:r>
        <w:rPr>
          <w:rFonts w:ascii="Times New Roman" w:hAnsi="Times New Roman" w:cs="Times New Roman"/>
          <w:sz w:val="28"/>
          <w:szCs w:val="28"/>
        </w:rPr>
        <w:t>, составила 6,9 трлн руб. Доля поставщиков из числа госкомпаний в 208 году составила 25%.</w:t>
      </w:r>
    </w:p>
    <w:p w14:paraId="42C230A7" w14:textId="4603070B"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Наибольший объем контрактов, заключенных с госкомпаниями, по итогам закупок </w:t>
      </w:r>
      <w:r w:rsidR="00CC5319">
        <w:rPr>
          <w:rFonts w:ascii="Times New Roman" w:hAnsi="Times New Roman" w:cs="Times New Roman"/>
          <w:sz w:val="28"/>
          <w:szCs w:val="28"/>
        </w:rPr>
        <w:t>по Закону</w:t>
      </w:r>
      <w:r w:rsidR="00CC5319" w:rsidRPr="00CC5319">
        <w:rPr>
          <w:rFonts w:ascii="Times New Roman" w:hAnsi="Times New Roman" w:cs="Times New Roman"/>
          <w:sz w:val="28"/>
          <w:szCs w:val="28"/>
        </w:rPr>
        <w:t xml:space="preserve"> </w:t>
      </w:r>
      <w:r>
        <w:rPr>
          <w:rFonts w:ascii="Times New Roman" w:hAnsi="Times New Roman" w:cs="Times New Roman"/>
          <w:sz w:val="28"/>
          <w:szCs w:val="28"/>
        </w:rPr>
        <w:t>44-ФЗ в 20</w:t>
      </w:r>
      <w:r w:rsidR="00496D34">
        <w:rPr>
          <w:rFonts w:ascii="Times New Roman" w:hAnsi="Times New Roman" w:cs="Times New Roman"/>
          <w:sz w:val="28"/>
          <w:szCs w:val="28"/>
        </w:rPr>
        <w:t>1</w:t>
      </w:r>
      <w:r>
        <w:rPr>
          <w:rFonts w:ascii="Times New Roman" w:hAnsi="Times New Roman" w:cs="Times New Roman"/>
          <w:sz w:val="28"/>
          <w:szCs w:val="28"/>
        </w:rPr>
        <w:t>8 году наблюдался в сфере оказания финансовых и страховых услуг - 77% контрактов с госкомпаниями, связанных с научной и инженерно-технической деятельностью - 65%, услуг в области в области здравоохранения и социальных услуг – 51%, в области информации и связи – 45%, услуг транспорта и складского хозяйства – 42%.</w:t>
      </w:r>
    </w:p>
    <w:p w14:paraId="2ED15501"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г</w:t>
      </w:r>
      <w:r w:rsidRPr="00277E36">
        <w:rPr>
          <w:rFonts w:ascii="Times New Roman" w:hAnsi="Times New Roman" w:cs="Times New Roman"/>
          <w:sz w:val="28"/>
          <w:szCs w:val="28"/>
        </w:rPr>
        <w:t>осударственно-монополистическ</w:t>
      </w:r>
      <w:r>
        <w:rPr>
          <w:rFonts w:ascii="Times New Roman" w:hAnsi="Times New Roman" w:cs="Times New Roman"/>
          <w:sz w:val="28"/>
          <w:szCs w:val="28"/>
        </w:rPr>
        <w:t>ий</w:t>
      </w:r>
      <w:r w:rsidRPr="00277E36">
        <w:rPr>
          <w:rFonts w:ascii="Times New Roman" w:hAnsi="Times New Roman" w:cs="Times New Roman"/>
          <w:sz w:val="28"/>
          <w:szCs w:val="28"/>
        </w:rPr>
        <w:t xml:space="preserve"> </w:t>
      </w:r>
      <w:r>
        <w:rPr>
          <w:rFonts w:ascii="Times New Roman" w:hAnsi="Times New Roman" w:cs="Times New Roman"/>
          <w:sz w:val="28"/>
          <w:szCs w:val="28"/>
        </w:rPr>
        <w:t xml:space="preserve">тенденции в экономике Российской Федерации характеризуются высокой </w:t>
      </w:r>
      <w:r w:rsidRPr="00C977EA">
        <w:rPr>
          <w:rFonts w:ascii="Times New Roman" w:hAnsi="Times New Roman" w:cs="Times New Roman"/>
          <w:sz w:val="28"/>
          <w:szCs w:val="28"/>
        </w:rPr>
        <w:t>дол</w:t>
      </w:r>
      <w:r>
        <w:rPr>
          <w:rFonts w:ascii="Times New Roman" w:hAnsi="Times New Roman" w:cs="Times New Roman"/>
          <w:sz w:val="28"/>
          <w:szCs w:val="28"/>
        </w:rPr>
        <w:t>ей</w:t>
      </w:r>
      <w:r w:rsidRPr="00C977EA">
        <w:rPr>
          <w:rFonts w:ascii="Times New Roman" w:hAnsi="Times New Roman" w:cs="Times New Roman"/>
          <w:sz w:val="28"/>
          <w:szCs w:val="28"/>
        </w:rPr>
        <w:t xml:space="preserve"> государственного участия в экономике России</w:t>
      </w:r>
      <w:r>
        <w:rPr>
          <w:rFonts w:ascii="Times New Roman" w:hAnsi="Times New Roman" w:cs="Times New Roman"/>
          <w:sz w:val="28"/>
          <w:szCs w:val="28"/>
        </w:rPr>
        <w:t xml:space="preserve"> и недостаточными</w:t>
      </w:r>
      <w:r w:rsidRPr="00C977EA">
        <w:rPr>
          <w:rFonts w:ascii="Times New Roman" w:hAnsi="Times New Roman" w:cs="Times New Roman"/>
          <w:sz w:val="28"/>
          <w:szCs w:val="28"/>
        </w:rPr>
        <w:t xml:space="preserve"> темп</w:t>
      </w:r>
      <w:r>
        <w:rPr>
          <w:rFonts w:ascii="Times New Roman" w:hAnsi="Times New Roman" w:cs="Times New Roman"/>
          <w:sz w:val="28"/>
          <w:szCs w:val="28"/>
        </w:rPr>
        <w:t>ами</w:t>
      </w:r>
      <w:r w:rsidRPr="00C977EA">
        <w:rPr>
          <w:rFonts w:ascii="Times New Roman" w:hAnsi="Times New Roman" w:cs="Times New Roman"/>
          <w:sz w:val="28"/>
          <w:szCs w:val="28"/>
        </w:rPr>
        <w:t xml:space="preserve"> приватизации</w:t>
      </w:r>
      <w:r>
        <w:rPr>
          <w:rFonts w:ascii="Times New Roman" w:hAnsi="Times New Roman" w:cs="Times New Roman"/>
          <w:sz w:val="28"/>
          <w:szCs w:val="28"/>
        </w:rPr>
        <w:t>.</w:t>
      </w:r>
    </w:p>
    <w:p w14:paraId="2FB6D524" w14:textId="5C123684"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 xml:space="preserve">Все это означает, в частности, что процесс усиления роли государства в экономике </w:t>
      </w:r>
      <w:r w:rsidR="00887BE7">
        <w:rPr>
          <w:rFonts w:ascii="Times New Roman" w:hAnsi="Times New Roman" w:cs="Times New Roman"/>
          <w:sz w:val="28"/>
          <w:szCs w:val="28"/>
        </w:rPr>
        <w:t xml:space="preserve">перешел в иное — качественное </w:t>
      </w:r>
      <w:r w:rsidRPr="00AC1A1F">
        <w:rPr>
          <w:rFonts w:ascii="Times New Roman" w:hAnsi="Times New Roman" w:cs="Times New Roman"/>
          <w:sz w:val="28"/>
          <w:szCs w:val="28"/>
        </w:rPr>
        <w:t xml:space="preserve">состояние. Это происходит преимущественно через повышение роли государственных структур (в том числе не имеющих прямого отношения к хозяйственным операциям) в распределении финансовых ресурсов и контроле экономических агентов, активизацию сформированных вертикально-интегрированных структур (ВИС) в ряде отраслей, государственных корпораций и институтов развития, передачу в их капиталы имущества непубличных государственных компаний, процессы «псевдоприватизации», расширение сфер (зон контроля) государственного регулирования. </w:t>
      </w:r>
    </w:p>
    <w:p w14:paraId="141B8E63" w14:textId="577F571A" w:rsidR="00680A07"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Сращивание монополий с государством и прямое огосударствление производства явл</w:t>
      </w:r>
      <w:r w:rsidR="00887BE7">
        <w:rPr>
          <w:rFonts w:ascii="Times New Roman" w:hAnsi="Times New Roman" w:cs="Times New Roman"/>
          <w:sz w:val="28"/>
          <w:szCs w:val="28"/>
        </w:rPr>
        <w:t>яются неотъемлемыми свойствами экономики.</w:t>
      </w:r>
    </w:p>
    <w:p w14:paraId="00322A4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По мере усиления общественного характера производительных сил государство берет на себя все больший объем организационно-хозяйственных функций, вмешивается в процесс воспроизводства на макроэкономическом уровне, пытаясь в краткосрочной и долгосрочной перспективе регулировать всю хозяйственную систему страны в целом.</w:t>
      </w:r>
    </w:p>
    <w:p w14:paraId="1F8DD0F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Издержки, вызванные высоким размером государственного сектора в экономике России, достаточно очевидны.</w:t>
      </w:r>
    </w:p>
    <w:p w14:paraId="1E96A3B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Во-первых, это приводит к снижению эффективности функционирования рыночных механизмов — нарушению принципа равенства компаний во взаимоотношениях с государством (конфликт интересов собственника и блюстителя равных правил игры), замещению конкурентных механизмов (конкуренция через повышение эффективности или улучшение потребительских свойств выпускаемой продукции) административным ресурсом и лоббистскими возможностями. Как следствие, экономика начинает «пробуксовывать», что выражается в снижении темпов роста и в усиливающемся технологическом отставании от более успешных стран.</w:t>
      </w:r>
    </w:p>
    <w:p w14:paraId="14149C9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Во-вторых, государство — как абстрактное и неперсонифицированное понятие — является менее эффективным собственником, чем частные структуры, прежде всего в конкурентных отраслях. Возможности менее эффективного хозяйствования определяются особенностями государственной собственности, воспринимаемой обычно в качестве некой коллективной (общей). Механизмы мониторинга за результатами деятельности государственных предприятий, разумеется, не могут предполагать контроля со стороны каждого гражданина. Обычно указанная обязанность возлагается на некоторые ведомства исполнительной власти, тем самым складывается система отношений «принципал — агент», в рамках которой еще больше вопросов возникает при рассмотрении механизмов мониторинга за результатами того контроля, который должны осуществлять указанные ведомства. «Мониторинг мониторов», по существу, вырождается в неэффективную бюрократическую пирамиду многоступенчатого административного контроля и формальной отчетности.</w:t>
      </w:r>
    </w:p>
    <w:p w14:paraId="75C8549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В-третьих, одним из значимых следствий указанных процессов становится неформальное огосударствление частного сектора экономики и появление «частных государственных компаний». Одновременно происходит сужение пространства для частной инициативы, эрозия цивилизованных имущественных отношений, возможностей реализации прав частной собственности (частного бизнеса) и конкурентных рынков в связи с экспансией госсектора де-юре и де-факто.</w:t>
      </w:r>
    </w:p>
    <w:p w14:paraId="21635D10" w14:textId="77777777" w:rsidR="00680A07" w:rsidRPr="00066631" w:rsidRDefault="00680A07" w:rsidP="00680A07">
      <w:pPr>
        <w:spacing w:after="0" w:line="240" w:lineRule="auto"/>
        <w:ind w:firstLine="709"/>
        <w:jc w:val="both"/>
        <w:rPr>
          <w:rFonts w:ascii="Times New Roman" w:hAnsi="Times New Roman" w:cs="Times New Roman"/>
          <w:i/>
          <w:sz w:val="28"/>
          <w:szCs w:val="28"/>
        </w:rPr>
      </w:pPr>
      <w:r w:rsidRPr="00066631">
        <w:rPr>
          <w:rFonts w:ascii="Times New Roman" w:hAnsi="Times New Roman" w:cs="Times New Roman"/>
          <w:i/>
          <w:sz w:val="28"/>
          <w:szCs w:val="28"/>
        </w:rPr>
        <w:t>Экономические вызовы в регионах Российской Федерации.</w:t>
      </w:r>
    </w:p>
    <w:p w14:paraId="7BF5E7AE" w14:textId="77777777" w:rsidR="00680A07" w:rsidRPr="00066631" w:rsidRDefault="00680A07" w:rsidP="00680A07">
      <w:pPr>
        <w:tabs>
          <w:tab w:val="num" w:pos="0"/>
          <w:tab w:val="num" w:pos="432"/>
        </w:tabs>
        <w:spacing w:after="0" w:line="240" w:lineRule="auto"/>
        <w:ind w:firstLine="708"/>
        <w:jc w:val="both"/>
        <w:rPr>
          <w:rFonts w:ascii="Times New Roman" w:eastAsia="Times New Roman" w:hAnsi="Times New Roman" w:cs="Times New Roman"/>
          <w:sz w:val="28"/>
          <w:szCs w:val="28"/>
          <w:lang w:eastAsia="ru-RU"/>
        </w:rPr>
      </w:pPr>
      <w:r w:rsidRPr="00066631">
        <w:rPr>
          <w:rFonts w:ascii="Times New Roman" w:eastAsia="Times New Roman" w:hAnsi="Times New Roman" w:cs="Times New Roman"/>
          <w:sz w:val="28"/>
          <w:szCs w:val="28"/>
          <w:lang w:eastAsia="ru-RU"/>
        </w:rPr>
        <w:t>Проблема государственной монополизации экономики на национальном уровне сопряжена с проблемами государственно-монополистических тенденций региональных экономик и применения не рыночных, а административно-хозяйственных методов управления экономикой на региональном и муниципальном уровне.</w:t>
      </w:r>
    </w:p>
    <w:p w14:paraId="23C5F93F"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Экономический потенциал России рассредоточен по регионам, и от успехов или неуспехов хозяйствования отдельных регионов зависит общий хозяйственный результат, общая экономическая безопасность страны.</w:t>
      </w:r>
    </w:p>
    <w:p w14:paraId="7CF7A340"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Регионы имеют различия в обеспечении природными ресурсами. К примеру, нефтегазовый комплекс Западной Сибири и Кузбасса в значительной степени гарантирует энергетическую безопасность Российской Федерации и обеспечивает большую часть валютных поступлений. По различным оценкам, 80% добычи нефти и более 90% добычи природного газа сосредоточено в 3-4 субъектах Российской Федерации.</w:t>
      </w:r>
    </w:p>
    <w:p w14:paraId="433EC563"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 влиянием сложившихся обстоятельств различия в уровнях развития регионов продолжают углубляться. Разрыв между субъектами Российской Федерации по объему производства промышленной продукции на душу населения превышает 25 раз. При этом имеются группы регионов, находящихся значительно выше (на 70%) и ниже (более чем на 30%) среднероссийских показателей. К первой группе относится 13 субъектов Федерации, специализирующихся преимущественно на добывающих отраслях</w:t>
      </w:r>
      <w:r w:rsidRPr="00066631">
        <w:rPr>
          <w:rStyle w:val="af0"/>
          <w:rFonts w:ascii="Times New Roman" w:hAnsi="Times New Roman" w:cs="Times New Roman"/>
          <w:sz w:val="28"/>
          <w:szCs w:val="28"/>
        </w:rPr>
        <w:footnoteReference w:id="8"/>
      </w:r>
      <w:r w:rsidRPr="00066631">
        <w:rPr>
          <w:rFonts w:ascii="Times New Roman" w:hAnsi="Times New Roman" w:cs="Times New Roman"/>
          <w:sz w:val="28"/>
          <w:szCs w:val="28"/>
        </w:rPr>
        <w:t>.</w:t>
      </w:r>
    </w:p>
    <w:p w14:paraId="5A27399C"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Неоднородность развития и состояния экономики также явно выражается в поступлении налогов в федеральный бюджет из регионов, что объясняется изъятием сырьевой ренты (НДПИ). К примеру, более 25% всех налоговых поступлений в федеральный бюджет обеспечил Ханты-Мансийский АО, еще 10% – Ямало-Ненецкий АО. Москва дает более 12% поступлений, Санкт-Петербург – 6%. В результате 4 субъекта Российской Федерации обеспечивают более половины налоговых доходов федерального бюджета. Для сравнения: весь Дальний Восток – только 2%.</w:t>
      </w:r>
    </w:p>
    <w:p w14:paraId="2DD9FCE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Минэкономразвития выделяет 10 регионов (Москва, Санкт-Петербург, Московская и Свердловская области, Ханты-Мансийский автономный округ — Югра, Ямало-Ненецкий автономный округ, Краснодарский и Красноярский края, а также Татарстан и Башкирия), формирующих больше половины суммарного ВРП, причем порядка 20% приходится на Москву. Доли в ВРП этих десяти регионов относительно стабильны и отражают сложившуюся структуру экономики, почти все эти регионы промышленные или добывающие.</w:t>
      </w:r>
    </w:p>
    <w:p w14:paraId="1EC8CF1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Вызовами для экономики России являются также тенденции регионального экономического протекционизма, о чем свидетельствуют выявленные ФАС России нарушения.</w:t>
      </w:r>
    </w:p>
    <w:p w14:paraId="18BE5C29" w14:textId="3F79E599"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На заседании Государственного совета Российской Федерации 05 апреля 2018 года Президент Российской Федерации</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отмечая указанную проблему, пояснил, что тенденции регионального протекционизма есть даже у тех регионов, которые находятся в передовиках, что абсолютно недопустимо.</w:t>
      </w:r>
    </w:p>
    <w:p w14:paraId="59E25574" w14:textId="4269E324" w:rsidR="00680A0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Оценка экономической ситуации в мире и России свидетельствует о необходимости принятия ряда существенных мер, обеспечивающих возможность противостоять глобальным экономическим вызовам, и использовать современные тенденции для обеспечения ускоренного экономического роста. При этом</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решение этих задач возможно только при условии преодоления внутренних факторов, сдерживающих экономический рост.</w:t>
      </w:r>
    </w:p>
    <w:p w14:paraId="1A89618B" w14:textId="77777777" w:rsidR="003644F2" w:rsidRDefault="003644F2" w:rsidP="00883C8E">
      <w:pPr>
        <w:spacing w:after="0" w:line="240" w:lineRule="auto"/>
        <w:ind w:firstLine="709"/>
        <w:jc w:val="both"/>
        <w:rPr>
          <w:rFonts w:ascii="Times New Roman" w:hAnsi="Times New Roman" w:cs="Times New Roman"/>
          <w:sz w:val="28"/>
          <w:szCs w:val="28"/>
        </w:rPr>
      </w:pPr>
    </w:p>
    <w:p w14:paraId="236FC978" w14:textId="77777777" w:rsidR="00883C8E" w:rsidRPr="000F6758" w:rsidRDefault="00883C8E" w:rsidP="00DA3F05">
      <w:pPr>
        <w:pStyle w:val="3"/>
      </w:pPr>
      <w:bookmarkStart w:id="7" w:name="_Toc7447927"/>
      <w:r w:rsidRPr="000F6758">
        <w:t>Влияние глобальных сделок экономической концентрации на состояние конкуренции на территории Российской Федерации</w:t>
      </w:r>
      <w:bookmarkStart w:id="8" w:name="_Toc6834311"/>
      <w:bookmarkStart w:id="9" w:name="_Toc6834598"/>
      <w:bookmarkStart w:id="10" w:name="_Toc6834801"/>
      <w:bookmarkEnd w:id="8"/>
      <w:bookmarkEnd w:id="9"/>
      <w:bookmarkEnd w:id="10"/>
      <w:bookmarkEnd w:id="7"/>
    </w:p>
    <w:p w14:paraId="1290CE5F" w14:textId="77777777" w:rsidR="00D2443B" w:rsidRPr="00D2443B" w:rsidRDefault="00D2443B" w:rsidP="00D2443B">
      <w:pPr>
        <w:rPr>
          <w:lang w:eastAsia="ru-RU"/>
        </w:rPr>
      </w:pPr>
    </w:p>
    <w:p w14:paraId="5849DAD1" w14:textId="3159074D" w:rsidR="00D2443B" w:rsidRPr="00F23BE5" w:rsidRDefault="00D2443B" w:rsidP="00D2443B">
      <w:pPr>
        <w:spacing w:after="0" w:line="240" w:lineRule="auto"/>
        <w:ind w:firstLine="709"/>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Контроль сделок экономической концентрации - одно из основных направлений антимонопольной политики, целью которого является недопущение изменения структуры рынка в направлении, создающем риски ограничения конкуренции. Сделки по экономической концентрации </w:t>
      </w:r>
      <w:r>
        <w:rPr>
          <w:rFonts w:ascii="Times New Roman" w:eastAsia="Calibri" w:hAnsi="Times New Roman" w:cs="Times New Roman"/>
          <w:sz w:val="28"/>
          <w:szCs w:val="28"/>
        </w:rPr>
        <w:t>у</w:t>
      </w:r>
      <w:r w:rsidRPr="00F23BE5">
        <w:rPr>
          <w:rFonts w:ascii="Times New Roman" w:eastAsia="Calibri" w:hAnsi="Times New Roman" w:cs="Times New Roman"/>
          <w:sz w:val="28"/>
          <w:szCs w:val="28"/>
        </w:rPr>
        <w:t>регулирован</w:t>
      </w:r>
      <w:r>
        <w:rPr>
          <w:rFonts w:ascii="Times New Roman" w:eastAsia="Calibri" w:hAnsi="Times New Roman" w:cs="Times New Roman"/>
          <w:sz w:val="28"/>
          <w:szCs w:val="28"/>
        </w:rPr>
        <w:t>ы</w:t>
      </w:r>
      <w:r w:rsidRPr="00F23BE5">
        <w:rPr>
          <w:rFonts w:ascii="Times New Roman" w:eastAsia="Calibri" w:hAnsi="Times New Roman" w:cs="Times New Roman"/>
          <w:sz w:val="28"/>
          <w:szCs w:val="28"/>
        </w:rPr>
        <w:t xml:space="preserve"> как в Российской Федерации, так и в </w:t>
      </w:r>
      <w:r>
        <w:rPr>
          <w:rFonts w:ascii="Times New Roman" w:eastAsia="Calibri" w:hAnsi="Times New Roman" w:cs="Times New Roman"/>
          <w:sz w:val="28"/>
          <w:szCs w:val="28"/>
        </w:rPr>
        <w:t>международных сообществах. Так</w:t>
      </w:r>
      <w:r w:rsidR="00FD649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23BE5">
        <w:rPr>
          <w:rFonts w:ascii="Times New Roman" w:eastAsia="Calibri" w:hAnsi="Times New Roman" w:cs="Times New Roman"/>
          <w:sz w:val="28"/>
          <w:szCs w:val="28"/>
        </w:rPr>
        <w:t>в соответствии с пунктом 21 статьи 4 Закон</w:t>
      </w:r>
      <w:r>
        <w:rPr>
          <w:rFonts w:ascii="Times New Roman" w:eastAsia="Calibri" w:hAnsi="Times New Roman" w:cs="Times New Roman"/>
          <w:sz w:val="28"/>
          <w:szCs w:val="28"/>
        </w:rPr>
        <w:t>а о защите конкуренции</w:t>
      </w:r>
      <w:r w:rsidRPr="00F23BE5">
        <w:rPr>
          <w:rFonts w:ascii="Times New Roman" w:eastAsia="Calibri" w:hAnsi="Times New Roman" w:cs="Times New Roman"/>
          <w:sz w:val="28"/>
          <w:szCs w:val="28"/>
        </w:rPr>
        <w:t xml:space="preserve"> экономическая концентрация - это сделки, иные действия, осуществление которых оказывает влияние на состояние конкуренции, при этом согласно пункту 21 части 2 приложения № 19 Договора о Евразийском экономическом союзе: </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экономическая концентрация</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 xml:space="preserve"> - сделки, иные действия, осуществление которых оказывает или может оказать влияние на состояние конкуренции.</w:t>
      </w:r>
    </w:p>
    <w:p w14:paraId="245C68A2" w14:textId="77777777" w:rsidR="00D2443B"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Сегодня ФАС России применяет инновационные подходы при анализе сделок на рынках цифровой экономики, опираясь на действующий нормативный материал и научно-методическую базу, сформированную в других юрисдикциях и на уровне международных организациях. </w:t>
      </w:r>
    </w:p>
    <w:p w14:paraId="0826C720" w14:textId="77777777" w:rsidR="00D2443B" w:rsidRPr="00F23BE5"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Так, в</w:t>
      </w:r>
      <w:r w:rsidRPr="00F23BE5">
        <w:rPr>
          <w:rFonts w:ascii="Times New Roman" w:eastAsia="Calibri" w:hAnsi="Times New Roman" w:cs="Times New Roman"/>
          <w:sz w:val="28"/>
          <w:szCs w:val="28"/>
        </w:rPr>
        <w:t xml:space="preserve"> деле по слиянию Bayer и Monsanto ФАС России, проанализировав влияние объединения имеющихся у компаний новейших биотехнологий, массивов больших данных и платформенных решений в области аграрного производства на потенциальное усиление рыночной власти на соответствующих продуктовых рынках (семян, средств защиты растений и цифрового земледелия), пришла к выводу, что такое слияние создает существенные риски для состояния конкуренции на указанных рынках</w:t>
      </w:r>
      <w:r w:rsidRPr="00F23BE5">
        <w:rPr>
          <w:rFonts w:ascii="Times New Roman" w:eastAsia="Calibri" w:hAnsi="Times New Roman" w:cs="Times New Roman"/>
          <w:sz w:val="28"/>
          <w:szCs w:val="28"/>
          <w:vertAlign w:val="superscript"/>
        </w:rPr>
        <w:footnoteReference w:id="9"/>
      </w:r>
      <w:r w:rsidRPr="00F23BE5">
        <w:rPr>
          <w:rFonts w:ascii="Times New Roman" w:eastAsia="Calibri" w:hAnsi="Times New Roman" w:cs="Times New Roman"/>
          <w:sz w:val="28"/>
          <w:szCs w:val="28"/>
        </w:rPr>
        <w:t>.</w:t>
      </w:r>
    </w:p>
    <w:p w14:paraId="52B1D9E9" w14:textId="77777777" w:rsidR="00D2443B" w:rsidRPr="00A501B4" w:rsidRDefault="00D2443B" w:rsidP="00D2443B">
      <w:pPr>
        <w:suppressAutoHyphens/>
        <w:spacing w:after="0" w:line="240" w:lineRule="auto"/>
        <w:ind w:firstLine="709"/>
        <w:jc w:val="both"/>
        <w:rPr>
          <w:rFonts w:ascii="Times New Roman" w:hAnsi="Times New Roman" w:cs="Times New Roman"/>
          <w:sz w:val="28"/>
          <w:szCs w:val="28"/>
        </w:rPr>
      </w:pPr>
      <w:r w:rsidRPr="00A501B4">
        <w:rPr>
          <w:rFonts w:ascii="Times New Roman" w:hAnsi="Times New Roman" w:cs="Times New Roman"/>
          <w:sz w:val="28"/>
          <w:szCs w:val="28"/>
        </w:rPr>
        <w:t xml:space="preserve">В соответствии с Национальным планом развития конкуренции в Российской Федерации на 2018 - 2020 годы, утвержденным Указом </w:t>
      </w:r>
      <w:r>
        <w:rPr>
          <w:rFonts w:ascii="Times New Roman" w:hAnsi="Times New Roman" w:cs="Times New Roman"/>
          <w:sz w:val="28"/>
          <w:szCs w:val="28"/>
        </w:rPr>
        <w:t>№ 618,</w:t>
      </w:r>
      <w:r w:rsidRPr="00A501B4">
        <w:rPr>
          <w:rFonts w:ascii="Times New Roman" w:hAnsi="Times New Roman" w:cs="Times New Roman"/>
          <w:sz w:val="28"/>
          <w:szCs w:val="28"/>
        </w:rPr>
        <w:t xml:space="preserve"> одним из ожидаемых результатов развития конкуренции в агропромышленном комплексе является снижение зависимости внутреннего рынка от иностранного селекционного и генетического материалов и связанных с ними агротехнологических решений.</w:t>
      </w:r>
    </w:p>
    <w:p w14:paraId="0C019DD5" w14:textId="77777777" w:rsidR="00D2443B" w:rsidRPr="00A501B4" w:rsidRDefault="00D2443B" w:rsidP="00D2443B">
      <w:pPr>
        <w:suppressAutoHyphens/>
        <w:spacing w:after="0" w:line="240" w:lineRule="auto"/>
        <w:ind w:firstLine="709"/>
        <w:jc w:val="both"/>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Принимая во внимание необходимость достижения указанных результатов, ФАС России 20.03.2018 года удовлетворила ходатайство компании «Байер АГ» (Германия) о даче согласия на осуществление сделки по приобретению более 50 % голосующих акций компании «Монсанто Компани» (США) с выдачей предписания, содержащего обязательства компании «Байер АГ», </w:t>
      </w:r>
      <w:r w:rsidRPr="00A501B4">
        <w:rPr>
          <w:rFonts w:ascii="Times New Roman" w:eastAsia="SimSun" w:hAnsi="Times New Roman" w:cs="Times New Roman"/>
          <w:kern w:val="3"/>
          <w:sz w:val="28"/>
          <w:szCs w:val="28"/>
          <w:lang w:eastAsia="zh-CN" w:bidi="hi-IN"/>
        </w:rPr>
        <w:t>которые направлены на создание условий для развития потенциальной конкуренции со стороны российских компаний (далее – Предписание ФАС России) в области селекции и цифрового земледелия.</w:t>
      </w:r>
    </w:p>
    <w:p w14:paraId="3510B438" w14:textId="733BBDA2"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sz w:val="28"/>
          <w:szCs w:val="28"/>
        </w:rPr>
      </w:pPr>
      <w:r w:rsidRPr="00A501B4">
        <w:rPr>
          <w:rFonts w:ascii="Times New Roman" w:hAnsi="Times New Roman" w:cs="Times New Roman"/>
          <w:sz w:val="28"/>
          <w:szCs w:val="28"/>
        </w:rPr>
        <w:t>В соответствии с Предписанием ФАС России компания «Байер АГ» обязуется передать отобранным российским компаниям молекулярные средства селекции и гермоплазму, необходимые для разработки новых сортов/гибридов с заданными свойствами, по которым, в частности</w:t>
      </w:r>
      <w:r w:rsidR="00FD6490">
        <w:rPr>
          <w:rFonts w:ascii="Times New Roman" w:hAnsi="Times New Roman" w:cs="Times New Roman"/>
          <w:sz w:val="28"/>
          <w:szCs w:val="28"/>
        </w:rPr>
        <w:t>,</w:t>
      </w:r>
      <w:r w:rsidRPr="00A501B4">
        <w:rPr>
          <w:rFonts w:ascii="Times New Roman" w:hAnsi="Times New Roman" w:cs="Times New Roman"/>
          <w:sz w:val="28"/>
          <w:szCs w:val="28"/>
        </w:rPr>
        <w:t xml:space="preserve"> наблюдается наибольшая зависимость отечественного рынка от иностранного селекционного материала (кукуруза, рапс, соя и овощные культуры). </w:t>
      </w:r>
    </w:p>
    <w:p w14:paraId="5CDE98E4"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Кроме того, компания «Байер АГ» обязуется предоставить </w:t>
      </w:r>
      <w:r w:rsidRPr="00A501B4">
        <w:rPr>
          <w:rFonts w:ascii="Times New Roman" w:eastAsia="SimSun" w:hAnsi="Times New Roman" w:cs="Times New Roman"/>
          <w:kern w:val="3"/>
          <w:sz w:val="28"/>
          <w:szCs w:val="28"/>
          <w:lang w:eastAsia="zh-CN" w:bidi="hi-IN"/>
        </w:rPr>
        <w:t xml:space="preserve">российским компаниям, осуществляющим разработки программного обеспечения и приложений в области сельского хозяйства, недискриминационного доступа к цифровым платформам точного земледелия, в том числе доступа к историческим данным, относимым к Российской Федерации, а также к данным, которые будут собираться компанией «Байер АГ» после коммерциализации ею своих программных продуктов на территории Российской Федерации. Доступ к таким данным является ключевым фактором для разработки и внедрения российскими компаниями своих </w:t>
      </w:r>
      <w:r w:rsidRPr="00A501B4">
        <w:rPr>
          <w:rFonts w:ascii="Times New Roman" w:eastAsia="SimSun" w:hAnsi="Times New Roman" w:cs="Times New Roman"/>
          <w:kern w:val="3"/>
          <w:sz w:val="28"/>
          <w:szCs w:val="28"/>
          <w:lang w:val="en-US" w:eastAsia="zh-CN" w:bidi="hi-IN"/>
        </w:rPr>
        <w:t>IT</w:t>
      </w:r>
      <w:r w:rsidRPr="00A501B4">
        <w:rPr>
          <w:rFonts w:ascii="Times New Roman" w:eastAsia="SimSun" w:hAnsi="Times New Roman" w:cs="Times New Roman"/>
          <w:kern w:val="3"/>
          <w:sz w:val="28"/>
          <w:szCs w:val="28"/>
          <w:lang w:eastAsia="zh-CN" w:bidi="hi-IN"/>
        </w:rPr>
        <w:t>-разработок в области точного земледелия.</w:t>
      </w:r>
    </w:p>
    <w:p w14:paraId="629C46C8" w14:textId="77777777" w:rsidR="00D2443B" w:rsidRPr="00066631" w:rsidRDefault="00D2443B" w:rsidP="00D2443B">
      <w:pPr>
        <w:pStyle w:val="Textbody"/>
        <w:spacing w:after="0"/>
        <w:ind w:firstLine="708"/>
        <w:jc w:val="both"/>
        <w:rPr>
          <w:rStyle w:val="af5"/>
          <w:b w:val="0"/>
          <w:sz w:val="28"/>
          <w:szCs w:val="28"/>
        </w:rPr>
      </w:pPr>
      <w:r w:rsidRPr="00A501B4">
        <w:rPr>
          <w:rFonts w:cs="Times New Roman"/>
          <w:color w:val="000000"/>
          <w:sz w:val="28"/>
          <w:szCs w:val="28"/>
        </w:rPr>
        <w:t xml:space="preserve">Для осуществления мониторинга исполнения компанией «Байер АГ» требований, содержащихся в Предписании ФАС России, на базе </w:t>
      </w:r>
      <w:r w:rsidRPr="00066631">
        <w:rPr>
          <w:rStyle w:val="af5"/>
          <w:b w:val="0"/>
          <w:sz w:val="28"/>
          <w:szCs w:val="28"/>
        </w:rPr>
        <w:t>Национального исследовательского университета «Высшая школа экономики» (НИУ ВШЭ) создан Центр технологического трансфера (ЦТТ), который начал свою работу с 1 августа 2018 года. Финансирование деятельности ЦТТ осуществляется за счет средств компании «Байер АГ».</w:t>
      </w:r>
    </w:p>
    <w:p w14:paraId="20544C56" w14:textId="77777777" w:rsidR="00D2443B" w:rsidRPr="00066631" w:rsidRDefault="00D2443B" w:rsidP="00D2443B">
      <w:pPr>
        <w:pStyle w:val="Textbody"/>
        <w:spacing w:after="0"/>
        <w:ind w:firstLine="708"/>
        <w:jc w:val="both"/>
        <w:rPr>
          <w:rStyle w:val="af5"/>
          <w:b w:val="0"/>
          <w:sz w:val="28"/>
          <w:szCs w:val="28"/>
        </w:rPr>
      </w:pPr>
      <w:r w:rsidRPr="00066631">
        <w:rPr>
          <w:rStyle w:val="af5"/>
          <w:b w:val="0"/>
          <w:sz w:val="28"/>
          <w:szCs w:val="28"/>
        </w:rPr>
        <w:t>Деятельность ЦТТ осуществляется по трем основным направлениям:</w:t>
      </w:r>
    </w:p>
    <w:p w14:paraId="5D014560" w14:textId="77777777" w:rsidR="00D2443B" w:rsidRPr="00A501B4" w:rsidRDefault="00D2443B" w:rsidP="00D2443B">
      <w:pPr>
        <w:pStyle w:val="Textbody"/>
        <w:spacing w:after="0"/>
        <w:ind w:firstLine="708"/>
        <w:jc w:val="both"/>
        <w:rPr>
          <w:rFonts w:cs="Times New Roman"/>
          <w:color w:val="000000"/>
          <w:sz w:val="28"/>
          <w:szCs w:val="28"/>
        </w:rPr>
      </w:pPr>
      <w:r w:rsidRPr="00A501B4">
        <w:rPr>
          <w:rStyle w:val="af5"/>
          <w:sz w:val="28"/>
          <w:szCs w:val="28"/>
        </w:rPr>
        <w:t xml:space="preserve">- </w:t>
      </w:r>
      <w:r w:rsidRPr="00A501B4">
        <w:rPr>
          <w:rFonts w:cs="Times New Roman"/>
          <w:color w:val="000000"/>
          <w:sz w:val="28"/>
          <w:szCs w:val="28"/>
        </w:rPr>
        <w:t xml:space="preserve">отбор российских компаний, которые могут стать потенциальными получателями молекулярных средств селекции и гермоплазмы, передаваемых компанией «Байер АГ» в рамках исполнения Предписания ФАС России и необходимых для реализации проектов в области селекции; </w:t>
      </w:r>
    </w:p>
    <w:p w14:paraId="14CF4E51" w14:textId="77777777" w:rsidR="00D2443B" w:rsidRPr="00A501B4" w:rsidRDefault="00D2443B" w:rsidP="00D2443B">
      <w:pPr>
        <w:pStyle w:val="Textbody"/>
        <w:spacing w:after="0"/>
        <w:ind w:firstLine="708"/>
        <w:jc w:val="both"/>
        <w:rPr>
          <w:rFonts w:cs="Times New Roman"/>
          <w:color w:val="000000"/>
          <w:sz w:val="28"/>
          <w:szCs w:val="28"/>
        </w:rPr>
      </w:pPr>
      <w:r w:rsidRPr="00A501B4">
        <w:rPr>
          <w:rFonts w:cs="Times New Roman"/>
          <w:color w:val="000000"/>
          <w:sz w:val="28"/>
          <w:szCs w:val="28"/>
        </w:rPr>
        <w:t>- организация проведения обучения российских специалистов в области селекции, в том числе осуществляющих преподавательскую деятельность, современным методикам ускоренной селекции с привлечением действующих специалистов компании «Байер АГ»;</w:t>
      </w:r>
    </w:p>
    <w:p w14:paraId="6FFC361D"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color w:val="000000"/>
          <w:sz w:val="28"/>
          <w:szCs w:val="28"/>
        </w:rPr>
      </w:pPr>
      <w:r w:rsidRPr="00A501B4">
        <w:rPr>
          <w:rFonts w:ascii="Times New Roman" w:hAnsi="Times New Roman" w:cs="Times New Roman"/>
          <w:color w:val="000000"/>
          <w:sz w:val="28"/>
          <w:szCs w:val="28"/>
        </w:rPr>
        <w:t>- реализация специальных исследовательских проектов, направленных на развитие российского агротехнологического сектора.</w:t>
      </w:r>
    </w:p>
    <w:p w14:paraId="39B4FBAF"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Для обеспечения контроля за деятельностью ЦТТ сформирован состав Наблюдательного совета, в который вошли представители ФАС России, Минсельхоза России и Минэкономразвития России. </w:t>
      </w:r>
    </w:p>
    <w:p w14:paraId="6F2839DE" w14:textId="77777777" w:rsidR="00D2443B" w:rsidRPr="00A501B4" w:rsidRDefault="00D2443B" w:rsidP="00D2443B">
      <w:pPr>
        <w:spacing w:after="0" w:line="240" w:lineRule="auto"/>
        <w:ind w:firstLine="708"/>
        <w:jc w:val="both"/>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Наблюдательный совет утвердил бюджет ЦТТ, План деятельности ЦТТ до 2022 года, тематику специализированных исследовательских проектов, направленных на развитие российского агротехнологического сектора и план их реализации, а также регламенты </w:t>
      </w:r>
      <w:r w:rsidRPr="00A501B4">
        <w:rPr>
          <w:rFonts w:ascii="Times New Roman" w:eastAsia="Times New Roman" w:hAnsi="Times New Roman" w:cs="Times New Roman"/>
          <w:sz w:val="28"/>
          <w:szCs w:val="28"/>
          <w:lang w:eastAsia="ru-RU"/>
        </w:rPr>
        <w:t>отбора потенциальных получателей технологического трансфера и отбора потенциальных получателей для создания учебно-научного центра биотехнологий растений.</w:t>
      </w:r>
    </w:p>
    <w:p w14:paraId="7540FCEB"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 xml:space="preserve">Тематика специализированных исследовательских проектов охватывает следующие направления: </w:t>
      </w:r>
    </w:p>
    <w:p w14:paraId="5933CC90"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1.</w:t>
      </w:r>
      <w:r>
        <w:rPr>
          <w:rFonts w:cs="Times New Roman"/>
          <w:sz w:val="28"/>
          <w:szCs w:val="28"/>
        </w:rPr>
        <w:tab/>
      </w:r>
      <w:r w:rsidRPr="00A501B4">
        <w:rPr>
          <w:rFonts w:cs="Times New Roman"/>
          <w:sz w:val="28"/>
          <w:szCs w:val="28"/>
        </w:rPr>
        <w:t>исследование текущего состояния конкуренции в селекции и семеноводстве в России и подготовка предложений для создания системы высокотехнологичных сервисов ускорений селекции сельскохозяйственных культур в России;</w:t>
      </w:r>
    </w:p>
    <w:p w14:paraId="333BA0A2" w14:textId="77777777" w:rsidR="00D2443B" w:rsidRDefault="00D2443B" w:rsidP="00D2443B">
      <w:pPr>
        <w:pStyle w:val="Textbody"/>
        <w:spacing w:after="0"/>
        <w:ind w:right="-1" w:firstLine="708"/>
        <w:jc w:val="both"/>
        <w:rPr>
          <w:rFonts w:cs="Times New Roman"/>
          <w:color w:val="000000"/>
          <w:sz w:val="28"/>
          <w:szCs w:val="28"/>
        </w:rPr>
      </w:pPr>
      <w:r>
        <w:rPr>
          <w:rFonts w:cs="Times New Roman"/>
          <w:sz w:val="28"/>
          <w:szCs w:val="28"/>
        </w:rPr>
        <w:t>2.</w:t>
      </w:r>
      <w:r>
        <w:rPr>
          <w:rFonts w:cs="Times New Roman"/>
          <w:sz w:val="28"/>
          <w:szCs w:val="28"/>
        </w:rPr>
        <w:tab/>
        <w:t xml:space="preserve">разработка </w:t>
      </w:r>
      <w:r>
        <w:rPr>
          <w:rFonts w:cs="Times New Roman"/>
          <w:color w:val="000000"/>
          <w:sz w:val="28"/>
          <w:szCs w:val="28"/>
        </w:rPr>
        <w:t>концепта комплексной цифровизации российского АПК;</w:t>
      </w:r>
    </w:p>
    <w:p w14:paraId="118E250C" w14:textId="77777777" w:rsidR="00D2443B" w:rsidRDefault="00D2443B" w:rsidP="00D2443B">
      <w:pPr>
        <w:pStyle w:val="Textbody"/>
        <w:spacing w:after="0"/>
        <w:ind w:right="-1" w:firstLine="708"/>
        <w:jc w:val="both"/>
        <w:rPr>
          <w:rFonts w:cs="Times New Roman"/>
          <w:color w:val="000000"/>
          <w:sz w:val="28"/>
          <w:szCs w:val="28"/>
        </w:rPr>
      </w:pPr>
      <w:r>
        <w:rPr>
          <w:rFonts w:cs="Times New Roman"/>
          <w:color w:val="000000"/>
          <w:sz w:val="28"/>
          <w:szCs w:val="28"/>
        </w:rPr>
        <w:t>3.</w:t>
      </w:r>
      <w:r>
        <w:rPr>
          <w:rFonts w:cs="Times New Roman"/>
          <w:color w:val="000000"/>
          <w:sz w:val="28"/>
          <w:szCs w:val="28"/>
        </w:rPr>
        <w:tab/>
        <w:t>изучение возможностей альтернативного финансирования российского АПК с привлечением международных финансовых инструментов.</w:t>
      </w:r>
    </w:p>
    <w:p w14:paraId="152FE7B2"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sz w:val="28"/>
          <w:szCs w:val="28"/>
        </w:rPr>
      </w:pPr>
      <w:r>
        <w:rPr>
          <w:rFonts w:ascii="Times New Roman" w:eastAsia="SimSun" w:hAnsi="Times New Roman" w:cs="Times New Roman"/>
          <w:kern w:val="3"/>
          <w:sz w:val="28"/>
          <w:szCs w:val="28"/>
          <w:lang w:eastAsia="zh-CN" w:bidi="hi-IN"/>
        </w:rPr>
        <w:t xml:space="preserve">Для привлечения российских компаний к реализации проектов в области селекции, в рамках которых предполагается использование </w:t>
      </w:r>
      <w:r>
        <w:rPr>
          <w:rFonts w:ascii="Times New Roman" w:hAnsi="Times New Roman" w:cs="Times New Roman"/>
          <w:color w:val="000000"/>
          <w:sz w:val="28"/>
          <w:szCs w:val="28"/>
        </w:rPr>
        <w:t>молекулярных средств селекции и гермоплазмы, передаваемых компанией «Байер АГ»,</w:t>
      </w:r>
      <w:r>
        <w:rPr>
          <w:rFonts w:ascii="Times New Roman" w:eastAsia="SimSun" w:hAnsi="Times New Roman" w:cs="Times New Roman"/>
          <w:kern w:val="3"/>
          <w:sz w:val="28"/>
          <w:szCs w:val="28"/>
          <w:lang w:eastAsia="zh-CN" w:bidi="hi-IN"/>
        </w:rPr>
        <w:t xml:space="preserve"> проведена масштабная информационная компания, в частности были организованы специализированные сессии в рамках таких мероприятий, как </w:t>
      </w:r>
      <w:r>
        <w:rPr>
          <w:rFonts w:ascii="Times New Roman" w:hAnsi="Times New Roman" w:cs="Times New Roman"/>
          <w:sz w:val="28"/>
          <w:szCs w:val="28"/>
        </w:rPr>
        <w:t>Российская агропромышленная выставка «Золотая осень» 2018 и Московский международный форум инновационного развития 2018, проведены встречи с крупнейшими агрохолдингами и отраслевыми союзами.</w:t>
      </w:r>
    </w:p>
    <w:p w14:paraId="69D86331"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color w:val="000000" w:themeColor="text1"/>
          <w:sz w:val="28"/>
          <w:szCs w:val="28"/>
        </w:rPr>
      </w:pPr>
      <w:r>
        <w:rPr>
          <w:rFonts w:ascii="Times New Roman" w:hAnsi="Times New Roman" w:cs="Times New Roman"/>
          <w:sz w:val="28"/>
          <w:szCs w:val="28"/>
        </w:rPr>
        <w:t xml:space="preserve">В целях </w:t>
      </w:r>
      <w:r>
        <w:rPr>
          <w:rFonts w:ascii="Times New Roman" w:hAnsi="Times New Roman" w:cs="Times New Roman"/>
          <w:color w:val="000000"/>
          <w:sz w:val="28"/>
          <w:szCs w:val="28"/>
        </w:rPr>
        <w:t xml:space="preserve">организации проведения обучения российских специалистов в области селекции были проведены рабочие встречи с руководством ведущих </w:t>
      </w:r>
      <w:r>
        <w:rPr>
          <w:rFonts w:ascii="Times New Roman" w:hAnsi="Times New Roman" w:cs="Times New Roman"/>
          <w:color w:val="000000" w:themeColor="text1"/>
          <w:sz w:val="28"/>
          <w:szCs w:val="28"/>
        </w:rPr>
        <w:t>научно-образовательных организаций: МГУ, НИИ Общей генетики, НИИ с/х биотехнологии, Сколтех.</w:t>
      </w:r>
    </w:p>
    <w:p w14:paraId="2D622C3D" w14:textId="77777777" w:rsidR="00D2443B" w:rsidRPr="00D440DA" w:rsidRDefault="00D2443B" w:rsidP="00D2443B">
      <w:pPr>
        <w:spacing w:after="0" w:line="240" w:lineRule="auto"/>
        <w:ind w:firstLine="708"/>
        <w:jc w:val="both"/>
        <w:rPr>
          <w:rFonts w:ascii="Times New Roman" w:hAnsi="Times New Roman" w:cs="Times New Roman"/>
          <w:sz w:val="28"/>
          <w:szCs w:val="28"/>
        </w:rPr>
      </w:pPr>
      <w:r w:rsidRPr="00D440DA">
        <w:rPr>
          <w:rFonts w:ascii="Times New Roman" w:hAnsi="Times New Roman" w:cs="Times New Roman"/>
          <w:sz w:val="28"/>
          <w:szCs w:val="28"/>
        </w:rPr>
        <w:t>Кроме того, ЦТТ совместно с компанией «Байер АГ» провели для российских компаний презентацию условий передачи генетического материала с/х культур в рамках технологического трансфера на которой были представлены механизмы отбора компаний для передачи технологий и передачи генетического материала конечным получателям (форма передачи, логистика материала), озвучены условия лицензионного соглашения между компанией «Байер АГ» и конечными получателями.</w:t>
      </w:r>
    </w:p>
    <w:p w14:paraId="2A47E70B" w14:textId="77777777" w:rsidR="00D2443B" w:rsidRPr="005647E9" w:rsidRDefault="00D2443B" w:rsidP="00D2443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Одновременно ФАС России совместно с заинтересованными организациями проводит работу по синхронизации деятельности ЦТТ с теми мероприятиями, которые планируется реализовать в рамках Федеральной научно-технической программы развития сельского хозяйства на 2017-2025 годы, утвержденной постановлением Правительства Российской Федерации от 25.08.2017 № 996.</w:t>
      </w:r>
    </w:p>
    <w:p w14:paraId="23776465"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ФАС России в 2018 году была согласована сделка по приобретению компанией «Фортум Дойчленд СЕ» (Fortum Deutschland SE, Федеративная Республика Германия) менее 50 процентов голосующих акций компании «Юнипер СЕ» (Uniper SE, Федеративная Республика Германия).</w:t>
      </w:r>
    </w:p>
    <w:p w14:paraId="36533089"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В группу лиц Fortum Deutschland SE, косвенно принадлежащего на 100% публичной компании «Фортум Оюй», входит генерирующая компания ПАО «Фортум», которая осуществляет деятельность по производству и купле - продаже электрической энергии на оптовом рынке электрической энергии в границах Первой ценовой зоны.</w:t>
      </w:r>
    </w:p>
    <w:p w14:paraId="3079DA4D"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Одним из приобретаемых обществ является генерирующая компания ПАО «Юнипро», осуществляющая деятельность по производству и купле-продаже электрической энергии на оптовом рынке электрической энергии в границах Первой и Второй ценовой зон.</w:t>
      </w:r>
    </w:p>
    <w:p w14:paraId="4DB89057" w14:textId="14AE7C34"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В 2018 году данная сделка была рассмотрена Правительственной комиссией по контролю за осуществлением иностранных инвестиций в Российской Федерации. По итогам согласованной с ФАС России сделки было выдано предписание, срок действия которого 5 лет, содержащее ряд поведенческих требований для компаний, направленны</w:t>
      </w:r>
      <w:r w:rsidR="00FD6490">
        <w:rPr>
          <w:rFonts w:ascii="Times New Roman" w:eastAsia="Calibri" w:hAnsi="Times New Roman" w:cs="Times New Roman"/>
          <w:sz w:val="28"/>
          <w:szCs w:val="28"/>
        </w:rPr>
        <w:t>х</w:t>
      </w:r>
      <w:r w:rsidRPr="00FC1264">
        <w:rPr>
          <w:rFonts w:ascii="Times New Roman" w:eastAsia="Calibri" w:hAnsi="Times New Roman" w:cs="Times New Roman"/>
          <w:sz w:val="28"/>
          <w:szCs w:val="28"/>
        </w:rPr>
        <w:t xml:space="preserve"> на:</w:t>
      </w:r>
    </w:p>
    <w:p w14:paraId="3C8647AD"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недопущение действий, которые приводят (могут привести) к значительному повышению цен на оптовом рынке электрической энергии и мощности при формировании ценовых заявок для участия в процедуре конкурентного отбора в рынке на сутки вперед и балансирующем рынке оптового рынка электрической энергии (мощности) на территориях ЗСП «Тюмень» и ЗСП «Урал»;</w:t>
      </w:r>
    </w:p>
    <w:p w14:paraId="06788B2C"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использование стратегии минимизации стоимости топлива на выработку единицы электрической энергии, при выборе структуры потребляемого топлива на каждый час суток осуществлять потребление наиболее дешевого вида технологически используемого топлива;</w:t>
      </w:r>
    </w:p>
    <w:p w14:paraId="597FC9DC"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ежеквартально представлять в ФАС России информацию о ходе исполнения предписания.</w:t>
      </w:r>
    </w:p>
    <w:p w14:paraId="166FE394" w14:textId="4387E379" w:rsidR="00D2443B"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Указанная сделка является показателем заинтересованности иностранного инвестора в осуществлении инвестиций в Российскую экономику, что</w:t>
      </w:r>
      <w:r w:rsidR="00FD6490">
        <w:rPr>
          <w:rFonts w:ascii="Times New Roman" w:eastAsia="Calibri" w:hAnsi="Times New Roman" w:cs="Times New Roman"/>
          <w:sz w:val="28"/>
          <w:szCs w:val="28"/>
        </w:rPr>
        <w:t>,</w:t>
      </w:r>
      <w:r w:rsidRPr="00FC1264">
        <w:rPr>
          <w:rFonts w:ascii="Times New Roman" w:eastAsia="Calibri" w:hAnsi="Times New Roman" w:cs="Times New Roman"/>
          <w:sz w:val="28"/>
          <w:szCs w:val="28"/>
        </w:rPr>
        <w:t xml:space="preserve"> в свою очередь</w:t>
      </w:r>
      <w:r w:rsidR="00FD6490">
        <w:rPr>
          <w:rFonts w:ascii="Times New Roman" w:eastAsia="Calibri" w:hAnsi="Times New Roman" w:cs="Times New Roman"/>
          <w:sz w:val="28"/>
          <w:szCs w:val="28"/>
        </w:rPr>
        <w:t>,</w:t>
      </w:r>
      <w:r w:rsidRPr="00FC1264">
        <w:rPr>
          <w:rFonts w:ascii="Times New Roman" w:eastAsia="Calibri" w:hAnsi="Times New Roman" w:cs="Times New Roman"/>
          <w:sz w:val="28"/>
          <w:szCs w:val="28"/>
        </w:rPr>
        <w:t xml:space="preserve"> свидетельству</w:t>
      </w:r>
      <w:r w:rsidR="00FD6490">
        <w:rPr>
          <w:rFonts w:ascii="Times New Roman" w:eastAsia="Calibri" w:hAnsi="Times New Roman" w:cs="Times New Roman"/>
          <w:sz w:val="28"/>
          <w:szCs w:val="28"/>
        </w:rPr>
        <w:t>е</w:t>
      </w:r>
      <w:r w:rsidRPr="00FC1264">
        <w:rPr>
          <w:rFonts w:ascii="Times New Roman" w:eastAsia="Calibri" w:hAnsi="Times New Roman" w:cs="Times New Roman"/>
          <w:sz w:val="28"/>
          <w:szCs w:val="28"/>
        </w:rPr>
        <w:t>т о положительной динамике развития инвестиционной привлекательности электроэнергетической отрасли.</w:t>
      </w:r>
    </w:p>
    <w:p w14:paraId="5D7A526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Федеральная антимонопольная служба, осуществляя контроль за экономической концентрацией, пришла к выводу о том, что глобальные сделки в условиях цифровой экономики могут иметь значительные последствия как для состояния конкуренции, так и для динамики технологического и инновационного развития российской промышленности.</w:t>
      </w:r>
    </w:p>
    <w:p w14:paraId="38B7D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контексте усиливающейся глобализации мировой экономики происходит стремительное развитие цифровых технологий, которые обуславливают серию технологических и социально-экономических трансформаций последних лет.</w:t>
      </w:r>
    </w:p>
    <w:p w14:paraId="00D75816"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Наблюдаемые изменения структуры отраслей промышленности являются следствием происходящей системной трансформации рынков, делающей глобально конкурентоспособными только те компании, которые имеют возможность предложить потребителям интегрированные (пакетные) решения, включающие как адаптированные под конкретные потребности покупателей товары и услуги, так и цифровые управленческие решения, основанные на анализе большого массива данных, собираемых и обрабатываемых посредством цифровых платформ. С учётом интеграции российской экономики в мировое пространство, структурные изменения, происходящие на зарубежных рынках, предсказуемо и устойчиво распространяются на соответствующие рынки Российской Федерации.</w:t>
      </w:r>
    </w:p>
    <w:p w14:paraId="605AF4FE"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При этом, такие структурные преобразования отраслей промышленности сопровождаются крупными глобальными сделками по слияниям и поглощениям как между конкурентами соответствующих товарных рынков («горизонтальные» сделки), так и между участниками соответствующих сегментов глобальных стоимостных цепочек («вертикальные» сделки). </w:t>
      </w:r>
    </w:p>
    <w:p w14:paraId="1C75AC8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ходе осуществления контроля за экономической концентрацией ФАС России были выявлены следующие угрозы для конкуренции в случае совершения подобных сделок:</w:t>
      </w:r>
    </w:p>
    <w:p w14:paraId="6968D72A" w14:textId="7AA5237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возникновение новых и усиление действующих барьеров входа на соответствующие товарные рынки, в том числе в результате выведения на российский рынок закрытых цифровых платформ;</w:t>
      </w:r>
    </w:p>
    <w:p w14:paraId="76134676" w14:textId="2C4E948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усиление стимулов для антиконкурентных согласованных действий и соглашений;</w:t>
      </w:r>
    </w:p>
    <w:p w14:paraId="5C8325C2" w14:textId="4B98F00B"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повы</w:t>
      </w:r>
      <w:r w:rsidR="00D2443B" w:rsidRPr="00DB6FCC">
        <w:rPr>
          <w:rFonts w:ascii="Times New Roman" w:eastAsia="Calibri" w:hAnsi="Times New Roman" w:cs="Times New Roman"/>
          <w:iCs/>
          <w:sz w:val="28"/>
          <w:szCs w:val="28"/>
        </w:rPr>
        <w:t>шение вероятности злоупотребления объединенной транснациональной компанией рыночной властью (объединение инновационных и платформенных ресурсов может позволить компании в краткосрочной перспективе резко нарастить рыночную долю на соответствующих рынках вплоть до доминирования).</w:t>
      </w:r>
    </w:p>
    <w:p w14:paraId="2E4C7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Учитывая высокое значение технологических изменений в промышленности, ФАС России пришла к выводу, что современные глобальные сделки могут создавать существенные риски подавления конкуренции, которые необходимо нивелировать на этапе согласования сделок.</w:t>
      </w:r>
    </w:p>
    <w:p w14:paraId="47958532"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В качестве наиболее сбалансированного решения, отвечающего целям защиты конкуренции и не создающего непреодолимых препятствий для инновационного развития, ФАС России были сформированы методологические подходы оценки глобальных сделок для состояния конкуренции на российском и глобальном рынках, которые предусматривают установление структурных и поведенческих требований в случае принятия решения об удовлетворении ходатайства. </w:t>
      </w:r>
    </w:p>
    <w:p w14:paraId="4E239E5D"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Такие требования направлены на создание условий для развития потенциальной конкуренции со стороны российских компаний и предусматривают:</w:t>
      </w:r>
    </w:p>
    <w:p w14:paraId="477F2F66" w14:textId="3FD65D0B"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трансфер доступных и применимых в российских условиях современных технологий;</w:t>
      </w:r>
    </w:p>
    <w:p w14:paraId="754A3F2F" w14:textId="1DBC53A1"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 xml:space="preserve">недискриминационный доступ к платформенным пакетным решениям, данным и знаниям; </w:t>
      </w:r>
    </w:p>
    <w:p w14:paraId="3C66D3D4" w14:textId="5CE0F8CA"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2443B" w:rsidRPr="00DB6FCC">
        <w:rPr>
          <w:rFonts w:ascii="Times New Roman" w:eastAsia="Calibri" w:hAnsi="Times New Roman" w:cs="Times New Roman"/>
          <w:sz w:val="28"/>
          <w:szCs w:val="28"/>
        </w:rPr>
        <w:t>применение механизма внешнего мониторинга и контроля выполнения предписания (институт трансфер-агента).</w:t>
      </w:r>
    </w:p>
    <w:p w14:paraId="4FD93944"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Не менее важным аспектом </w:t>
      </w:r>
      <w:r w:rsidRPr="00DB6FCC">
        <w:rPr>
          <w:rFonts w:ascii="Times New Roman" w:eastAsia="Calibri" w:hAnsi="Times New Roman" w:cs="Times New Roman"/>
          <w:sz w:val="28"/>
          <w:szCs w:val="28"/>
        </w:rPr>
        <w:t>в контексте усиливающейся глобализации мировой экономики, стремительного развития цифровых технологий, которые обуславливают технологические и социально-экономические трансформации традиционных рынков, является усиление международного взаимодействия.</w:t>
      </w:r>
    </w:p>
    <w:p w14:paraId="5B76C9F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В рамках рассмотрения в 2018 году </w:t>
      </w:r>
      <w:r w:rsidRPr="00DB6FCC">
        <w:rPr>
          <w:rFonts w:ascii="Times New Roman" w:eastAsia="Calibri" w:hAnsi="Times New Roman" w:cs="Times New Roman"/>
          <w:bCs/>
          <w:sz w:val="28"/>
          <w:szCs w:val="28"/>
        </w:rPr>
        <w:t xml:space="preserve">сделки о приобретении компанией Siemens активов компании Alstom, </w:t>
      </w:r>
      <w:r w:rsidRPr="00DB6FCC">
        <w:rPr>
          <w:rFonts w:ascii="Times New Roman" w:eastAsia="Calibri" w:hAnsi="Times New Roman" w:cs="Times New Roman"/>
          <w:sz w:val="28"/>
          <w:szCs w:val="28"/>
        </w:rPr>
        <w:t>ФАС России провела ряд консультаций с зарубежными конкурентными ведомствами по вопросам рассмотрения данной сделки.</w:t>
      </w:r>
    </w:p>
    <w:p w14:paraId="772E9730" w14:textId="1B8F2134"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Компании Siemens и Alstom являются глобальными компаниями, которые осуществляют свою деятельность в большинстве стран мира и специализируются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сборке подвижного железнодорожного состава (локомотивов и поездов), производстве компонентов подвижного состава, а также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обслуживании и ремонте подвижного состава. Предполагаемое объединение этих двух крупнейших предприятий способствовало бы созданию единого европейского лидера по производству поездов, что могло нанести вред конкуренции.</w:t>
      </w:r>
    </w:p>
    <w:p w14:paraId="516B0ED0"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ФАС России были проведены консультации с</w:t>
      </w:r>
      <w:r w:rsidRPr="00DB6FCC">
        <w:rPr>
          <w:rFonts w:ascii="Times New Roman" w:eastAsia="Calibri" w:hAnsi="Times New Roman" w:cs="Times New Roman"/>
          <w:bCs/>
          <w:sz w:val="28"/>
          <w:szCs w:val="28"/>
        </w:rPr>
        <w:t xml:space="preserve"> </w:t>
      </w:r>
      <w:r w:rsidRPr="00DB6FCC">
        <w:rPr>
          <w:rFonts w:ascii="Times New Roman" w:eastAsia="Calibri" w:hAnsi="Times New Roman" w:cs="Times New Roman"/>
          <w:sz w:val="28"/>
          <w:szCs w:val="28"/>
        </w:rPr>
        <w:t xml:space="preserve">Директоратом по конкуренции Европейской Комиссии, </w:t>
      </w:r>
      <w:r w:rsidRPr="00DB6FCC">
        <w:rPr>
          <w:rFonts w:ascii="Times New Roman" w:eastAsia="Calibri" w:hAnsi="Times New Roman" w:cs="Times New Roman"/>
          <w:bCs/>
          <w:sz w:val="28"/>
          <w:szCs w:val="28"/>
        </w:rPr>
        <w:t>Комиссией по конкуренции Южной Африки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Комиссией по конкуренции Индии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Главным государственным управлением по надзору за рынком Китайской Народной Республики,</w:t>
      </w:r>
      <w:r w:rsidRPr="00DB6FCC">
        <w:rPr>
          <w:rFonts w:ascii="Times New Roman" w:eastAsia="Calibri" w:hAnsi="Times New Roman" w:cs="Times New Roman"/>
          <w:sz w:val="28"/>
          <w:szCs w:val="28"/>
        </w:rPr>
        <w:t xml:space="preserve"> Административным советом по экономической безопасности Бразилии, Министерством юстиции США, </w:t>
      </w:r>
      <w:r w:rsidRPr="00DB6FCC">
        <w:rPr>
          <w:rFonts w:ascii="Times New Roman" w:eastAsia="Calibri" w:hAnsi="Times New Roman" w:cs="Times New Roman"/>
          <w:bCs/>
          <w:sz w:val="28"/>
          <w:szCs w:val="28"/>
        </w:rPr>
        <w:t xml:space="preserve">Комиссией по конкуренции Австралии, </w:t>
      </w:r>
      <w:r w:rsidRPr="00DB6FCC">
        <w:rPr>
          <w:rFonts w:ascii="Times New Roman" w:eastAsia="Calibri" w:hAnsi="Times New Roman" w:cs="Times New Roman"/>
          <w:sz w:val="28"/>
          <w:szCs w:val="28"/>
        </w:rPr>
        <w:t>Конкурентным ведомством Саудовской Аравии.</w:t>
      </w:r>
    </w:p>
    <w:p w14:paraId="13241D81"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 xml:space="preserve">Соответствующие консультации проводились на основе полученных от участников предполагаемой сделки вейверов – отказов от конфиденциальности, что позволило </w:t>
      </w:r>
      <w:r w:rsidRPr="00DB6FCC">
        <w:rPr>
          <w:rFonts w:ascii="Times New Roman" w:eastAsia="Calibri" w:hAnsi="Times New Roman" w:cs="Times New Roman"/>
          <w:sz w:val="28"/>
          <w:szCs w:val="28"/>
        </w:rPr>
        <w:t>ФАС России и зарубежным конкурентным ведомствам осуществлять более детальный обмен информацией, в том числе конфиденциальной.</w:t>
      </w:r>
    </w:p>
    <w:p w14:paraId="6B8C8C77"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Несмотря на то, что сделка в последующем была заблокирована Европейской комиссией, необходимо отметить, что новые подходы к оценке глобальных сделок, таких как обмен информацией с зарубежными конкурентными ведомствами на основе отказов от конфиденциальности, будут являться неотъемлемой частью процесса оценки глобальной экономической концентрации в будущем.</w:t>
      </w:r>
    </w:p>
    <w:p w14:paraId="09F5B0B0" w14:textId="77777777" w:rsidR="00FC1264" w:rsidRDefault="00FC1264" w:rsidP="00FC1264">
      <w:pPr>
        <w:autoSpaceDE w:val="0"/>
        <w:autoSpaceDN w:val="0"/>
        <w:adjustRightInd w:val="0"/>
        <w:spacing w:after="0" w:line="240" w:lineRule="auto"/>
        <w:jc w:val="both"/>
      </w:pPr>
    </w:p>
    <w:p w14:paraId="3188025E" w14:textId="77777777" w:rsidR="00F23BE5" w:rsidRPr="00DB6FCC" w:rsidRDefault="00F23BE5" w:rsidP="00F23BE5">
      <w:pPr>
        <w:rPr>
          <w:sz w:val="28"/>
          <w:szCs w:val="28"/>
        </w:rPr>
      </w:pPr>
    </w:p>
    <w:p w14:paraId="49CF8CFD" w14:textId="77777777" w:rsidR="00883C8E" w:rsidRPr="00DB6FCC" w:rsidRDefault="00883C8E" w:rsidP="00DA3F05">
      <w:pPr>
        <w:pStyle w:val="3"/>
      </w:pPr>
      <w:bookmarkStart w:id="11" w:name="_Toc7447928"/>
      <w:r w:rsidRPr="00DB6FCC">
        <w:t>Инвестиционная привлекательность Российской Федерации как фактор развития конкуренции</w:t>
      </w:r>
      <w:bookmarkEnd w:id="11"/>
      <w:r w:rsidRPr="00DB6FCC">
        <w:t xml:space="preserve"> </w:t>
      </w:r>
      <w:bookmarkStart w:id="12" w:name="_Toc6834312"/>
      <w:bookmarkStart w:id="13" w:name="_Toc6834599"/>
      <w:bookmarkStart w:id="14" w:name="_Toc6834802"/>
      <w:bookmarkEnd w:id="12"/>
      <w:bookmarkEnd w:id="13"/>
      <w:bookmarkEnd w:id="14"/>
    </w:p>
    <w:p w14:paraId="3A60B2A2" w14:textId="77777777" w:rsidR="00090629" w:rsidRDefault="00090629" w:rsidP="00090629"/>
    <w:p w14:paraId="2AB1B9D5" w14:textId="69749D07" w:rsidR="00090629" w:rsidRDefault="00090629" w:rsidP="00AA69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подпунктами «г», «д» пункта 3 </w:t>
      </w:r>
      <w:r w:rsidR="00902994">
        <w:rPr>
          <w:rFonts w:ascii="Times New Roman" w:hAnsi="Times New Roman" w:cs="Times New Roman"/>
          <w:sz w:val="28"/>
          <w:szCs w:val="28"/>
        </w:rPr>
        <w:t>У</w:t>
      </w:r>
      <w:r w:rsidRPr="00091B10">
        <w:rPr>
          <w:rFonts w:ascii="Times New Roman" w:hAnsi="Times New Roman" w:cs="Times New Roman"/>
          <w:sz w:val="28"/>
          <w:szCs w:val="28"/>
        </w:rPr>
        <w:t>каз</w:t>
      </w:r>
      <w:r>
        <w:rPr>
          <w:rFonts w:ascii="Times New Roman" w:hAnsi="Times New Roman" w:cs="Times New Roman"/>
          <w:sz w:val="28"/>
          <w:szCs w:val="28"/>
        </w:rPr>
        <w:t>а</w:t>
      </w:r>
      <w:r w:rsidRPr="00091B10">
        <w:rPr>
          <w:rFonts w:ascii="Times New Roman" w:hAnsi="Times New Roman" w:cs="Times New Roman"/>
          <w:sz w:val="28"/>
          <w:szCs w:val="28"/>
        </w:rPr>
        <w:t xml:space="preserve"> </w:t>
      </w:r>
      <w:r w:rsidR="00902994">
        <w:rPr>
          <w:rFonts w:ascii="Times New Roman" w:hAnsi="Times New Roman" w:cs="Times New Roman"/>
          <w:sz w:val="28"/>
          <w:szCs w:val="28"/>
        </w:rPr>
        <w:t>№ 618</w:t>
      </w:r>
      <w:r>
        <w:rPr>
          <w:rFonts w:ascii="Times New Roman" w:hAnsi="Times New Roman" w:cs="Times New Roman"/>
          <w:sz w:val="28"/>
          <w:szCs w:val="28"/>
        </w:rPr>
        <w:t xml:space="preserve"> </w:t>
      </w:r>
      <w:r w:rsidRPr="0036459F">
        <w:rPr>
          <w:rFonts w:ascii="Times New Roman" w:hAnsi="Times New Roman" w:cs="Times New Roman"/>
          <w:sz w:val="28"/>
          <w:szCs w:val="28"/>
        </w:rPr>
        <w:t>в качестве основополагающих принципов государственной политики по развитию конкуренции</w:t>
      </w:r>
      <w:r>
        <w:rPr>
          <w:rFonts w:ascii="Times New Roman" w:hAnsi="Times New Roman" w:cs="Times New Roman"/>
          <w:sz w:val="28"/>
          <w:szCs w:val="28"/>
        </w:rPr>
        <w:t xml:space="preserve"> определены</w:t>
      </w:r>
      <w:r w:rsidR="00661845">
        <w:rPr>
          <w:rFonts w:ascii="Times New Roman" w:hAnsi="Times New Roman" w:cs="Times New Roman"/>
          <w:sz w:val="28"/>
          <w:szCs w:val="28"/>
        </w:rPr>
        <w:t>, в том числе</w:t>
      </w:r>
      <w:r>
        <w:rPr>
          <w:rFonts w:ascii="Times New Roman" w:hAnsi="Times New Roman" w:cs="Times New Roman"/>
          <w:sz w:val="28"/>
          <w:szCs w:val="28"/>
        </w:rPr>
        <w:t xml:space="preserve"> </w:t>
      </w:r>
      <w:r w:rsidRPr="0036459F">
        <w:rPr>
          <w:rFonts w:ascii="Times New Roman" w:hAnsi="Times New Roman" w:cs="Times New Roman"/>
          <w:sz w:val="28"/>
          <w:szCs w:val="28"/>
        </w:rPr>
        <w:t>направленность государственных инвестиций на развитие конкуренции</w:t>
      </w:r>
      <w:r>
        <w:rPr>
          <w:rFonts w:ascii="Times New Roman" w:hAnsi="Times New Roman" w:cs="Times New Roman"/>
          <w:sz w:val="28"/>
          <w:szCs w:val="28"/>
        </w:rPr>
        <w:t xml:space="preserve"> и </w:t>
      </w:r>
      <w:r w:rsidRPr="0036459F">
        <w:rPr>
          <w:rFonts w:ascii="Times New Roman" w:hAnsi="Times New Roman" w:cs="Times New Roman"/>
          <w:sz w:val="28"/>
          <w:szCs w:val="28"/>
        </w:rPr>
        <w:t>обеспечение условий для привлечения инвестиций хозяйствующих субъектов в развитие товарных рынков</w:t>
      </w:r>
      <w:r>
        <w:rPr>
          <w:rFonts w:ascii="Times New Roman" w:hAnsi="Times New Roman" w:cs="Times New Roman"/>
          <w:sz w:val="28"/>
          <w:szCs w:val="28"/>
        </w:rPr>
        <w:t>.</w:t>
      </w:r>
    </w:p>
    <w:p w14:paraId="7F32F711" w14:textId="77777777" w:rsidR="00090629" w:rsidRDefault="00090629" w:rsidP="00AA69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29 сентября 2018 г. Правительством Российской Федерации утверждены </w:t>
      </w:r>
      <w:r w:rsidRPr="00EF15B7">
        <w:rPr>
          <w:rFonts w:ascii="Times New Roman" w:hAnsi="Times New Roman" w:cs="Times New Roman"/>
          <w:sz w:val="28"/>
          <w:szCs w:val="28"/>
        </w:rPr>
        <w:t>Основные направления деятельности Правительства Российской Федерации на период до 2024 года</w:t>
      </w:r>
      <w:r>
        <w:rPr>
          <w:rFonts w:ascii="Times New Roman" w:hAnsi="Times New Roman" w:cs="Times New Roman"/>
          <w:sz w:val="28"/>
          <w:szCs w:val="28"/>
        </w:rPr>
        <w:t>. Одной из закрепленных в данном документе целей является в</w:t>
      </w:r>
      <w:r w:rsidRPr="00EF15B7">
        <w:rPr>
          <w:rFonts w:ascii="Times New Roman" w:hAnsi="Times New Roman" w:cs="Times New Roman"/>
          <w:sz w:val="28"/>
          <w:szCs w:val="28"/>
        </w:rPr>
        <w:t>хождение Российской Фе</w:t>
      </w:r>
      <w:r>
        <w:rPr>
          <w:rFonts w:ascii="Times New Roman" w:hAnsi="Times New Roman" w:cs="Times New Roman"/>
          <w:sz w:val="28"/>
          <w:szCs w:val="28"/>
        </w:rPr>
        <w:t xml:space="preserve">дерации в число пяти крупнейших </w:t>
      </w:r>
      <w:r w:rsidRPr="00EF15B7">
        <w:rPr>
          <w:rFonts w:ascii="Times New Roman" w:hAnsi="Times New Roman" w:cs="Times New Roman"/>
          <w:sz w:val="28"/>
          <w:szCs w:val="28"/>
        </w:rPr>
        <w:t>экономик мира, обеспечение т</w:t>
      </w:r>
      <w:r>
        <w:rPr>
          <w:rFonts w:ascii="Times New Roman" w:hAnsi="Times New Roman" w:cs="Times New Roman"/>
          <w:sz w:val="28"/>
          <w:szCs w:val="28"/>
        </w:rPr>
        <w:t xml:space="preserve">емпов экономического роста выше </w:t>
      </w:r>
      <w:r w:rsidRPr="00EF15B7">
        <w:rPr>
          <w:rFonts w:ascii="Times New Roman" w:hAnsi="Times New Roman" w:cs="Times New Roman"/>
          <w:sz w:val="28"/>
          <w:szCs w:val="28"/>
        </w:rPr>
        <w:t>мировых при сохранении м</w:t>
      </w:r>
      <w:r>
        <w:rPr>
          <w:rFonts w:ascii="Times New Roman" w:hAnsi="Times New Roman" w:cs="Times New Roman"/>
          <w:sz w:val="28"/>
          <w:szCs w:val="28"/>
        </w:rPr>
        <w:t xml:space="preserve">акроэкономической стабильности, </w:t>
      </w:r>
      <w:r w:rsidRPr="00EF15B7">
        <w:rPr>
          <w:rFonts w:ascii="Times New Roman" w:hAnsi="Times New Roman" w:cs="Times New Roman"/>
          <w:sz w:val="28"/>
          <w:szCs w:val="28"/>
        </w:rPr>
        <w:t>в том числе инфляции на уровне, не превышающем 4 процентов</w:t>
      </w:r>
      <w:r>
        <w:rPr>
          <w:rFonts w:ascii="Times New Roman" w:hAnsi="Times New Roman" w:cs="Times New Roman"/>
          <w:sz w:val="28"/>
          <w:szCs w:val="28"/>
        </w:rPr>
        <w:t>.</w:t>
      </w:r>
    </w:p>
    <w:p w14:paraId="613D4D72" w14:textId="153C76BB" w:rsidR="00090629" w:rsidRDefault="00090629" w:rsidP="00AA69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одного из механизмов реализации данной цели предусмотрено повышение качества инвестиций в основной капитал </w:t>
      </w:r>
      <w:r>
        <w:rPr>
          <w:rFonts w:ascii="Times New Roman" w:hAnsi="Times New Roman" w:cs="Times New Roman"/>
          <w:sz w:val="28"/>
          <w:szCs w:val="28"/>
        </w:rPr>
        <w:br/>
        <w:t>и увеличение</w:t>
      </w:r>
      <w:r w:rsidRPr="00EF15B7">
        <w:rPr>
          <w:rFonts w:ascii="Times New Roman" w:hAnsi="Times New Roman" w:cs="Times New Roman"/>
          <w:sz w:val="28"/>
          <w:szCs w:val="28"/>
        </w:rPr>
        <w:t xml:space="preserve"> их о</w:t>
      </w:r>
      <w:r>
        <w:rPr>
          <w:rFonts w:ascii="Times New Roman" w:hAnsi="Times New Roman" w:cs="Times New Roman"/>
          <w:sz w:val="28"/>
          <w:szCs w:val="28"/>
        </w:rPr>
        <w:t xml:space="preserve">бъема до 25 процентов доли в </w:t>
      </w:r>
      <w:r w:rsidR="00661845">
        <w:rPr>
          <w:rFonts w:ascii="Times New Roman" w:hAnsi="Times New Roman" w:cs="Times New Roman"/>
          <w:sz w:val="28"/>
          <w:szCs w:val="28"/>
        </w:rPr>
        <w:t>ВВП</w:t>
      </w:r>
      <w:r>
        <w:rPr>
          <w:rFonts w:ascii="Times New Roman" w:hAnsi="Times New Roman" w:cs="Times New Roman"/>
          <w:sz w:val="28"/>
          <w:szCs w:val="28"/>
        </w:rPr>
        <w:t>. Так, в указанном документе закреплено, что в</w:t>
      </w:r>
      <w:r w:rsidRPr="005A4C95">
        <w:rPr>
          <w:rFonts w:ascii="Times New Roman" w:hAnsi="Times New Roman" w:cs="Times New Roman"/>
          <w:sz w:val="28"/>
          <w:szCs w:val="28"/>
        </w:rPr>
        <w:t xml:space="preserve"> целях увеличения эффективной инвестиционной активности Правительством Российской Федерации совместно с Банком России будет реализован план действий по ускорению темпов роста инвестиций в основной капитал и повышению до 25 процентов их доли в ВВП. План предполагает реализацию проектов инфраструктурного строительства с привлечением средств частных инвесторов и создание условий для роста инвестиционной активности частного сектора.</w:t>
      </w:r>
    </w:p>
    <w:p w14:paraId="07D0FB70" w14:textId="77777777" w:rsidR="00090629" w:rsidRDefault="00090629" w:rsidP="00AA692C">
      <w:pPr>
        <w:spacing w:after="0" w:line="240" w:lineRule="auto"/>
        <w:ind w:firstLine="709"/>
        <w:jc w:val="both"/>
        <w:rPr>
          <w:rFonts w:ascii="Times New Roman" w:hAnsi="Times New Roman" w:cs="Times New Roman"/>
          <w:sz w:val="28"/>
          <w:szCs w:val="28"/>
        </w:rPr>
      </w:pPr>
      <w:r w:rsidRPr="00977F8D">
        <w:rPr>
          <w:rFonts w:ascii="Times New Roman" w:hAnsi="Times New Roman" w:cs="Times New Roman"/>
          <w:sz w:val="28"/>
          <w:szCs w:val="28"/>
        </w:rPr>
        <w:t>Основываясь на статистических данных, размещенных на официальном сайте Банка России</w:t>
      </w:r>
      <w:r w:rsidRPr="00977F8D">
        <w:rPr>
          <w:rFonts w:ascii="Times New Roman" w:hAnsi="Times New Roman" w:cs="Times New Roman"/>
          <w:sz w:val="28"/>
          <w:szCs w:val="28"/>
          <w:vertAlign w:val="superscript"/>
        </w:rPr>
        <w:footnoteReference w:id="10"/>
      </w:r>
      <w:r w:rsidRPr="00977F8D">
        <w:rPr>
          <w:rFonts w:ascii="Times New Roman" w:hAnsi="Times New Roman" w:cs="Times New Roman"/>
          <w:sz w:val="28"/>
          <w:szCs w:val="28"/>
        </w:rPr>
        <w:t xml:space="preserve">, начиная с введения </w:t>
      </w:r>
      <w:r>
        <w:rPr>
          <w:rFonts w:ascii="Times New Roman" w:hAnsi="Times New Roman" w:cs="Times New Roman"/>
          <w:sz w:val="28"/>
          <w:szCs w:val="28"/>
        </w:rPr>
        <w:t>в 2014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зарубежными странами </w:t>
      </w:r>
      <w:r w:rsidRPr="00977F8D">
        <w:rPr>
          <w:rFonts w:ascii="Times New Roman" w:hAnsi="Times New Roman" w:cs="Times New Roman"/>
          <w:sz w:val="28"/>
          <w:szCs w:val="28"/>
        </w:rPr>
        <w:t>торговых ограничений в отношении российской экономики и</w:t>
      </w:r>
      <w:r>
        <w:rPr>
          <w:rFonts w:ascii="Times New Roman" w:hAnsi="Times New Roman" w:cs="Times New Roman"/>
          <w:sz w:val="28"/>
          <w:szCs w:val="28"/>
        </w:rPr>
        <w:t xml:space="preserve"> </w:t>
      </w:r>
      <w:r w:rsidRPr="00977F8D">
        <w:rPr>
          <w:rFonts w:ascii="Times New Roman" w:hAnsi="Times New Roman" w:cs="Times New Roman"/>
          <w:sz w:val="28"/>
          <w:szCs w:val="28"/>
        </w:rPr>
        <w:t xml:space="preserve">отдельных российских юридических либо физических лиц, приток иностранных инвестиций </w:t>
      </w:r>
      <w:r>
        <w:rPr>
          <w:rFonts w:ascii="Times New Roman" w:hAnsi="Times New Roman" w:cs="Times New Roman"/>
          <w:sz w:val="28"/>
          <w:szCs w:val="28"/>
        </w:rPr>
        <w:t xml:space="preserve">в экономику Российской Федерации существенно сократился по сравнению с 2014 г., когда в российскую экономику поступило иностранных инвестиций на сумму 74,8 млрд. долларов США: в 2015 г. приток иностранных инвестиций  составил </w:t>
      </w:r>
      <w:r w:rsidRPr="00977F8D">
        <w:rPr>
          <w:rFonts w:ascii="Times New Roman" w:hAnsi="Times New Roman" w:cs="Times New Roman"/>
          <w:sz w:val="28"/>
          <w:szCs w:val="28"/>
        </w:rPr>
        <w:t>6,9 млр</w:t>
      </w:r>
      <w:r>
        <w:rPr>
          <w:rFonts w:ascii="Times New Roman" w:hAnsi="Times New Roman" w:cs="Times New Roman"/>
          <w:sz w:val="28"/>
          <w:szCs w:val="28"/>
        </w:rPr>
        <w:t>д. долларов США, в 2016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7F8D">
        <w:rPr>
          <w:rFonts w:ascii="Times New Roman" w:hAnsi="Times New Roman" w:cs="Times New Roman"/>
          <w:sz w:val="28"/>
          <w:szCs w:val="28"/>
        </w:rPr>
        <w:t>32,5</w:t>
      </w:r>
      <w:r>
        <w:rPr>
          <w:rFonts w:ascii="Times New Roman" w:hAnsi="Times New Roman" w:cs="Times New Roman"/>
          <w:sz w:val="28"/>
          <w:szCs w:val="28"/>
        </w:rPr>
        <w:t xml:space="preserve"> млрд. долларов США, в 2017 г.</w:t>
      </w:r>
      <w:r w:rsidRPr="00977F8D">
        <w:rPr>
          <w:rFonts w:ascii="Times New Roman" w:hAnsi="Times New Roman" w:cs="Times New Roman"/>
          <w:sz w:val="28"/>
          <w:szCs w:val="28"/>
        </w:rPr>
        <w:t xml:space="preserve"> - 28,5 млрд. долларов США. </w:t>
      </w:r>
    </w:p>
    <w:p w14:paraId="774AB62D" w14:textId="77777777" w:rsidR="00090629" w:rsidRPr="00977F8D" w:rsidRDefault="00090629" w:rsidP="00AA69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первых шести месяцев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в российскую экономику было привлечено иностранных инвестиций на сумму </w:t>
      </w:r>
      <w:r w:rsidRPr="00977F8D">
        <w:rPr>
          <w:rFonts w:ascii="Times New Roman" w:hAnsi="Times New Roman" w:cs="Times New Roman"/>
          <w:sz w:val="28"/>
          <w:szCs w:val="28"/>
        </w:rPr>
        <w:t>10,2 млрд. долларов США</w:t>
      </w:r>
      <w:r w:rsidRPr="00977F8D">
        <w:rPr>
          <w:rFonts w:ascii="Times New Roman" w:hAnsi="Times New Roman" w:cs="Times New Roman"/>
          <w:sz w:val="28"/>
          <w:szCs w:val="28"/>
          <w:vertAlign w:val="superscript"/>
        </w:rPr>
        <w:footnoteReference w:id="11"/>
      </w:r>
      <w:r w:rsidRPr="00977F8D">
        <w:rPr>
          <w:rFonts w:ascii="Times New Roman" w:hAnsi="Times New Roman" w:cs="Times New Roman"/>
          <w:sz w:val="28"/>
          <w:szCs w:val="28"/>
        </w:rPr>
        <w:t xml:space="preserve">. </w:t>
      </w:r>
      <w:r>
        <w:rPr>
          <w:rFonts w:ascii="Times New Roman" w:hAnsi="Times New Roman" w:cs="Times New Roman"/>
          <w:sz w:val="28"/>
          <w:szCs w:val="28"/>
        </w:rPr>
        <w:br/>
      </w:r>
      <w:r w:rsidRPr="00977F8D">
        <w:rPr>
          <w:rFonts w:ascii="Times New Roman" w:hAnsi="Times New Roman" w:cs="Times New Roman"/>
          <w:sz w:val="28"/>
          <w:szCs w:val="28"/>
        </w:rPr>
        <w:t xml:space="preserve">В </w:t>
      </w:r>
      <w:r w:rsidRPr="0062489B">
        <w:rPr>
          <w:rFonts w:ascii="Times New Roman" w:hAnsi="Times New Roman" w:cs="Times New Roman"/>
          <w:sz w:val="28"/>
          <w:szCs w:val="28"/>
        </w:rPr>
        <w:t>третьем</w:t>
      </w:r>
      <w:r>
        <w:rPr>
          <w:rFonts w:ascii="Times New Roman" w:hAnsi="Times New Roman" w:cs="Times New Roman"/>
          <w:sz w:val="28"/>
          <w:szCs w:val="28"/>
        </w:rPr>
        <w:t xml:space="preserve"> квартале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Банком России </w:t>
      </w:r>
      <w:r w:rsidRPr="00977F8D">
        <w:rPr>
          <w:rFonts w:ascii="Times New Roman" w:hAnsi="Times New Roman" w:cs="Times New Roman"/>
          <w:sz w:val="28"/>
          <w:szCs w:val="28"/>
        </w:rPr>
        <w:t>был зафиксирован максимальный отток прямых иностранных инвестиций из</w:t>
      </w:r>
      <w:r>
        <w:rPr>
          <w:rFonts w:ascii="Times New Roman" w:hAnsi="Times New Roman" w:cs="Times New Roman"/>
          <w:sz w:val="28"/>
          <w:szCs w:val="28"/>
        </w:rPr>
        <w:t xml:space="preserve"> России, который составил 4,2 млрд</w:t>
      </w:r>
      <w:r w:rsidRPr="00977F8D">
        <w:rPr>
          <w:rFonts w:ascii="Times New Roman" w:hAnsi="Times New Roman" w:cs="Times New Roman"/>
          <w:sz w:val="28"/>
          <w:szCs w:val="28"/>
        </w:rPr>
        <w:t>. долларов США. Причиной столь резкого снижения привлекательности инвестиций в Российскую</w:t>
      </w:r>
      <w:r>
        <w:rPr>
          <w:rFonts w:ascii="Times New Roman" w:hAnsi="Times New Roman" w:cs="Times New Roman"/>
          <w:sz w:val="28"/>
          <w:szCs w:val="28"/>
        </w:rPr>
        <w:t xml:space="preserve"> Федерацию послужило введение Соединенными Штатами Америки дополнительных торговых ограничений в отношении отдельных секторов российской экономики и отдельных российских юридических и физических лиц </w:t>
      </w:r>
      <w:r w:rsidRPr="00977F8D">
        <w:rPr>
          <w:rFonts w:ascii="Times New Roman" w:hAnsi="Times New Roman" w:cs="Times New Roman"/>
          <w:sz w:val="28"/>
          <w:szCs w:val="28"/>
        </w:rPr>
        <w:t xml:space="preserve">во </w:t>
      </w:r>
      <w:r>
        <w:rPr>
          <w:rFonts w:ascii="Times New Roman" w:hAnsi="Times New Roman" w:cs="Times New Roman"/>
          <w:sz w:val="28"/>
          <w:szCs w:val="28"/>
        </w:rPr>
        <w:t>втором и третьем кварталах 2018 г</w:t>
      </w:r>
      <w:r w:rsidRPr="00977F8D">
        <w:rPr>
          <w:rFonts w:ascii="Times New Roman" w:hAnsi="Times New Roman" w:cs="Times New Roman"/>
          <w:sz w:val="28"/>
          <w:szCs w:val="28"/>
        </w:rPr>
        <w:t xml:space="preserve">. </w:t>
      </w:r>
    </w:p>
    <w:p w14:paraId="083BC8EC" w14:textId="77777777" w:rsidR="00090629" w:rsidRPr="00977F8D" w:rsidRDefault="00090629" w:rsidP="00AA692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то же время </w:t>
      </w:r>
      <w:r w:rsidRPr="00977F8D">
        <w:rPr>
          <w:rFonts w:ascii="Times New Roman" w:hAnsi="Times New Roman" w:cs="Times New Roman"/>
          <w:bCs/>
          <w:sz w:val="28"/>
          <w:szCs w:val="28"/>
        </w:rPr>
        <w:t xml:space="preserve">следует отметить </w:t>
      </w:r>
      <w:r>
        <w:rPr>
          <w:rFonts w:ascii="Times New Roman" w:hAnsi="Times New Roman" w:cs="Times New Roman"/>
          <w:bCs/>
          <w:sz w:val="28"/>
          <w:szCs w:val="28"/>
        </w:rPr>
        <w:t xml:space="preserve">положительную </w:t>
      </w:r>
      <w:r w:rsidRPr="00977F8D">
        <w:rPr>
          <w:rFonts w:ascii="Times New Roman" w:hAnsi="Times New Roman" w:cs="Times New Roman"/>
          <w:bCs/>
          <w:sz w:val="28"/>
          <w:szCs w:val="28"/>
        </w:rPr>
        <w:t xml:space="preserve">динамику позиций </w:t>
      </w:r>
      <w:r>
        <w:rPr>
          <w:rFonts w:ascii="Times New Roman" w:hAnsi="Times New Roman" w:cs="Times New Roman"/>
          <w:bCs/>
          <w:sz w:val="28"/>
          <w:szCs w:val="28"/>
        </w:rPr>
        <w:t>России в международных инвестиционных рейтингах</w:t>
      </w:r>
      <w:r w:rsidRPr="00977F8D">
        <w:rPr>
          <w:rFonts w:ascii="Times New Roman" w:hAnsi="Times New Roman" w:cs="Times New Roman"/>
          <w:bCs/>
          <w:sz w:val="28"/>
          <w:szCs w:val="28"/>
        </w:rPr>
        <w:t xml:space="preserve">. </w:t>
      </w:r>
      <w:r>
        <w:rPr>
          <w:rFonts w:ascii="Times New Roman" w:hAnsi="Times New Roman" w:cs="Times New Roman"/>
          <w:sz w:val="28"/>
          <w:szCs w:val="28"/>
        </w:rPr>
        <w:t xml:space="preserve">Так, </w:t>
      </w:r>
      <w:r w:rsidRPr="00977F8D">
        <w:rPr>
          <w:rFonts w:ascii="Times New Roman" w:hAnsi="Times New Roman" w:cs="Times New Roman"/>
          <w:sz w:val="28"/>
          <w:szCs w:val="28"/>
        </w:rPr>
        <w:t>Международное рейтинговое агентство Standard &amp; Poor’s (S&amp;P)</w:t>
      </w:r>
      <w:r w:rsidRPr="00977F8D">
        <w:rPr>
          <w:rFonts w:ascii="Times New Roman" w:hAnsi="Times New Roman" w:cs="Times New Roman"/>
          <w:sz w:val="28"/>
          <w:szCs w:val="28"/>
          <w:vertAlign w:val="superscript"/>
        </w:rPr>
        <w:footnoteReference w:id="12"/>
      </w:r>
      <w:r w:rsidRPr="00977F8D">
        <w:rPr>
          <w:rFonts w:ascii="Times New Roman" w:hAnsi="Times New Roman" w:cs="Times New Roman"/>
          <w:sz w:val="28"/>
          <w:szCs w:val="28"/>
        </w:rPr>
        <w:t xml:space="preserve"> </w:t>
      </w:r>
      <w:r>
        <w:rPr>
          <w:rFonts w:ascii="Times New Roman" w:hAnsi="Times New Roman" w:cs="Times New Roman"/>
          <w:sz w:val="28"/>
          <w:szCs w:val="28"/>
        </w:rPr>
        <w:t>оценивает кредитный рейтинг Российской Федерации как стабильный (</w:t>
      </w:r>
      <w:r w:rsidRPr="00977F8D">
        <w:rPr>
          <w:rFonts w:ascii="Times New Roman" w:hAnsi="Times New Roman" w:cs="Times New Roman"/>
          <w:sz w:val="28"/>
          <w:szCs w:val="28"/>
        </w:rPr>
        <w:t>«BBB-»</w:t>
      </w:r>
      <w:r>
        <w:rPr>
          <w:rFonts w:ascii="Times New Roman" w:hAnsi="Times New Roman" w:cs="Times New Roman"/>
          <w:sz w:val="28"/>
          <w:szCs w:val="28"/>
        </w:rPr>
        <w:t>)</w:t>
      </w:r>
      <w:r w:rsidRPr="00977F8D">
        <w:rPr>
          <w:rFonts w:ascii="Times New Roman" w:hAnsi="Times New Roman" w:cs="Times New Roman"/>
          <w:sz w:val="28"/>
          <w:szCs w:val="28"/>
        </w:rPr>
        <w:t>.</w:t>
      </w:r>
    </w:p>
    <w:p w14:paraId="7897C0DA" w14:textId="77777777" w:rsidR="00090629" w:rsidRDefault="00090629" w:rsidP="00AA69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свою очередь, </w:t>
      </w:r>
      <w:r w:rsidRPr="00977F8D">
        <w:rPr>
          <w:rFonts w:ascii="Times New Roman" w:hAnsi="Times New Roman" w:cs="Times New Roman"/>
          <w:sz w:val="28"/>
          <w:szCs w:val="28"/>
        </w:rPr>
        <w:t>Международное рейтинговое агент</w:t>
      </w:r>
      <w:r>
        <w:rPr>
          <w:rFonts w:ascii="Times New Roman" w:hAnsi="Times New Roman" w:cs="Times New Roman"/>
          <w:sz w:val="28"/>
          <w:szCs w:val="28"/>
        </w:rPr>
        <w:t xml:space="preserve">ство Moody's </w:t>
      </w:r>
      <w:r>
        <w:rPr>
          <w:rFonts w:ascii="Times New Roman" w:hAnsi="Times New Roman" w:cs="Times New Roman"/>
          <w:sz w:val="28"/>
          <w:szCs w:val="28"/>
        </w:rPr>
        <w:br/>
        <w:t>9 февраля 2019 г.</w:t>
      </w:r>
      <w:r w:rsidRPr="00977F8D">
        <w:rPr>
          <w:rFonts w:ascii="Times New Roman" w:hAnsi="Times New Roman" w:cs="Times New Roman"/>
          <w:sz w:val="28"/>
          <w:szCs w:val="28"/>
        </w:rPr>
        <w:t xml:space="preserve"> повысило суверенный кредитный рейтинг России до инвестиционного уровня </w:t>
      </w:r>
      <w:r>
        <w:rPr>
          <w:rFonts w:ascii="Times New Roman" w:hAnsi="Times New Roman" w:cs="Times New Roman"/>
          <w:sz w:val="28"/>
          <w:szCs w:val="28"/>
        </w:rPr>
        <w:t>(</w:t>
      </w:r>
      <w:r w:rsidRPr="00977F8D">
        <w:rPr>
          <w:rFonts w:ascii="Times New Roman" w:hAnsi="Times New Roman" w:cs="Times New Roman"/>
          <w:sz w:val="28"/>
          <w:szCs w:val="28"/>
        </w:rPr>
        <w:t>«Baa3»</w:t>
      </w:r>
      <w:r>
        <w:rPr>
          <w:rFonts w:ascii="Times New Roman" w:hAnsi="Times New Roman" w:cs="Times New Roman"/>
          <w:sz w:val="28"/>
          <w:szCs w:val="28"/>
        </w:rPr>
        <w:t>)</w:t>
      </w:r>
      <w:r w:rsidRPr="00977F8D">
        <w:rPr>
          <w:rFonts w:ascii="Times New Roman" w:hAnsi="Times New Roman" w:cs="Times New Roman"/>
          <w:sz w:val="28"/>
          <w:szCs w:val="28"/>
        </w:rPr>
        <w:t xml:space="preserve">. </w:t>
      </w:r>
    </w:p>
    <w:p w14:paraId="70CE5118" w14:textId="77777777" w:rsidR="00090629" w:rsidRPr="009A4927" w:rsidRDefault="00090629" w:rsidP="00AA69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Важным критерием для оценки уровня инвестиционной привлекательности страны является уровень защищенности и гарантии прав иностранных инвесторов. Согласно положениям статьи 5 Федерального</w:t>
      </w:r>
      <w:r w:rsidRPr="009A4927">
        <w:rPr>
          <w:rFonts w:ascii="Times New Roman" w:hAnsi="Times New Roman" w:cs="Times New Roman"/>
          <w:sz w:val="28"/>
          <w:szCs w:val="28"/>
        </w:rPr>
        <w:t xml:space="preserve"> закон</w:t>
      </w:r>
      <w:r>
        <w:rPr>
          <w:rFonts w:ascii="Times New Roman" w:hAnsi="Times New Roman" w:cs="Times New Roman"/>
          <w:sz w:val="28"/>
          <w:szCs w:val="28"/>
        </w:rPr>
        <w:t>а от 09.07.1999 № 160-ФЗ «</w:t>
      </w:r>
      <w:r w:rsidRPr="009A4927">
        <w:rPr>
          <w:rFonts w:ascii="Times New Roman" w:hAnsi="Times New Roman" w:cs="Times New Roman"/>
          <w:sz w:val="28"/>
          <w:szCs w:val="28"/>
        </w:rPr>
        <w:t>Об иностранных инвестициях в Рос</w:t>
      </w:r>
      <w:r>
        <w:rPr>
          <w:rFonts w:ascii="Times New Roman" w:hAnsi="Times New Roman" w:cs="Times New Roman"/>
          <w:sz w:val="28"/>
          <w:szCs w:val="28"/>
        </w:rPr>
        <w:t>сийской Федерации» (далее - Закон № 160-ФЗ) и</w:t>
      </w:r>
      <w:r w:rsidRPr="00387F01">
        <w:rPr>
          <w:rFonts w:ascii="Times New Roman" w:hAnsi="Times New Roman" w:cs="Times New Roman"/>
          <w:sz w:val="28"/>
          <w:szCs w:val="28"/>
        </w:rPr>
        <w:t xml:space="preserve">ностранному инвестору на территории </w:t>
      </w:r>
      <w:r>
        <w:rPr>
          <w:rFonts w:ascii="Times New Roman" w:hAnsi="Times New Roman" w:cs="Times New Roman"/>
          <w:sz w:val="28"/>
          <w:szCs w:val="28"/>
        </w:rPr>
        <w:t xml:space="preserve">России </w:t>
      </w:r>
      <w:r w:rsidRPr="00387F01">
        <w:rPr>
          <w:rFonts w:ascii="Times New Roman" w:hAnsi="Times New Roman" w:cs="Times New Roman"/>
          <w:sz w:val="28"/>
          <w:szCs w:val="28"/>
        </w:rPr>
        <w:t>предоставляется полная и безу</w:t>
      </w:r>
      <w:r>
        <w:rPr>
          <w:rFonts w:ascii="Times New Roman" w:hAnsi="Times New Roman" w:cs="Times New Roman"/>
          <w:sz w:val="28"/>
          <w:szCs w:val="28"/>
        </w:rPr>
        <w:t>словная защита его прав и интересов. Кроме того, и</w:t>
      </w:r>
      <w:r w:rsidRPr="00387F01">
        <w:rPr>
          <w:rFonts w:ascii="Times New Roman" w:hAnsi="Times New Roman" w:cs="Times New Roman"/>
          <w:sz w:val="28"/>
          <w:szCs w:val="28"/>
        </w:rPr>
        <w:t>ностранный инвестор имеет право на возмещение убытков, причиненных ему в результате незаконных действий (бездействия) государственных органов, органов местного самоуправления или должностных лиц этих органов, в соответствии с гражданским законодательством Российской Федерации.</w:t>
      </w:r>
    </w:p>
    <w:p w14:paraId="360A071F" w14:textId="77777777" w:rsidR="00090629" w:rsidRDefault="00090629" w:rsidP="00AA69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Предоставляя гарантии защищенности вложений иностранных инвесторов, государству в то же время необходимо обеспечить эффективный контроль за экономической концентрацией, а также за осуществлением иностранных инвестиций в российские хозяйственные общества, имеющие стратегическое значение для обеспечения обороны страны и безопасности государства (далее - стратегическое общество). </w:t>
      </w:r>
    </w:p>
    <w:p w14:paraId="39BFFE6A" w14:textId="3D830AC1" w:rsidR="00090629" w:rsidRDefault="00090629" w:rsidP="00AA69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w:t>
      </w:r>
      <w:r w:rsidR="00881B4B">
        <w:rPr>
          <w:rFonts w:ascii="Times New Roman" w:hAnsi="Times New Roman" w:cs="Times New Roman"/>
          <w:sz w:val="28"/>
          <w:szCs w:val="28"/>
        </w:rPr>
        <w:t>,</w:t>
      </w:r>
      <w:r>
        <w:rPr>
          <w:rFonts w:ascii="Times New Roman" w:hAnsi="Times New Roman" w:cs="Times New Roman"/>
          <w:sz w:val="28"/>
          <w:szCs w:val="28"/>
        </w:rPr>
        <w:t xml:space="preserve"> следует учитывать текущую геополитическую ситуацию и необходимость достижения баланса между возможными рисками для российских предприятий, находящихся под контролем иностранных инвесторов, в случае введения «санкций», соблюдение которых </w:t>
      </w:r>
      <w:r>
        <w:rPr>
          <w:rFonts w:ascii="Times New Roman" w:hAnsi="Times New Roman" w:cs="Times New Roman"/>
          <w:sz w:val="28"/>
          <w:szCs w:val="28"/>
        </w:rPr>
        <w:br/>
        <w:t xml:space="preserve">создает ограничения их деятельности, и безусловными позитивными эффектами для экономики, которые сопровождают приток иностранных инвестиций (передача передовых технологий и «ноу-хау», создание новых рабочих мест и тд.). </w:t>
      </w:r>
    </w:p>
    <w:p w14:paraId="158FED4B" w14:textId="77777777" w:rsidR="00090629" w:rsidRDefault="00090629" w:rsidP="00AA69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как и многие зарубежные страны, применяет особый правовой режим осуществления иностранных инвестиций </w:t>
      </w:r>
      <w:r>
        <w:rPr>
          <w:rFonts w:ascii="Times New Roman" w:hAnsi="Times New Roman" w:cs="Times New Roman"/>
          <w:sz w:val="28"/>
          <w:szCs w:val="28"/>
        </w:rPr>
        <w:br/>
        <w:t xml:space="preserve">в стратегические общества. </w:t>
      </w:r>
    </w:p>
    <w:p w14:paraId="4D8F2658" w14:textId="77777777" w:rsidR="00090629" w:rsidRPr="00183E1F" w:rsidRDefault="00090629" w:rsidP="00AA69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особенностей такого режима является синергия полномочий ФАС России как антимонопольного органа, осуществляющего контроль </w:t>
      </w:r>
      <w:r>
        <w:rPr>
          <w:rFonts w:ascii="Times New Roman" w:hAnsi="Times New Roman" w:cs="Times New Roman"/>
          <w:sz w:val="28"/>
          <w:szCs w:val="28"/>
        </w:rPr>
        <w:br/>
        <w:t xml:space="preserve">за экономической концентрацией на основании Закона о защите </w:t>
      </w:r>
      <w:r>
        <w:rPr>
          <w:rFonts w:ascii="Times New Roman" w:hAnsi="Times New Roman" w:cs="Times New Roman"/>
          <w:sz w:val="28"/>
          <w:szCs w:val="28"/>
        </w:rPr>
        <w:br/>
        <w:t xml:space="preserve">конкуренции, и как </w:t>
      </w:r>
      <w:r>
        <w:rPr>
          <w:rFonts w:ascii="Times New Roman" w:hAnsi="Times New Roman" w:cs="Times New Roman"/>
          <w:sz w:val="28"/>
          <w:szCs w:val="28"/>
          <w:lang w:eastAsia="ar-SA"/>
        </w:rPr>
        <w:t>федерального органа</w:t>
      </w:r>
      <w:r w:rsidRPr="00AC53B0">
        <w:rPr>
          <w:rFonts w:ascii="Times New Roman" w:hAnsi="Times New Roman" w:cs="Times New Roman"/>
          <w:sz w:val="28"/>
          <w:szCs w:val="28"/>
          <w:lang w:eastAsia="ar-SA"/>
        </w:rPr>
        <w:t xml:space="preserve"> испол</w:t>
      </w:r>
      <w:r>
        <w:rPr>
          <w:rFonts w:ascii="Times New Roman" w:hAnsi="Times New Roman" w:cs="Times New Roman"/>
          <w:sz w:val="28"/>
          <w:szCs w:val="28"/>
          <w:lang w:eastAsia="ar-SA"/>
        </w:rPr>
        <w:t>нительной власти, уполномоченного</w:t>
      </w:r>
      <w:r w:rsidRPr="00AC53B0">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в соответствии </w:t>
      </w:r>
      <w:r w:rsidRPr="00AC53B0">
        <w:rPr>
          <w:rFonts w:ascii="Times New Roman" w:hAnsi="Times New Roman" w:cs="Times New Roman"/>
          <w:sz w:val="28"/>
          <w:szCs w:val="28"/>
          <w:lang w:eastAsia="ar-SA"/>
        </w:rPr>
        <w:t>с постановлением Правительства Российской Федерации от 06.07.2008 № 510 на выполнение функций по контролю за осуществлением иностранных ин</w:t>
      </w:r>
      <w:r>
        <w:rPr>
          <w:rFonts w:ascii="Times New Roman" w:hAnsi="Times New Roman" w:cs="Times New Roman"/>
          <w:sz w:val="28"/>
          <w:szCs w:val="28"/>
          <w:lang w:eastAsia="ar-SA"/>
        </w:rPr>
        <w:t xml:space="preserve">вестиций в Российской Федерации и осуществление информационно-аналитического обеспечения деятельности Правительственной комиссии </w:t>
      </w:r>
      <w:r w:rsidRPr="00183E1F">
        <w:rPr>
          <w:rFonts w:ascii="Times New Roman" w:hAnsi="Times New Roman" w:cs="Times New Roman"/>
          <w:sz w:val="28"/>
          <w:szCs w:val="28"/>
          <w:lang w:eastAsia="ar-SA"/>
        </w:rPr>
        <w:t xml:space="preserve"> </w:t>
      </w:r>
      <w:r>
        <w:rPr>
          <w:rFonts w:ascii="Times New Roman" w:hAnsi="Times New Roman" w:cs="Times New Roman"/>
          <w:bCs/>
          <w:sz w:val="28"/>
          <w:szCs w:val="28"/>
          <w:lang w:eastAsia="ar-SA"/>
        </w:rPr>
        <w:t xml:space="preserve">по </w:t>
      </w:r>
      <w:r w:rsidRPr="00183E1F">
        <w:rPr>
          <w:rFonts w:ascii="Times New Roman" w:hAnsi="Times New Roman" w:cs="Times New Roman"/>
          <w:bCs/>
          <w:sz w:val="28"/>
          <w:szCs w:val="28"/>
          <w:lang w:eastAsia="ar-SA"/>
        </w:rPr>
        <w:t>контролю за осуществлением иностранных инвестиций в Российской Федерации</w:t>
      </w:r>
      <w:r>
        <w:rPr>
          <w:rFonts w:ascii="Times New Roman" w:hAnsi="Times New Roman" w:cs="Times New Roman"/>
          <w:bCs/>
          <w:sz w:val="28"/>
          <w:szCs w:val="28"/>
          <w:lang w:eastAsia="ar-SA"/>
        </w:rPr>
        <w:t xml:space="preserve"> (далее - Комиссия). </w:t>
      </w:r>
    </w:p>
    <w:p w14:paraId="07BEDE7B" w14:textId="77777777" w:rsidR="00090629" w:rsidRDefault="00090629" w:rsidP="00AA692C">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Основным нормативным правовым актом, определяющим порядок осуществления иностранных инвестиций в Российской Федерации, является </w:t>
      </w:r>
      <w:r w:rsidRPr="00AC53B0">
        <w:rPr>
          <w:rFonts w:ascii="Times New Roman" w:hAnsi="Times New Roman" w:cs="Times New Roman"/>
          <w:sz w:val="28"/>
          <w:szCs w:val="28"/>
          <w:lang w:eastAsia="ar-SA"/>
        </w:rPr>
        <w:t>Федеральный закон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w:t>
      </w:r>
      <w:r>
        <w:rPr>
          <w:rFonts w:ascii="Times New Roman" w:hAnsi="Times New Roman" w:cs="Times New Roman"/>
          <w:sz w:val="28"/>
          <w:szCs w:val="28"/>
          <w:lang w:eastAsia="ar-SA"/>
        </w:rPr>
        <w:t>зопасности государства» (далее -</w:t>
      </w:r>
      <w:r w:rsidRPr="00AC53B0">
        <w:rPr>
          <w:rFonts w:ascii="Times New Roman" w:hAnsi="Times New Roman" w:cs="Times New Roman"/>
          <w:sz w:val="28"/>
          <w:szCs w:val="28"/>
          <w:lang w:eastAsia="ar-SA"/>
        </w:rPr>
        <w:t xml:space="preserve"> Закон № 57-ФЗ). </w:t>
      </w:r>
    </w:p>
    <w:p w14:paraId="4069C65D" w14:textId="77777777" w:rsidR="00090629" w:rsidRPr="00DD5201" w:rsidRDefault="00090629" w:rsidP="00AA692C">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Закон № 57-ФЗ устанавливает правила согласования сделок, иных действий, направленных на приобретение иностранным инвестором или группой лиц с участием иностранных инвесторов контроля над российскими стратегическими обществами, а также на приобретение </w:t>
      </w:r>
      <w:r w:rsidRPr="001F40B9">
        <w:rPr>
          <w:rFonts w:ascii="Times New Roman" w:hAnsi="Times New Roman" w:cs="Times New Roman"/>
          <w:sz w:val="28"/>
          <w:szCs w:val="28"/>
          <w:lang w:eastAsia="ar-SA"/>
        </w:rPr>
        <w:t xml:space="preserve">в собственность, владение или пользование ими имущества таких обществ, которое относится к основным производственным средствам и стоимость которого составляет </w:t>
      </w:r>
      <w:r w:rsidRPr="00DD5201">
        <w:rPr>
          <w:rFonts w:ascii="Times New Roman" w:hAnsi="Times New Roman" w:cs="Times New Roman"/>
          <w:sz w:val="28"/>
          <w:szCs w:val="28"/>
          <w:lang w:eastAsia="ar-SA"/>
        </w:rPr>
        <w:t xml:space="preserve">двадцать пять и более процентов от балансовой стоимости активов такого общества. </w:t>
      </w:r>
    </w:p>
    <w:p w14:paraId="34EBA1AC" w14:textId="77777777" w:rsidR="00090629" w:rsidRPr="00DD5201" w:rsidRDefault="00090629" w:rsidP="00AA692C">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В целом следует отметить, что Закон № 57-ФЗ соответствует правовой модели регулирования порядка осуществления иностранных инвестиций, применяемой в зарубежных странах.</w:t>
      </w:r>
    </w:p>
    <w:p w14:paraId="4EA60CB0" w14:textId="77777777" w:rsidR="00090629" w:rsidRDefault="00090629" w:rsidP="00AA692C">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За 10 лет действия Закона № 57-ФЗ сформирована правоприменительная практика, на основании которой вносились соответствующие изменения в Закон № 57-ФЗ и Закон № 160-ФЗ.</w:t>
      </w:r>
      <w:r>
        <w:rPr>
          <w:rFonts w:ascii="Times New Roman" w:hAnsi="Times New Roman" w:cs="Times New Roman"/>
          <w:sz w:val="28"/>
          <w:szCs w:val="28"/>
          <w:lang w:eastAsia="ar-SA"/>
        </w:rPr>
        <w:t xml:space="preserve"> </w:t>
      </w:r>
    </w:p>
    <w:p w14:paraId="5341A789" w14:textId="77777777" w:rsidR="00090629" w:rsidRPr="005F3EF8" w:rsidRDefault="00090629" w:rsidP="00AA692C">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sz w:val="28"/>
          <w:szCs w:val="28"/>
          <w:lang w:eastAsia="ar-SA"/>
        </w:rPr>
        <w:t xml:space="preserve">В 2018 году </w:t>
      </w:r>
      <w:r w:rsidRPr="002A39D0">
        <w:rPr>
          <w:rFonts w:ascii="Times New Roman" w:hAnsi="Times New Roman" w:cs="Times New Roman"/>
          <w:sz w:val="28"/>
          <w:szCs w:val="28"/>
          <w:lang w:eastAsia="ar-SA"/>
        </w:rPr>
        <w:t xml:space="preserve">Президентом Российской Федерации был подписан Федеральный закон </w:t>
      </w:r>
      <w:r>
        <w:rPr>
          <w:rFonts w:ascii="Times New Roman" w:hAnsi="Times New Roman" w:cs="Times New Roman"/>
          <w:sz w:val="28"/>
          <w:szCs w:val="28"/>
          <w:lang w:eastAsia="ar-SA"/>
        </w:rPr>
        <w:t xml:space="preserve">от 31.05.2018 </w:t>
      </w:r>
      <w:r w:rsidRPr="002A39D0">
        <w:rPr>
          <w:rFonts w:ascii="Times New Roman" w:hAnsi="Times New Roman" w:cs="Times New Roman"/>
          <w:sz w:val="28"/>
          <w:szCs w:val="28"/>
          <w:lang w:eastAsia="ar-SA"/>
        </w:rPr>
        <w:t xml:space="preserve">№ 122-ФЗ «О внесении изменений </w:t>
      </w:r>
      <w:r>
        <w:rPr>
          <w:rFonts w:ascii="Times New Roman" w:hAnsi="Times New Roman" w:cs="Times New Roman"/>
          <w:sz w:val="28"/>
          <w:szCs w:val="28"/>
          <w:lang w:eastAsia="ar-SA"/>
        </w:rPr>
        <w:br/>
      </w:r>
      <w:r w:rsidRPr="002A39D0">
        <w:rPr>
          <w:rFonts w:ascii="Times New Roman" w:hAnsi="Times New Roman" w:cs="Times New Roman"/>
          <w:sz w:val="28"/>
          <w:szCs w:val="28"/>
          <w:lang w:eastAsia="ar-SA"/>
        </w:rPr>
        <w:t>в отдельные законодательные акты Российской Федерации в части уточнения понятия «иностранный инвестор»</w:t>
      </w:r>
      <w:r w:rsidRPr="002A39D0">
        <w:rPr>
          <w:rFonts w:ascii="Times New Roman" w:hAnsi="Times New Roman" w:cs="Times New Roman"/>
          <w:bCs/>
          <w:sz w:val="28"/>
          <w:szCs w:val="28"/>
          <w:lang w:eastAsia="ar-SA"/>
        </w:rPr>
        <w:t xml:space="preserve"> (далее - Закон № 122-ФЗ), </w:t>
      </w:r>
      <w:r>
        <w:rPr>
          <w:rFonts w:ascii="Times New Roman" w:hAnsi="Times New Roman" w:cs="Times New Roman"/>
          <w:bCs/>
          <w:sz w:val="28"/>
          <w:szCs w:val="28"/>
          <w:lang w:eastAsia="ar-SA"/>
        </w:rPr>
        <w:t xml:space="preserve">которым были внесены существенные изменения в Закон № 57-ФЗ в части замены ранее действующего при рассмотрении сделок иностранных инвесторов принципа </w:t>
      </w:r>
      <w:r w:rsidRPr="00682435">
        <w:rPr>
          <w:rFonts w:ascii="Times New Roman" w:hAnsi="Times New Roman" w:cs="Times New Roman"/>
          <w:bCs/>
          <w:sz w:val="28"/>
          <w:szCs w:val="28"/>
          <w:lang w:eastAsia="ar-SA"/>
        </w:rPr>
        <w:t xml:space="preserve">территориальной юрисдикции иностранного инвестора принципом предварительного раскрытия </w:t>
      </w:r>
      <w:r>
        <w:rPr>
          <w:rFonts w:ascii="Times New Roman" w:hAnsi="Times New Roman" w:cs="Times New Roman"/>
          <w:bCs/>
          <w:sz w:val="28"/>
          <w:szCs w:val="28"/>
          <w:lang w:eastAsia="ar-SA"/>
        </w:rPr>
        <w:t xml:space="preserve">иностранным инвестором </w:t>
      </w:r>
      <w:r w:rsidRPr="00682435">
        <w:rPr>
          <w:rFonts w:ascii="Times New Roman" w:hAnsi="Times New Roman" w:cs="Times New Roman"/>
          <w:bCs/>
          <w:sz w:val="28"/>
          <w:szCs w:val="28"/>
          <w:lang w:eastAsia="ar-SA"/>
        </w:rPr>
        <w:t xml:space="preserve">информации о </w:t>
      </w:r>
      <w:r>
        <w:rPr>
          <w:rFonts w:ascii="Times New Roman" w:hAnsi="Times New Roman" w:cs="Times New Roman"/>
          <w:bCs/>
          <w:sz w:val="28"/>
          <w:szCs w:val="28"/>
          <w:lang w:eastAsia="ar-SA"/>
        </w:rPr>
        <w:t>своей структуре владения. Именно данный принцип</w:t>
      </w:r>
      <w:r w:rsidRPr="00682435">
        <w:rPr>
          <w:rFonts w:ascii="Times New Roman" w:hAnsi="Times New Roman" w:cs="Times New Roman"/>
          <w:bCs/>
          <w:sz w:val="28"/>
          <w:szCs w:val="28"/>
          <w:lang w:eastAsia="ar-SA"/>
        </w:rPr>
        <w:t xml:space="preserve"> теперь используется при решении вопроса о согласовании </w:t>
      </w:r>
      <w:r>
        <w:rPr>
          <w:rFonts w:ascii="Times New Roman" w:hAnsi="Times New Roman" w:cs="Times New Roman"/>
          <w:bCs/>
          <w:sz w:val="28"/>
          <w:szCs w:val="28"/>
          <w:lang w:eastAsia="ar-SA"/>
        </w:rPr>
        <w:t xml:space="preserve">Комиссией </w:t>
      </w:r>
      <w:r w:rsidRPr="00682435">
        <w:rPr>
          <w:rFonts w:ascii="Times New Roman" w:hAnsi="Times New Roman" w:cs="Times New Roman"/>
          <w:bCs/>
          <w:sz w:val="28"/>
          <w:szCs w:val="28"/>
          <w:lang w:eastAsia="ar-SA"/>
        </w:rPr>
        <w:t>сделок иностранных инвесторов.</w:t>
      </w:r>
    </w:p>
    <w:p w14:paraId="18C50651" w14:textId="77777777" w:rsidR="00090629" w:rsidRPr="00682435" w:rsidRDefault="00090629" w:rsidP="00AA692C">
      <w:pPr>
        <w:spacing w:after="0" w:line="240" w:lineRule="auto"/>
        <w:ind w:firstLine="709"/>
        <w:jc w:val="both"/>
        <w:rPr>
          <w:rFonts w:ascii="Times New Roman" w:hAnsi="Times New Roman" w:cs="Times New Roman"/>
          <w:bCs/>
          <w:sz w:val="28"/>
          <w:szCs w:val="28"/>
          <w:lang w:eastAsia="ar-SA"/>
        </w:rPr>
      </w:pPr>
      <w:r w:rsidRPr="00682435">
        <w:rPr>
          <w:rFonts w:ascii="Times New Roman" w:hAnsi="Times New Roman" w:cs="Times New Roman"/>
          <w:bCs/>
          <w:sz w:val="28"/>
          <w:szCs w:val="28"/>
          <w:lang w:eastAsia="ar-SA"/>
        </w:rPr>
        <w:t xml:space="preserve">Это привело к снятию барьеров для иностранных инвестиций в экономику Российской Федерации, осуществляемых добросовестными иностранными инвесторами, раскрывающими ФАС России информацию о своей структуре владения, и созданию более </w:t>
      </w:r>
      <w:r w:rsidRPr="00682435">
        <w:rPr>
          <w:rFonts w:ascii="Times New Roman" w:hAnsi="Times New Roman" w:cs="Times New Roman"/>
          <w:sz w:val="28"/>
          <w:szCs w:val="28"/>
          <w:lang w:eastAsia="ar-SA"/>
        </w:rPr>
        <w:t>благоприятных условий инвестиционно</w:t>
      </w:r>
      <w:r>
        <w:rPr>
          <w:rFonts w:ascii="Times New Roman" w:hAnsi="Times New Roman" w:cs="Times New Roman"/>
          <w:sz w:val="28"/>
          <w:szCs w:val="28"/>
          <w:lang w:eastAsia="ar-SA"/>
        </w:rPr>
        <w:t xml:space="preserve">го климата Российской Федерации. </w:t>
      </w:r>
    </w:p>
    <w:p w14:paraId="59901935" w14:textId="77777777" w:rsidR="00090629" w:rsidRPr="00A270A1" w:rsidRDefault="00090629" w:rsidP="00AA692C">
      <w:pPr>
        <w:spacing w:after="0" w:line="240" w:lineRule="auto"/>
        <w:ind w:firstLine="709"/>
        <w:jc w:val="both"/>
        <w:rPr>
          <w:rFonts w:ascii="Times New Roman" w:hAnsi="Times New Roman" w:cs="Times New Roman"/>
          <w:bCs/>
          <w:sz w:val="28"/>
          <w:szCs w:val="28"/>
          <w:lang w:eastAsia="ar-SA"/>
        </w:rPr>
      </w:pPr>
      <w:r w:rsidRPr="00A270A1">
        <w:rPr>
          <w:rFonts w:ascii="Times New Roman" w:hAnsi="Times New Roman" w:cs="Times New Roman"/>
          <w:iCs/>
          <w:sz w:val="28"/>
          <w:szCs w:val="28"/>
        </w:rPr>
        <w:t xml:space="preserve">Несмотря на вводимые в отношении России торговые ограничения и санкции, интерес иностранных инвесторов в отношении российских обществ сохраняется. Так, в 2018 г. Правительственной комиссией были одобрены 19 сделок иностранных инвесторов, величина суммарных инвестиций в стратегические активы по этим сделкам (стоимость приобретаемых акций и объем вложений в развитие производства в соответствии с бизнес-планом) составила </w:t>
      </w:r>
      <w:r w:rsidRPr="00A270A1">
        <w:rPr>
          <w:rFonts w:ascii="Times New Roman" w:hAnsi="Times New Roman" w:cs="Times New Roman"/>
          <w:iCs/>
          <w:sz w:val="28"/>
          <w:szCs w:val="28"/>
          <w:lang w:eastAsia="ar-SA"/>
        </w:rPr>
        <w:t>631 млрд. руб. (около 9 млрд. долларов США), что на 40 процентов превышает показатели 2017 г.</w:t>
      </w:r>
    </w:p>
    <w:p w14:paraId="0823E08C" w14:textId="77777777" w:rsidR="00090629" w:rsidRDefault="00090629" w:rsidP="00AA692C">
      <w:pPr>
        <w:spacing w:after="0" w:line="240" w:lineRule="auto"/>
        <w:ind w:firstLine="709"/>
        <w:jc w:val="both"/>
        <w:rPr>
          <w:rFonts w:ascii="Times New Roman" w:hAnsi="Times New Roman" w:cs="Times New Roman"/>
          <w:bCs/>
          <w:sz w:val="28"/>
          <w:szCs w:val="28"/>
          <w:lang w:eastAsia="ar-SA"/>
        </w:rPr>
      </w:pPr>
      <w:r w:rsidRPr="005679C2">
        <w:rPr>
          <w:rFonts w:ascii="Times New Roman" w:hAnsi="Times New Roman" w:cs="Times New Roman"/>
          <w:bCs/>
          <w:sz w:val="28"/>
          <w:szCs w:val="28"/>
          <w:lang w:eastAsia="ar-SA"/>
        </w:rPr>
        <w:t>При этом наиболее привлекательными сферами для иностранных инвесторов являются:</w:t>
      </w:r>
      <w:r>
        <w:rPr>
          <w:rFonts w:ascii="Times New Roman" w:hAnsi="Times New Roman" w:cs="Times New Roman"/>
          <w:bCs/>
          <w:sz w:val="28"/>
          <w:szCs w:val="28"/>
          <w:lang w:eastAsia="ar-SA"/>
        </w:rPr>
        <w:t xml:space="preserve"> геологическое изучение недр и (или) разведка и добыча полезных ископаемых на участках недр федерального значения; оказание аэропортовых услуг.</w:t>
      </w:r>
    </w:p>
    <w:p w14:paraId="636A099D" w14:textId="77777777" w:rsidR="00090629" w:rsidRDefault="00090629" w:rsidP="00AA692C">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География иностранных инвесторов разнообразна и включает в себя Республику</w:t>
      </w:r>
      <w:r w:rsidRPr="005679C2">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Казахстан, Республику Кипр, Федеративную</w:t>
      </w:r>
      <w:r w:rsidRPr="005679C2">
        <w:rPr>
          <w:rFonts w:ascii="Times New Roman" w:hAnsi="Times New Roman" w:cs="Times New Roman"/>
          <w:bCs/>
          <w:sz w:val="28"/>
          <w:szCs w:val="28"/>
          <w:lang w:eastAsia="ar-SA"/>
        </w:rPr>
        <w:t xml:space="preserve"> Респ</w:t>
      </w:r>
      <w:r>
        <w:rPr>
          <w:rFonts w:ascii="Times New Roman" w:hAnsi="Times New Roman" w:cs="Times New Roman"/>
          <w:bCs/>
          <w:sz w:val="28"/>
          <w:szCs w:val="28"/>
          <w:lang w:eastAsia="ar-SA"/>
        </w:rPr>
        <w:t>ублику Германию, Государство Катар, Швейцарскую Конфедерацию, Королевство Норвегию</w:t>
      </w:r>
      <w:r w:rsidRPr="005679C2">
        <w:rPr>
          <w:rFonts w:ascii="Times New Roman" w:hAnsi="Times New Roman" w:cs="Times New Roman"/>
          <w:bCs/>
          <w:sz w:val="28"/>
          <w:szCs w:val="28"/>
          <w:lang w:eastAsia="ar-SA"/>
        </w:rPr>
        <w:t xml:space="preserve"> и др.</w:t>
      </w:r>
    </w:p>
    <w:p w14:paraId="75FFB30F" w14:textId="77777777" w:rsidR="00AA692C" w:rsidRDefault="00AA692C" w:rsidP="00AA692C">
      <w:pPr>
        <w:spacing w:after="0" w:line="240" w:lineRule="auto"/>
        <w:ind w:firstLine="709"/>
        <w:jc w:val="both"/>
        <w:rPr>
          <w:rFonts w:ascii="Times New Roman" w:hAnsi="Times New Roman"/>
          <w:sz w:val="28"/>
          <w:szCs w:val="28"/>
        </w:rPr>
      </w:pPr>
      <w:r>
        <w:rPr>
          <w:rFonts w:ascii="Times New Roman" w:hAnsi="Times New Roman"/>
          <w:sz w:val="28"/>
          <w:szCs w:val="28"/>
        </w:rPr>
        <w:t>В целях повышения инвестиционной привлекательности Российской Федерации в 2018 году ФАС России была продолжена работа с российскими дипломатическими представительствами за рубежом. В рамках данном работы представлялась информация о ключевых направлениях деятельности ФАС России, основных изменениях в законодательной базе и правоприменительной практики в сфере конкурентной политики.</w:t>
      </w:r>
    </w:p>
    <w:p w14:paraId="6D853D48" w14:textId="77777777" w:rsidR="00AA692C" w:rsidRDefault="00AA692C" w:rsidP="00AA692C">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Кроме того, в 2018 году была продолжена системная работа с посольствами и торгово-промышленными палатами зарубежных стран в России по организации консультативных встреч с представителями зарубежного бизнеса, осуществляющими деятельность на территории Российской Федерации.</w:t>
      </w:r>
    </w:p>
    <w:p w14:paraId="2B8CF6A8" w14:textId="77777777" w:rsidR="00AA692C" w:rsidRDefault="00AA692C" w:rsidP="00AA692C">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В течение 2018 года такие встречи были проведены совместно с посольствами Кореи, Таиланда, Бельгии, Франции, Китая и Торгово-промышленной палатой Франции.</w:t>
      </w:r>
    </w:p>
    <w:p w14:paraId="59DF5C7A" w14:textId="77777777" w:rsidR="00AA692C" w:rsidRDefault="00AA692C" w:rsidP="00AA692C">
      <w:pPr>
        <w:tabs>
          <w:tab w:val="left" w:pos="720"/>
        </w:tabs>
        <w:spacing w:after="0" w:line="240" w:lineRule="auto"/>
        <w:ind w:firstLine="709"/>
        <w:jc w:val="both"/>
        <w:rPr>
          <w:sz w:val="28"/>
          <w:szCs w:val="28"/>
        </w:rPr>
      </w:pPr>
      <w:r>
        <w:rPr>
          <w:rFonts w:ascii="Times New Roman" w:hAnsi="Times New Roman"/>
          <w:sz w:val="28"/>
          <w:szCs w:val="28"/>
        </w:rPr>
        <w:t>Целям повышения инвестиционной привлекательности нашей страны также способствует работа ФАС России в рамках двусторонних межправительственных комиссиях по торгово-экономическому сотрудничеству с зарубежными странами. В отчётном периоде ФАС России приняла участие в работе более 10 таких комиссий, в том числе по сотрудничеству с такими странами как Объединенные Арабские Эмираты, Германия, Китай, Корея, Марокко, Франция и ряд государств-участников СНГ.</w:t>
      </w:r>
    </w:p>
    <w:p w14:paraId="6E4D286D" w14:textId="77777777" w:rsidR="00090629" w:rsidRPr="00066631" w:rsidRDefault="00090629" w:rsidP="006D4CFE">
      <w:pPr>
        <w:spacing w:after="0" w:line="240" w:lineRule="auto"/>
        <w:ind w:firstLine="709"/>
        <w:jc w:val="both"/>
        <w:rPr>
          <w:rFonts w:ascii="Times New Roman" w:eastAsia="Times New Roman" w:hAnsi="Times New Roman" w:cs="Times New Roman"/>
          <w:bCs/>
          <w:i/>
          <w:sz w:val="28"/>
          <w:szCs w:val="28"/>
          <w:lang w:eastAsia="ru-RU"/>
        </w:rPr>
      </w:pPr>
      <w:r w:rsidRPr="00066631">
        <w:rPr>
          <w:rFonts w:ascii="Times New Roman" w:eastAsia="Times New Roman" w:hAnsi="Times New Roman" w:cs="Times New Roman"/>
          <w:bCs/>
          <w:i/>
          <w:sz w:val="28"/>
          <w:szCs w:val="28"/>
          <w:lang w:eastAsia="ru-RU"/>
        </w:rPr>
        <w:t xml:space="preserve">В 2018 году ФАС России продолжила работу по совершенствованию законодательства Российской Федерации об иностранных инвестициях. </w:t>
      </w:r>
    </w:p>
    <w:p w14:paraId="2114D5EF" w14:textId="77777777" w:rsidR="00090629" w:rsidRPr="00EC1F45" w:rsidRDefault="00090629" w:rsidP="006D4CF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2018 году ФАС России разработаны и приняты (обеспечено принятие) следующие нормативные правовые акты: один федеральный закон </w:t>
      </w:r>
      <w:r>
        <w:rPr>
          <w:rFonts w:ascii="Times New Roman" w:eastAsia="Times New Roman" w:hAnsi="Times New Roman" w:cs="Times New Roman"/>
          <w:bCs/>
          <w:sz w:val="28"/>
          <w:szCs w:val="28"/>
          <w:lang w:eastAsia="ru-RU"/>
        </w:rPr>
        <w:br/>
        <w:t>(</w:t>
      </w:r>
      <w:r w:rsidRPr="001B5097">
        <w:rPr>
          <w:rFonts w:ascii="Times New Roman" w:eastAsia="Times New Roman" w:hAnsi="Times New Roman" w:cs="Times New Roman"/>
          <w:bCs/>
          <w:sz w:val="28"/>
          <w:szCs w:val="28"/>
          <w:lang w:eastAsia="ru-RU"/>
        </w:rPr>
        <w:t>от 31.05.2018 № 122-ФЗ</w:t>
      </w:r>
      <w:r>
        <w:rPr>
          <w:rFonts w:ascii="Times New Roman" w:eastAsia="Times New Roman" w:hAnsi="Times New Roman" w:cs="Times New Roman"/>
          <w:bCs/>
          <w:sz w:val="28"/>
          <w:szCs w:val="28"/>
          <w:lang w:eastAsia="ru-RU"/>
        </w:rPr>
        <w:t>),</w:t>
      </w:r>
      <w:r w:rsidRPr="001B509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пять постановлений Правительства Российской Федерации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430,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431,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 1456, </w:t>
      </w:r>
      <w:r w:rsidRPr="00EC1F45">
        <w:rPr>
          <w:rFonts w:ascii="Times New Roman" w:eastAsia="Times New Roman" w:hAnsi="Times New Roman" w:cs="Times New Roman"/>
          <w:bCs/>
          <w:sz w:val="28"/>
          <w:szCs w:val="28"/>
          <w:lang w:eastAsia="ru-RU"/>
        </w:rPr>
        <w:t>от 01.12.2018 № 1457</w:t>
      </w:r>
      <w:r>
        <w:rPr>
          <w:rFonts w:ascii="Times New Roman" w:eastAsia="Times New Roman" w:hAnsi="Times New Roman" w:cs="Times New Roman"/>
          <w:bCs/>
          <w:sz w:val="28"/>
          <w:szCs w:val="28"/>
          <w:lang w:eastAsia="ru-RU"/>
        </w:rPr>
        <w:t xml:space="preserve">,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w:t>
      </w:r>
      <w:r w:rsidRPr="00EC1F45">
        <w:rPr>
          <w:rFonts w:ascii="Times New Roman" w:eastAsia="Times New Roman" w:hAnsi="Times New Roman" w:cs="Times New Roman"/>
          <w:bCs/>
          <w:sz w:val="28"/>
          <w:szCs w:val="28"/>
          <w:lang w:eastAsia="ru-RU"/>
        </w:rPr>
        <w:t>№ 1458</w:t>
      </w:r>
      <w:r>
        <w:rPr>
          <w:rFonts w:ascii="Times New Roman" w:eastAsia="Times New Roman" w:hAnsi="Times New Roman" w:cs="Times New Roman"/>
          <w:bCs/>
          <w:sz w:val="28"/>
          <w:szCs w:val="28"/>
          <w:lang w:eastAsia="ru-RU"/>
        </w:rPr>
        <w:t xml:space="preserve">), пять приказов ФАС России: </w:t>
      </w:r>
      <w:r>
        <w:rPr>
          <w:rFonts w:ascii="Times New Roman" w:eastAsia="Times New Roman" w:hAnsi="Times New Roman" w:cs="Times New Roman"/>
          <w:bCs/>
          <w:sz w:val="28"/>
          <w:szCs w:val="28"/>
          <w:lang w:eastAsia="ru-RU"/>
        </w:rPr>
        <w:br/>
        <w:t>от 04.12.2017 №</w:t>
      </w:r>
      <w:r w:rsidRPr="00EC1F45">
        <w:rPr>
          <w:rFonts w:ascii="Times New Roman" w:eastAsia="Times New Roman" w:hAnsi="Times New Roman" w:cs="Times New Roman"/>
          <w:bCs/>
          <w:sz w:val="28"/>
          <w:szCs w:val="28"/>
          <w:lang w:eastAsia="ru-RU"/>
        </w:rPr>
        <w:t xml:space="preserve"> 1637/17</w:t>
      </w:r>
      <w:r>
        <w:rPr>
          <w:rFonts w:ascii="Times New Roman" w:eastAsia="Times New Roman" w:hAnsi="Times New Roman" w:cs="Times New Roman"/>
          <w:bCs/>
          <w:sz w:val="28"/>
          <w:szCs w:val="28"/>
          <w:lang w:eastAsia="ru-RU"/>
        </w:rPr>
        <w:t xml:space="preserve"> (зарегистрирован в Минюсте России 11.04.2018, регистрационный № 50712), от 13.03.2018 № 299/18 (зарегистрирован </w:t>
      </w:r>
      <w:r>
        <w:rPr>
          <w:rFonts w:ascii="Times New Roman" w:eastAsia="Times New Roman" w:hAnsi="Times New Roman" w:cs="Times New Roman"/>
          <w:bCs/>
          <w:sz w:val="28"/>
          <w:szCs w:val="28"/>
          <w:lang w:eastAsia="ru-RU"/>
        </w:rPr>
        <w:br/>
        <w:t xml:space="preserve">в Минюсте России 15.05.2018, регистрационный № 51110), от 22.03.2018 </w:t>
      </w:r>
      <w:r>
        <w:rPr>
          <w:rFonts w:ascii="Times New Roman" w:eastAsia="Times New Roman" w:hAnsi="Times New Roman" w:cs="Times New Roman"/>
          <w:bCs/>
          <w:sz w:val="28"/>
          <w:szCs w:val="28"/>
          <w:lang w:eastAsia="ru-RU"/>
        </w:rPr>
        <w:br/>
        <w:t xml:space="preserve">№ 343/18 (зарегистрирован в Минюсте России 15.05.2018, регистрационный № 51316), </w:t>
      </w:r>
      <w:r w:rsidRPr="00EC1F45">
        <w:rPr>
          <w:rFonts w:ascii="Times New Roman" w:eastAsia="Times New Roman" w:hAnsi="Times New Roman" w:cs="Times New Roman"/>
          <w:bCs/>
          <w:sz w:val="28"/>
          <w:szCs w:val="28"/>
          <w:lang w:eastAsia="ru-RU"/>
        </w:rPr>
        <w:t xml:space="preserve">от 13.08.2018 № 1130/18 </w:t>
      </w:r>
      <w:r>
        <w:rPr>
          <w:rFonts w:ascii="Times New Roman" w:eastAsia="Times New Roman" w:hAnsi="Times New Roman" w:cs="Times New Roman"/>
          <w:bCs/>
          <w:sz w:val="28"/>
          <w:szCs w:val="28"/>
          <w:lang w:eastAsia="ru-RU"/>
        </w:rPr>
        <w:t xml:space="preserve">(зарегистрирован </w:t>
      </w:r>
      <w:r w:rsidRPr="00EC1F45">
        <w:rPr>
          <w:rFonts w:ascii="Times New Roman" w:eastAsia="Times New Roman" w:hAnsi="Times New Roman" w:cs="Times New Roman"/>
          <w:bCs/>
          <w:sz w:val="28"/>
          <w:szCs w:val="28"/>
          <w:lang w:eastAsia="ru-RU"/>
        </w:rPr>
        <w:t>в Минюсте России 04.10</w:t>
      </w:r>
      <w:r>
        <w:rPr>
          <w:rFonts w:ascii="Times New Roman" w:eastAsia="Times New Roman" w:hAnsi="Times New Roman" w:cs="Times New Roman"/>
          <w:bCs/>
          <w:sz w:val="28"/>
          <w:szCs w:val="28"/>
          <w:lang w:eastAsia="ru-RU"/>
        </w:rPr>
        <w:t xml:space="preserve">.2018, регистрационный № 52337), </w:t>
      </w:r>
      <w:r w:rsidRPr="00EC1F45">
        <w:rPr>
          <w:rFonts w:ascii="Times New Roman" w:eastAsia="Times New Roman" w:hAnsi="Times New Roman" w:cs="Times New Roman"/>
          <w:bCs/>
          <w:sz w:val="28"/>
          <w:szCs w:val="28"/>
          <w:lang w:eastAsia="ru-RU"/>
        </w:rPr>
        <w:t xml:space="preserve">от 30.08.2018 № 1237/18 (зарегистрирован в Минюсте России 28.09.2018,  регистрационный № 52288). </w:t>
      </w:r>
    </w:p>
    <w:p w14:paraId="376000E0" w14:textId="77777777" w:rsidR="00090629" w:rsidRPr="00265582" w:rsidRDefault="00090629" w:rsidP="006D4CF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Разработка и принятие указанных постановлений Правительства Российской Федерации и приказов ФАС России обусловлена необходимостью приведения в соответствие или принятия новых подзаконных актов, направленных на реализацию положений Федерального</w:t>
      </w:r>
      <w:r w:rsidRPr="00781551">
        <w:rPr>
          <w:rFonts w:ascii="Times New Roman" w:eastAsia="Times New Roman" w:hAnsi="Times New Roman" w:cs="Times New Roman"/>
          <w:bCs/>
          <w:sz w:val="28"/>
          <w:szCs w:val="28"/>
          <w:lang w:eastAsia="ru-RU"/>
        </w:rPr>
        <w:t xml:space="preserve"> закон</w:t>
      </w:r>
      <w:r>
        <w:rPr>
          <w:rFonts w:ascii="Times New Roman" w:eastAsia="Times New Roman" w:hAnsi="Times New Roman" w:cs="Times New Roman"/>
          <w:bCs/>
          <w:sz w:val="28"/>
          <w:szCs w:val="28"/>
          <w:lang w:eastAsia="ru-RU"/>
        </w:rPr>
        <w:t>а от 18.07.2017 № 165-ФЗ «</w:t>
      </w:r>
      <w:r w:rsidRPr="00781551">
        <w:rPr>
          <w:rFonts w:ascii="Times New Roman" w:eastAsia="Times New Roman" w:hAnsi="Times New Roman" w:cs="Times New Roman"/>
          <w:bCs/>
          <w:sz w:val="28"/>
          <w:szCs w:val="28"/>
          <w:lang w:eastAsia="ru-RU"/>
        </w:rPr>
        <w:t xml:space="preserve">О внесении изменений </w:t>
      </w:r>
      <w:r>
        <w:rPr>
          <w:rFonts w:ascii="Times New Roman" w:eastAsia="Times New Roman" w:hAnsi="Times New Roman" w:cs="Times New Roman"/>
          <w:bCs/>
          <w:sz w:val="28"/>
          <w:szCs w:val="28"/>
          <w:lang w:eastAsia="ru-RU"/>
        </w:rPr>
        <w:t xml:space="preserve">в статью 6 Федерального закона </w:t>
      </w:r>
      <w:r>
        <w:rPr>
          <w:rFonts w:ascii="Times New Roman" w:eastAsia="Times New Roman" w:hAnsi="Times New Roman" w:cs="Times New Roman"/>
          <w:bCs/>
          <w:sz w:val="28"/>
          <w:szCs w:val="28"/>
          <w:lang w:eastAsia="ru-RU"/>
        </w:rPr>
        <w:br/>
        <w:t>«</w:t>
      </w:r>
      <w:r w:rsidRPr="00781551">
        <w:rPr>
          <w:rFonts w:ascii="Times New Roman" w:eastAsia="Times New Roman" w:hAnsi="Times New Roman" w:cs="Times New Roman"/>
          <w:bCs/>
          <w:sz w:val="28"/>
          <w:szCs w:val="28"/>
          <w:lang w:eastAsia="ru-RU"/>
        </w:rPr>
        <w:t>Об иностранных инвестициях в</w:t>
      </w:r>
      <w:r>
        <w:rPr>
          <w:rFonts w:ascii="Times New Roman" w:eastAsia="Times New Roman" w:hAnsi="Times New Roman" w:cs="Times New Roman"/>
          <w:bCs/>
          <w:sz w:val="28"/>
          <w:szCs w:val="28"/>
          <w:lang w:eastAsia="ru-RU"/>
        </w:rPr>
        <w:t xml:space="preserve"> Российской Федерации» и Федеральный закон «</w:t>
      </w:r>
      <w:r w:rsidRPr="00781551">
        <w:rPr>
          <w:rFonts w:ascii="Times New Roman" w:eastAsia="Times New Roman" w:hAnsi="Times New Roman" w:cs="Times New Roman"/>
          <w:bCs/>
          <w:sz w:val="28"/>
          <w:szCs w:val="28"/>
          <w:lang w:eastAsia="ru-RU"/>
        </w:rPr>
        <w:t xml:space="preserve">О порядке осуществления иностранных инвестиций в хозяйственные общества, имеющие стратегическое значение для обеспечения обороны </w:t>
      </w:r>
      <w:r w:rsidRPr="00265582">
        <w:rPr>
          <w:rFonts w:ascii="Times New Roman" w:eastAsia="Times New Roman" w:hAnsi="Times New Roman" w:cs="Times New Roman"/>
          <w:bCs/>
          <w:sz w:val="28"/>
          <w:szCs w:val="28"/>
          <w:lang w:eastAsia="ru-RU"/>
        </w:rPr>
        <w:t xml:space="preserve">страны и безопасности государства» и Закона № 122-ФЗ. </w:t>
      </w:r>
    </w:p>
    <w:p w14:paraId="790E5D0D" w14:textId="77777777" w:rsidR="00090629" w:rsidRPr="00265582" w:rsidRDefault="00090629" w:rsidP="006D4CFE">
      <w:pPr>
        <w:spacing w:after="0" w:line="240" w:lineRule="auto"/>
        <w:ind w:firstLine="709"/>
        <w:jc w:val="both"/>
        <w:rPr>
          <w:rFonts w:ascii="Times New Roman" w:eastAsia="Times New Roman" w:hAnsi="Times New Roman" w:cs="Times New Roman"/>
          <w:sz w:val="28"/>
          <w:szCs w:val="28"/>
          <w:lang w:eastAsia="ru-RU"/>
        </w:rPr>
      </w:pPr>
      <w:r w:rsidRPr="00265582">
        <w:rPr>
          <w:rFonts w:ascii="Times New Roman" w:eastAsia="Times New Roman" w:hAnsi="Times New Roman" w:cs="Times New Roman"/>
          <w:bCs/>
          <w:iCs/>
          <w:sz w:val="28"/>
          <w:szCs w:val="28"/>
          <w:lang w:eastAsia="ru-RU"/>
        </w:rPr>
        <w:t xml:space="preserve">Кроме того, </w:t>
      </w:r>
      <w:r w:rsidRPr="00265582">
        <w:rPr>
          <w:rFonts w:ascii="Times New Roman" w:eastAsia="Times New Roman" w:hAnsi="Times New Roman" w:cs="Times New Roman"/>
          <w:sz w:val="28"/>
          <w:szCs w:val="28"/>
          <w:lang w:eastAsia="ru-RU"/>
        </w:rPr>
        <w:t xml:space="preserve">в связи с утверждением новой структуры федеральных органов исполнительной власти (Указ Президента Российской Федерации </w:t>
      </w:r>
      <w:r w:rsidRPr="00265582">
        <w:rPr>
          <w:rFonts w:ascii="Times New Roman" w:eastAsia="Times New Roman" w:hAnsi="Times New Roman" w:cs="Times New Roman"/>
          <w:sz w:val="28"/>
          <w:szCs w:val="28"/>
          <w:lang w:eastAsia="ru-RU"/>
        </w:rPr>
        <w:br/>
        <w:t xml:space="preserve">от 15.05.2018 № 215), а также в связи с произошедшей в целях реализации названного указа сменой состава Правительства Российской Федерации </w:t>
      </w:r>
      <w:r>
        <w:rPr>
          <w:rFonts w:ascii="Times New Roman" w:eastAsia="Times New Roman" w:hAnsi="Times New Roman" w:cs="Times New Roman"/>
          <w:sz w:val="28"/>
          <w:szCs w:val="28"/>
          <w:lang w:eastAsia="ru-RU"/>
        </w:rPr>
        <w:br/>
      </w:r>
      <w:r w:rsidRPr="00265582">
        <w:rPr>
          <w:rFonts w:ascii="Times New Roman" w:eastAsia="Times New Roman" w:hAnsi="Times New Roman" w:cs="Times New Roman"/>
          <w:sz w:val="28"/>
          <w:szCs w:val="28"/>
          <w:lang w:eastAsia="ru-RU"/>
        </w:rPr>
        <w:t>ФАС России был разработан проект распоряжения Правительства Российской Федерации от 17.07.2018 №1472-р «Об утверждении состава Правительственной комиссии по контролю за осуществлением иностранных инвестиций в Российской Федерации».</w:t>
      </w:r>
    </w:p>
    <w:p w14:paraId="40D02DFE" w14:textId="77777777" w:rsidR="005B1B17" w:rsidRDefault="005B1B17" w:rsidP="00F5155C"/>
    <w:p w14:paraId="0D812E5C" w14:textId="210BB2E6" w:rsidR="00883C8E" w:rsidRPr="00891ED7" w:rsidRDefault="00883C8E" w:rsidP="00DA3F05">
      <w:pPr>
        <w:pStyle w:val="3"/>
      </w:pPr>
      <w:bookmarkStart w:id="15" w:name="_Toc7447929"/>
      <w:r w:rsidRPr="00891ED7">
        <w:t>Влияние на конкуренцию регулирования закупок</w:t>
      </w:r>
      <w:r w:rsidR="00BD704D">
        <w:t xml:space="preserve"> и иных обязательных в соответствии с законодательством торгов</w:t>
      </w:r>
      <w:bookmarkStart w:id="16" w:name="_Toc6834313"/>
      <w:bookmarkStart w:id="17" w:name="_Toc6834600"/>
      <w:bookmarkStart w:id="18" w:name="_Toc6834803"/>
      <w:bookmarkEnd w:id="16"/>
      <w:bookmarkEnd w:id="17"/>
      <w:bookmarkEnd w:id="18"/>
      <w:bookmarkEnd w:id="15"/>
    </w:p>
    <w:p w14:paraId="2FDC4508" w14:textId="77777777" w:rsidR="00F5155C" w:rsidRDefault="00F5155C" w:rsidP="00F5155C"/>
    <w:p w14:paraId="58DAD8ED" w14:textId="5EC0DEDA" w:rsidR="00BD704D" w:rsidRPr="00BD704D" w:rsidRDefault="00BD704D" w:rsidP="00BD704D">
      <w:pPr>
        <w:pStyle w:val="ab"/>
        <w:spacing w:before="0" w:beforeAutospacing="0" w:after="0"/>
        <w:jc w:val="center"/>
        <w:rPr>
          <w:b/>
          <w:color w:val="000000"/>
          <w:sz w:val="28"/>
          <w:szCs w:val="28"/>
        </w:rPr>
      </w:pPr>
      <w:r w:rsidRPr="00BD704D">
        <w:rPr>
          <w:b/>
          <w:color w:val="000000"/>
          <w:sz w:val="28"/>
          <w:szCs w:val="28"/>
        </w:rPr>
        <w:t>Регулирование и контроль закупок</w:t>
      </w:r>
    </w:p>
    <w:p w14:paraId="305113EE"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ФАС России совместно с Минфином России велась разработка ряда поправок к Закону 44-ФЗ, которые были приняты в 2018 году.</w:t>
      </w:r>
    </w:p>
    <w:p w14:paraId="31766B00"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 xml:space="preserve">1. </w:t>
      </w:r>
      <w:r w:rsidRPr="00E55838">
        <w:rPr>
          <w:sz w:val="28"/>
          <w:szCs w:val="28"/>
        </w:rPr>
        <w:t>Федеральный закон от 27.12.2018 № 512-ФЗ «О внесении изменений в статьи 41 и 94 Федерального закона «О контрактной системе в сфере закупок товаров, работ, услуг для обеспечения государственных и муниципальных нужд», устанавливающий единые требования к оформлению заключения при проведении экспертизы поставленного товара, выполненной работы, оказанной услуги, а также ответственность уполномоченного представителя экспертной организации  за предоставление недостоверных результатов экспертизы, экспертного заключения или заведомо ложного экспертного заключения.</w:t>
      </w:r>
    </w:p>
    <w:p w14:paraId="26F3BB2A" w14:textId="77777777" w:rsidR="00073394" w:rsidRPr="00E55838" w:rsidRDefault="00073394" w:rsidP="00073394">
      <w:pPr>
        <w:pStyle w:val="ab"/>
        <w:spacing w:before="0" w:beforeAutospacing="0" w:after="0"/>
        <w:ind w:firstLine="709"/>
        <w:jc w:val="both"/>
        <w:rPr>
          <w:sz w:val="28"/>
          <w:szCs w:val="28"/>
        </w:rPr>
      </w:pPr>
      <w:r w:rsidRPr="00E55838">
        <w:rPr>
          <w:sz w:val="28"/>
          <w:szCs w:val="28"/>
        </w:rPr>
        <w:t>2. Федеральный закон от 27.12.2018 № 502-ФЗ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которым предусмотрены поправки в части упрощения требований к замене обеспечения исполнения контракта при его исполнении иные изменения, направленные на упрощение участия в закупке.</w:t>
      </w:r>
    </w:p>
    <w:p w14:paraId="6F5FFDC4" w14:textId="77777777" w:rsidR="00073394" w:rsidRPr="00E55838" w:rsidRDefault="00073394" w:rsidP="00073394">
      <w:pPr>
        <w:pStyle w:val="ab"/>
        <w:spacing w:before="0" w:beforeAutospacing="0" w:after="0"/>
        <w:ind w:firstLine="709"/>
        <w:jc w:val="both"/>
        <w:rPr>
          <w:sz w:val="28"/>
          <w:szCs w:val="28"/>
        </w:rPr>
      </w:pPr>
      <w:r w:rsidRPr="00E55838">
        <w:rPr>
          <w:sz w:val="28"/>
          <w:szCs w:val="28"/>
        </w:rPr>
        <w:t>3. Федеральный закон от 29.06.2018 № 174-ФЗ, в соответствии с которым унитарные предприятия, вне зависимости от сферы деятельности, могут осуществлять закупки за счет собственных средств в соответствии с Федеральным законом от 18.07.2011 № 223-ФЗ «О закупках товаров, работ, услуг отдельными видами юридических лиц».</w:t>
      </w:r>
    </w:p>
    <w:p w14:paraId="50973B4B" w14:textId="77777777" w:rsidR="00073394" w:rsidRDefault="00073394" w:rsidP="00073394">
      <w:pPr>
        <w:pStyle w:val="ab"/>
        <w:spacing w:before="0" w:beforeAutospacing="0" w:after="0"/>
        <w:ind w:firstLine="709"/>
        <w:jc w:val="both"/>
        <w:rPr>
          <w:sz w:val="28"/>
          <w:szCs w:val="28"/>
        </w:rPr>
      </w:pPr>
      <w:r w:rsidRPr="00E55838">
        <w:rPr>
          <w:sz w:val="28"/>
          <w:szCs w:val="28"/>
        </w:rPr>
        <w:t>4. Федеральный закон от 23.04.2018 № 108-ФЗ</w:t>
      </w:r>
      <w:r w:rsidRPr="00E55838">
        <w:rPr>
          <w:b/>
          <w:bCs/>
          <w:sz w:val="28"/>
          <w:szCs w:val="28"/>
        </w:rPr>
        <w:t xml:space="preserve">, </w:t>
      </w:r>
      <w:r w:rsidRPr="00E55838">
        <w:rPr>
          <w:sz w:val="28"/>
          <w:szCs w:val="28"/>
        </w:rPr>
        <w:t>предусматривающий возможность списания начисленных поставщику, но не списанных заказчиком неустоек в связи с неисполнением в 2015 и 2016 годах обязательств по госконтракту.</w:t>
      </w:r>
    </w:p>
    <w:p w14:paraId="54CA8616" w14:textId="77777777" w:rsidR="00073394" w:rsidRDefault="00073394" w:rsidP="00073394">
      <w:pPr>
        <w:pStyle w:val="ab"/>
        <w:spacing w:before="0" w:beforeAutospacing="0" w:after="0"/>
        <w:ind w:firstLine="709"/>
        <w:jc w:val="both"/>
        <w:rPr>
          <w:sz w:val="28"/>
          <w:szCs w:val="28"/>
        </w:rPr>
      </w:pPr>
      <w:r w:rsidRPr="00E55838">
        <w:rPr>
          <w:color w:val="000000"/>
          <w:sz w:val="28"/>
          <w:szCs w:val="28"/>
        </w:rPr>
        <w:t xml:space="preserve">С 01.07.2018 вступили в силу изменения в </w:t>
      </w:r>
      <w:r w:rsidRPr="00DC3AA6">
        <w:rPr>
          <w:color w:val="000000"/>
          <w:sz w:val="28"/>
          <w:szCs w:val="28"/>
        </w:rPr>
        <w:t xml:space="preserve">Федеральный закон от 05.04.2013 № 44-ФЗ «О контрактной системе в сфере закупок товаров, работ, услуг для обеспечения государственных и муниципальных нужд» (далее - </w:t>
      </w:r>
      <w:r w:rsidRPr="00DC3AA6">
        <w:rPr>
          <w:sz w:val="28"/>
          <w:szCs w:val="28"/>
        </w:rPr>
        <w:t xml:space="preserve">Закон 44-ФЗ) </w:t>
      </w:r>
      <w:r w:rsidRPr="00E55838">
        <w:rPr>
          <w:sz w:val="28"/>
          <w:szCs w:val="28"/>
        </w:rPr>
        <w:t xml:space="preserve">и </w:t>
      </w:r>
      <w:r w:rsidRPr="00DC3AA6">
        <w:rPr>
          <w:sz w:val="28"/>
          <w:szCs w:val="28"/>
        </w:rPr>
        <w:t>Федеральн</w:t>
      </w:r>
      <w:r>
        <w:rPr>
          <w:sz w:val="28"/>
          <w:szCs w:val="28"/>
        </w:rPr>
        <w:t>ый</w:t>
      </w:r>
      <w:r w:rsidRPr="00DC3AA6">
        <w:rPr>
          <w:sz w:val="28"/>
          <w:szCs w:val="28"/>
        </w:rPr>
        <w:t xml:space="preserve"> закон от 18.07.2011 № 223-ФЗ «О закупках товаров, работ, услуг отдельными видами юридических лиц» (далее — Закон 223-ФЗ)</w:t>
      </w:r>
      <w:r w:rsidRPr="00E55838">
        <w:rPr>
          <w:sz w:val="28"/>
          <w:szCs w:val="28"/>
        </w:rPr>
        <w:t>, предусмотренные Федеральными законами от 31.12.2017 № 504-ФЗ и № 505-ФЗ, о переводе процедур закупок в электронную форму.</w:t>
      </w:r>
    </w:p>
    <w:p w14:paraId="7886CBA9" w14:textId="77777777" w:rsidR="00073394" w:rsidRDefault="00073394" w:rsidP="00073394">
      <w:pPr>
        <w:spacing w:after="0" w:line="240" w:lineRule="auto"/>
        <w:jc w:val="both"/>
        <w:rPr>
          <w:rFonts w:ascii="Times New Roman" w:eastAsia="Times New Roman" w:hAnsi="Times New Roman" w:cs="Times New Roman"/>
          <w:sz w:val="28"/>
          <w:szCs w:val="28"/>
          <w:lang w:eastAsia="ru-RU"/>
        </w:rPr>
      </w:pPr>
    </w:p>
    <w:p w14:paraId="66401225" w14:textId="77777777" w:rsidR="00073394" w:rsidRPr="00BD704D" w:rsidRDefault="00073394" w:rsidP="00BD704D">
      <w:pPr>
        <w:pStyle w:val="Textbody"/>
        <w:spacing w:after="0" w:line="230" w:lineRule="auto"/>
        <w:ind w:firstLine="690"/>
        <w:rPr>
          <w:rFonts w:eastAsia="Calibri" w:cs="Calibri"/>
          <w:i/>
          <w:color w:val="000000"/>
          <w:sz w:val="28"/>
          <w:szCs w:val="28"/>
          <w:shd w:val="clear" w:color="auto" w:fill="FFFFFF"/>
        </w:rPr>
      </w:pPr>
      <w:r w:rsidRPr="00BD704D">
        <w:rPr>
          <w:rFonts w:eastAsia="Calibri" w:cs="Calibri"/>
          <w:i/>
          <w:color w:val="000000"/>
          <w:sz w:val="28"/>
          <w:szCs w:val="28"/>
          <w:shd w:val="clear" w:color="auto" w:fill="FFFFFF"/>
        </w:rPr>
        <w:t>Типовые нарушения Закона 44-ФЗ и Закона 223-ФЗ</w:t>
      </w:r>
    </w:p>
    <w:p w14:paraId="33618088" w14:textId="77777777" w:rsidR="00073394"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eastAsia="Calibri" w:cs="Calibri"/>
          <w:b/>
          <w:color w:val="000000"/>
          <w:sz w:val="28"/>
          <w:szCs w:val="28"/>
          <w:shd w:val="clear" w:color="auto" w:fill="FFFFFF"/>
          <w:lang w:val="en-US"/>
        </w:rPr>
        <w:t>I</w:t>
      </w:r>
      <w:r w:rsidRPr="006F057B">
        <w:rPr>
          <w:rFonts w:eastAsia="Calibri" w:cs="Calibri"/>
          <w:b/>
          <w:color w:val="000000"/>
          <w:sz w:val="28"/>
          <w:szCs w:val="28"/>
          <w:shd w:val="clear" w:color="auto" w:fill="FFFFFF"/>
        </w:rPr>
        <w:t>.</w:t>
      </w:r>
      <w:r w:rsidRPr="006F057B">
        <w:rPr>
          <w:rFonts w:eastAsia="Calibri" w:cs="Calibri"/>
          <w:color w:val="000000"/>
          <w:sz w:val="28"/>
          <w:szCs w:val="28"/>
          <w:shd w:val="clear" w:color="auto" w:fill="FFFFFF"/>
        </w:rPr>
        <w:t xml:space="preserve"> </w:t>
      </w:r>
      <w:r>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контрактной системе (Закон 44-ФЗ), выявленными в результате</w:t>
      </w:r>
      <w:r>
        <w:rPr>
          <w:rFonts w:eastAsia="Calibri" w:cs="Calibri"/>
          <w:color w:val="000000"/>
          <w:sz w:val="28"/>
          <w:szCs w:val="28"/>
          <w:shd w:val="clear" w:color="auto" w:fill="FFFFFF"/>
        </w:rPr>
        <w:t xml:space="preserve"> рассмотрения жалоб и проведения внеплановых проверок являются:</w:t>
      </w:r>
    </w:p>
    <w:p w14:paraId="3E8CA943" w14:textId="77777777" w:rsidR="00073394" w:rsidRDefault="00073394" w:rsidP="00073394">
      <w:pPr>
        <w:pStyle w:val="Textbody"/>
        <w:spacing w:after="0"/>
        <w:ind w:firstLine="690"/>
        <w:jc w:val="both"/>
        <w:rPr>
          <w:sz w:val="28"/>
        </w:rPr>
      </w:pPr>
      <w:r>
        <w:rPr>
          <w:sz w:val="28"/>
        </w:rPr>
        <w:t>- нарушения в части размещения информации в ЕИС;</w:t>
      </w:r>
    </w:p>
    <w:p w14:paraId="35465099" w14:textId="77777777" w:rsidR="00073394" w:rsidRDefault="00073394" w:rsidP="00073394">
      <w:pPr>
        <w:pStyle w:val="Textbody"/>
        <w:spacing w:after="0"/>
        <w:ind w:firstLine="690"/>
        <w:jc w:val="both"/>
        <w:rPr>
          <w:sz w:val="28"/>
        </w:rPr>
      </w:pPr>
      <w:r>
        <w:rPr>
          <w:sz w:val="28"/>
        </w:rPr>
        <w:t>- нарушение порядка выбора способа определения поставщика (подрядчика, исполнителя);</w:t>
      </w:r>
    </w:p>
    <w:p w14:paraId="658ECE94" w14:textId="77777777" w:rsidR="00073394" w:rsidRDefault="00073394" w:rsidP="00073394">
      <w:pPr>
        <w:pStyle w:val="Textbody"/>
        <w:spacing w:after="0"/>
        <w:ind w:firstLine="690"/>
        <w:jc w:val="both"/>
        <w:rPr>
          <w:sz w:val="28"/>
        </w:rPr>
      </w:pPr>
      <w:r>
        <w:rPr>
          <w:sz w:val="28"/>
        </w:rPr>
        <w:t>- нарушение порядка отбора участников закупок;</w:t>
      </w:r>
    </w:p>
    <w:p w14:paraId="3297EB2B" w14:textId="77777777" w:rsidR="00073394" w:rsidRDefault="00073394" w:rsidP="00073394">
      <w:pPr>
        <w:pStyle w:val="Textbody"/>
        <w:spacing w:after="0"/>
        <w:ind w:firstLine="690"/>
        <w:jc w:val="both"/>
        <w:rPr>
          <w:sz w:val="28"/>
        </w:rPr>
      </w:pPr>
      <w:r>
        <w:rPr>
          <w:sz w:val="28"/>
        </w:rPr>
        <w:t>- нарушение в части установления требований в документации о закупках, влекущие ограничение количества участников закупок;</w:t>
      </w:r>
    </w:p>
    <w:p w14:paraId="09259D93" w14:textId="77777777" w:rsidR="00073394" w:rsidRDefault="00073394" w:rsidP="00073394">
      <w:pPr>
        <w:pStyle w:val="Textbody"/>
        <w:spacing w:after="0"/>
        <w:ind w:firstLine="690"/>
        <w:jc w:val="both"/>
        <w:rPr>
          <w:sz w:val="28"/>
        </w:rPr>
      </w:pPr>
      <w:r>
        <w:rPr>
          <w:sz w:val="28"/>
        </w:rPr>
        <w:t>- нарушение порядка заключения контракта или неправомерное изменение его условий, а также заключение контракта с нарушением объявленных условий закупок.</w:t>
      </w:r>
    </w:p>
    <w:p w14:paraId="031AD8CA" w14:textId="77777777" w:rsidR="00073394" w:rsidRPr="006F057B"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 xml:space="preserve">В зависимости от способа закупки можно выделить наиболее часто встречающиеся </w:t>
      </w:r>
      <w:r w:rsidRPr="006F057B">
        <w:rPr>
          <w:rFonts w:eastAsia="Calibri" w:cs="Calibri"/>
          <w:color w:val="000000"/>
          <w:sz w:val="28"/>
          <w:szCs w:val="28"/>
          <w:shd w:val="clear" w:color="auto" w:fill="FFFFFF"/>
        </w:rPr>
        <w:t>нарушения законодательства о контрактной системе в сфере закупок.</w:t>
      </w:r>
    </w:p>
    <w:p w14:paraId="37FB5C54"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1. В отношении закупок, осуществляемых в форме электронного аукциона:</w:t>
      </w:r>
    </w:p>
    <w:p w14:paraId="4111DD08" w14:textId="77777777" w:rsidR="00073394" w:rsidRDefault="00073394" w:rsidP="00073394">
      <w:pPr>
        <w:pStyle w:val="Standard"/>
        <w:ind w:firstLine="690"/>
        <w:jc w:val="both"/>
        <w:rPr>
          <w:color w:val="000000"/>
          <w:sz w:val="28"/>
        </w:rPr>
      </w:pPr>
      <w:r>
        <w:rPr>
          <w:color w:val="000000"/>
          <w:sz w:val="28"/>
        </w:rPr>
        <w:t>-</w:t>
      </w:r>
      <w:r>
        <w:rPr>
          <w:color w:val="000000"/>
          <w:sz w:val="28"/>
        </w:rPr>
        <w:tab/>
        <w:t>нарушение правил формирования предмета закупки;</w:t>
      </w:r>
    </w:p>
    <w:p w14:paraId="65595691" w14:textId="77777777" w:rsidR="00073394" w:rsidRDefault="00073394" w:rsidP="00073394">
      <w:pPr>
        <w:pStyle w:val="Standard"/>
        <w:ind w:firstLine="690"/>
        <w:jc w:val="both"/>
      </w:pPr>
      <w:r>
        <w:rPr>
          <w:color w:val="000000"/>
          <w:sz w:val="28"/>
        </w:rPr>
        <w:t>-</w:t>
      </w:r>
      <w:r>
        <w:rPr>
          <w:color w:val="000000"/>
          <w:sz w:val="28"/>
        </w:rPr>
        <w:tab/>
        <w:t xml:space="preserve">установление излишних требований к составу заявки, требование к описанию химического состава товаров, используемых при выполнении </w:t>
      </w:r>
      <w:r>
        <w:rPr>
          <w:sz w:val="28"/>
        </w:rPr>
        <w:t>работ или оказании услуг;</w:t>
      </w:r>
    </w:p>
    <w:p w14:paraId="2F5AF0A3" w14:textId="77777777" w:rsidR="00073394" w:rsidRDefault="00073394" w:rsidP="00073394">
      <w:pPr>
        <w:pStyle w:val="Standard"/>
        <w:ind w:firstLine="690"/>
        <w:jc w:val="both"/>
      </w:pPr>
      <w:r>
        <w:rPr>
          <w:sz w:val="28"/>
        </w:rPr>
        <w:t>-</w:t>
      </w:r>
      <w:r>
        <w:rPr>
          <w:sz w:val="28"/>
        </w:rPr>
        <w:tab/>
        <w:t>объединение в предмет закупки работ и услуг, технологически и функционально не связанных с работами и услугами, выполнение и оказание которых являются предметом закупки;</w:t>
      </w:r>
    </w:p>
    <w:p w14:paraId="4ECE6FA3" w14:textId="77777777" w:rsidR="00073394" w:rsidRDefault="00073394" w:rsidP="00073394">
      <w:pPr>
        <w:pStyle w:val="Textbody"/>
        <w:spacing w:after="0"/>
        <w:ind w:firstLine="690"/>
        <w:jc w:val="both"/>
        <w:rPr>
          <w:sz w:val="28"/>
        </w:rPr>
      </w:pPr>
      <w:r>
        <w:rPr>
          <w:sz w:val="28"/>
        </w:rPr>
        <w:t>-</w:t>
      </w:r>
      <w:r>
        <w:rPr>
          <w:sz w:val="28"/>
        </w:rPr>
        <w:tab/>
        <w:t>нарушения порядка рассмотрения заявок, в частности, отказ в допуске участнику закупки по результатам рассмотрения первых частей заявок на основании двусмысленных положений инструкции, а также на основании ссылки на показатели товара, установленные в технической части документации о закупке, которые не соответствуют показателям требуемого ГОСТа;</w:t>
      </w:r>
    </w:p>
    <w:p w14:paraId="609D928F" w14:textId="77777777" w:rsidR="00073394" w:rsidRDefault="00073394" w:rsidP="00073394">
      <w:pPr>
        <w:pStyle w:val="Textbody"/>
        <w:spacing w:after="0"/>
        <w:ind w:firstLine="690"/>
        <w:jc w:val="both"/>
        <w:rPr>
          <w:sz w:val="28"/>
        </w:rPr>
      </w:pPr>
      <w:r>
        <w:rPr>
          <w:sz w:val="28"/>
        </w:rPr>
        <w:t>-</w:t>
      </w:r>
      <w:r>
        <w:rPr>
          <w:sz w:val="28"/>
        </w:rPr>
        <w:tab/>
        <w:t>установление с нарушением дополнительных требований к участникам закупки;</w:t>
      </w:r>
    </w:p>
    <w:p w14:paraId="180C69B1" w14:textId="67406E18"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нарушения, повлекшие ограничение количества участников закупки, в частности</w:t>
      </w:r>
      <w:r w:rsidR="00881B4B">
        <w:rPr>
          <w:rFonts w:eastAsia="Calibri" w:cs="Calibri"/>
          <w:color w:val="000000"/>
          <w:sz w:val="28"/>
          <w:szCs w:val="28"/>
          <w:shd w:val="clear" w:color="auto" w:fill="FFFFFF"/>
        </w:rPr>
        <w:t>,</w:t>
      </w:r>
      <w:r>
        <w:rPr>
          <w:rFonts w:eastAsia="Calibri" w:cs="Calibri"/>
          <w:color w:val="000000"/>
          <w:sz w:val="28"/>
          <w:szCs w:val="28"/>
          <w:shd w:val="clear" w:color="auto" w:fill="FFFFFF"/>
        </w:rPr>
        <w:t xml:space="preserve"> установление требований к товарному знаку, техническим характеристикам объекта закупки;</w:t>
      </w:r>
    </w:p>
    <w:p w14:paraId="2F3F7ACD" w14:textId="77777777" w:rsidR="00073394" w:rsidRDefault="00073394" w:rsidP="00073394">
      <w:pPr>
        <w:pStyle w:val="Textbody"/>
        <w:spacing w:after="0"/>
        <w:ind w:firstLine="690"/>
        <w:jc w:val="both"/>
        <w:rPr>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составе документации о закупке проектной документации в полном объеме;</w:t>
      </w:r>
    </w:p>
    <w:p w14:paraId="3156D999" w14:textId="77777777"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возможности копирования информации в составе документации о закупке.</w:t>
      </w:r>
    </w:p>
    <w:p w14:paraId="6BE6953A"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2. В отношении закупок, осуществляемых в форме открытого конкурса:</w:t>
      </w:r>
    </w:p>
    <w:p w14:paraId="07F7B953"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нарушение порядка оценки заявок, в котором отсутствует пропорциональная зависимость между количеством присваиваемых баллов и представляемых участником закупки сведений;</w:t>
      </w:r>
    </w:p>
    <w:p w14:paraId="458D6451"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порядке оценки разъяснения аналогичности и сопоставимости работ, сведения о которых представляет участник в целях присвоения заказчиком заявке участника баллов по показателю опыт работы;</w:t>
      </w:r>
    </w:p>
    <w:p w14:paraId="5C4E55FC"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субъективизм при оценке заявок участников закупки;</w:t>
      </w:r>
    </w:p>
    <w:p w14:paraId="4445873A"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занижение количества присваиваемых баллов заявке путем заведомого неучитывания сведений в заявке участника, подтверждающих нестоимостные критерии оценки.</w:t>
      </w:r>
    </w:p>
    <w:p w14:paraId="3A619E60"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3. В отношении закупок, осуществляемых в форме конкурса с ограниченным участием:</w:t>
      </w:r>
    </w:p>
    <w:p w14:paraId="4E05AEB4"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неправомерный выбор способа закупки;</w:t>
      </w:r>
    </w:p>
    <w:p w14:paraId="4B0C0376"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нарушение порядка оценки, в частности, отсутствие пропорциональной зависимости между количеством присваиваемых баллов и представленными сведениями по указанным показателям, отсутствие предмета оценки по нестоимостным критериям;</w:t>
      </w:r>
    </w:p>
    <w:p w14:paraId="26ED9811" w14:textId="77777777" w:rsidR="00073394" w:rsidRDefault="00073394" w:rsidP="00073394">
      <w:pPr>
        <w:pStyle w:val="Standard"/>
        <w:ind w:firstLine="709"/>
        <w:jc w:val="both"/>
        <w:rPr>
          <w:sz w:val="28"/>
        </w:rPr>
      </w:pPr>
      <w:r>
        <w:rPr>
          <w:sz w:val="28"/>
          <w:szCs w:val="28"/>
          <w:shd w:val="clear" w:color="auto" w:fill="FFFFFF"/>
        </w:rPr>
        <w:t>-</w:t>
      </w:r>
      <w:r>
        <w:rPr>
          <w:sz w:val="28"/>
          <w:szCs w:val="28"/>
          <w:shd w:val="clear" w:color="auto" w:fill="FFFFFF"/>
        </w:rPr>
        <w:tab/>
        <w:t xml:space="preserve">установление с нарушением дополнительных требований </w:t>
      </w:r>
      <w:r>
        <w:rPr>
          <w:sz w:val="28"/>
        </w:rPr>
        <w:t>к участникам закупки, в том числе о наличии материальных ресурсов;</w:t>
      </w:r>
    </w:p>
    <w:p w14:paraId="03EF819F"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неправомерное отклонение участников закупки;</w:t>
      </w:r>
    </w:p>
    <w:p w14:paraId="164C6224" w14:textId="77777777" w:rsidR="00073394" w:rsidRDefault="00073394" w:rsidP="00073394">
      <w:pPr>
        <w:pStyle w:val="Standard"/>
        <w:spacing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неправомерный допуск к участию в закупке.</w:t>
      </w:r>
    </w:p>
    <w:p w14:paraId="289FB4D5" w14:textId="77777777" w:rsidR="00073394" w:rsidRPr="00B6343C"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cs="Times New Roman"/>
          <w:b/>
          <w:sz w:val="28"/>
          <w:szCs w:val="28"/>
          <w:lang w:val="en-US"/>
        </w:rPr>
        <w:t>II</w:t>
      </w:r>
      <w:r w:rsidRPr="006F057B">
        <w:rPr>
          <w:rFonts w:cs="Times New Roman"/>
          <w:b/>
          <w:sz w:val="28"/>
          <w:szCs w:val="28"/>
        </w:rPr>
        <w:t>.</w:t>
      </w:r>
      <w:r w:rsidRPr="006F057B">
        <w:rPr>
          <w:rFonts w:cs="Times New Roman"/>
          <w:sz w:val="28"/>
          <w:szCs w:val="28"/>
        </w:rPr>
        <w:t xml:space="preserve"> </w:t>
      </w:r>
      <w:r w:rsidRPr="006F057B">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закупках отдельными видами юридических лиц (Закон 223-ФЗ),</w:t>
      </w:r>
      <w:r w:rsidRPr="006F057B">
        <w:rPr>
          <w:rFonts w:eastAsia="Calibri" w:cs="Calibri"/>
          <w:color w:val="000000"/>
          <w:sz w:val="28"/>
          <w:szCs w:val="28"/>
          <w:shd w:val="clear" w:color="auto" w:fill="FFFFFF"/>
        </w:rPr>
        <w:t xml:space="preserve"> выявленными в результате рассмотрения жалоб являются:</w:t>
      </w:r>
    </w:p>
    <w:p w14:paraId="11E9131E" w14:textId="77777777" w:rsidR="00073394" w:rsidRDefault="00073394" w:rsidP="00073394">
      <w:pPr>
        <w:pStyle w:val="Textbody"/>
        <w:spacing w:after="0"/>
        <w:ind w:firstLine="690"/>
        <w:contextualSpacing/>
        <w:jc w:val="both"/>
        <w:rPr>
          <w:b/>
          <w:sz w:val="28"/>
          <w:szCs w:val="28"/>
        </w:rPr>
      </w:pPr>
      <w:r>
        <w:rPr>
          <w:sz w:val="28"/>
          <w:szCs w:val="28"/>
        </w:rPr>
        <w:t>1. У</w:t>
      </w:r>
      <w:r w:rsidRPr="00B6343C">
        <w:rPr>
          <w:sz w:val="28"/>
          <w:szCs w:val="28"/>
        </w:rPr>
        <w:t xml:space="preserve">становление требования </w:t>
      </w:r>
      <w:r w:rsidRPr="00B6343C">
        <w:rPr>
          <w:b/>
          <w:sz w:val="28"/>
          <w:szCs w:val="28"/>
        </w:rPr>
        <w:t>на допуск</w:t>
      </w:r>
      <w:r>
        <w:rPr>
          <w:b/>
          <w:sz w:val="28"/>
          <w:szCs w:val="28"/>
        </w:rPr>
        <w:t xml:space="preserve"> </w:t>
      </w:r>
      <w:r w:rsidRPr="00B6343C">
        <w:rPr>
          <w:sz w:val="28"/>
          <w:szCs w:val="28"/>
        </w:rPr>
        <w:t>к участнику закупки</w:t>
      </w:r>
      <w:r>
        <w:rPr>
          <w:b/>
          <w:sz w:val="28"/>
          <w:szCs w:val="28"/>
        </w:rPr>
        <w:t>:</w:t>
      </w:r>
    </w:p>
    <w:p w14:paraId="358F212B" w14:textId="77777777" w:rsidR="00073394" w:rsidRDefault="00073394" w:rsidP="00073394">
      <w:pPr>
        <w:pStyle w:val="Textbody"/>
        <w:spacing w:after="0"/>
        <w:ind w:firstLine="690"/>
        <w:contextualSpacing/>
        <w:jc w:val="both"/>
        <w:rPr>
          <w:sz w:val="28"/>
          <w:szCs w:val="28"/>
        </w:rPr>
      </w:pPr>
      <w:r>
        <w:rPr>
          <w:b/>
          <w:sz w:val="28"/>
          <w:szCs w:val="28"/>
        </w:rPr>
        <w:t>-</w:t>
      </w:r>
      <w:r>
        <w:rPr>
          <w:sz w:val="28"/>
          <w:szCs w:val="28"/>
        </w:rPr>
        <w:tab/>
      </w:r>
      <w:r w:rsidRPr="00B6343C">
        <w:rPr>
          <w:sz w:val="28"/>
          <w:szCs w:val="28"/>
        </w:rPr>
        <w:t>о подтверждении наличия опыта поставки товаров, выполнения работ, оказания услуг по предмету закупки</w:t>
      </w:r>
      <w:r>
        <w:rPr>
          <w:sz w:val="28"/>
          <w:szCs w:val="28"/>
        </w:rPr>
        <w:t>;</w:t>
      </w:r>
    </w:p>
    <w:p w14:paraId="4EF83C19"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должен являться производителем товара, либо обладать правом поставки товаров, предоставленным производителем (представить в составе заявки письма от производител</w:t>
      </w:r>
      <w:r>
        <w:rPr>
          <w:sz w:val="28"/>
          <w:szCs w:val="28"/>
        </w:rPr>
        <w:t>я, дилерские договоры и прочее);</w:t>
      </w:r>
    </w:p>
    <w:p w14:paraId="24265DE1"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квалифицированного персонала исключительно в штате организаци</w:t>
      </w:r>
      <w:r>
        <w:rPr>
          <w:sz w:val="28"/>
          <w:szCs w:val="28"/>
        </w:rPr>
        <w:t>и;</w:t>
      </w:r>
    </w:p>
    <w:p w14:paraId="6EEC4F8F"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производственных мощн</w:t>
      </w:r>
      <w:r>
        <w:rPr>
          <w:sz w:val="28"/>
          <w:szCs w:val="28"/>
        </w:rPr>
        <w:t>остей (ресурсов)</w:t>
      </w:r>
      <w:r w:rsidRPr="00B6343C">
        <w:rPr>
          <w:sz w:val="28"/>
          <w:szCs w:val="28"/>
        </w:rPr>
        <w:t xml:space="preserve"> при осуществлении закупки на поставку товара.</w:t>
      </w:r>
    </w:p>
    <w:p w14:paraId="7AB52472" w14:textId="77777777" w:rsidR="00073394" w:rsidRDefault="00073394" w:rsidP="00073394">
      <w:pPr>
        <w:pStyle w:val="Textbody"/>
        <w:spacing w:after="0"/>
        <w:ind w:firstLine="690"/>
        <w:contextualSpacing/>
        <w:jc w:val="both"/>
        <w:rPr>
          <w:sz w:val="28"/>
          <w:szCs w:val="28"/>
        </w:rPr>
      </w:pPr>
      <w:r>
        <w:rPr>
          <w:sz w:val="28"/>
          <w:szCs w:val="28"/>
        </w:rPr>
        <w:t xml:space="preserve">2. </w:t>
      </w:r>
      <w:r w:rsidRPr="00B6343C">
        <w:rPr>
          <w:sz w:val="28"/>
          <w:szCs w:val="28"/>
        </w:rPr>
        <w:t>Установление права заказчика проверять достоверность сведений, информации и документов, содержащихся в заявках участников, путем выездных проверок, а также осуществлять дозапрос информации и документов</w:t>
      </w:r>
      <w:r>
        <w:rPr>
          <w:sz w:val="28"/>
          <w:szCs w:val="28"/>
        </w:rPr>
        <w:t xml:space="preserve"> после вскрытия поданных заявок.</w:t>
      </w:r>
    </w:p>
    <w:p w14:paraId="1244213A" w14:textId="77777777" w:rsidR="00073394" w:rsidRDefault="00073394" w:rsidP="00073394">
      <w:pPr>
        <w:pStyle w:val="Textbody"/>
        <w:spacing w:after="0"/>
        <w:ind w:firstLine="690"/>
        <w:contextualSpacing/>
        <w:jc w:val="both"/>
        <w:rPr>
          <w:sz w:val="28"/>
          <w:szCs w:val="28"/>
        </w:rPr>
      </w:pPr>
      <w:r>
        <w:rPr>
          <w:sz w:val="28"/>
          <w:szCs w:val="28"/>
        </w:rPr>
        <w:t xml:space="preserve">3. </w:t>
      </w:r>
      <w:r w:rsidRPr="00B6343C">
        <w:rPr>
          <w:sz w:val="28"/>
          <w:szCs w:val="28"/>
        </w:rPr>
        <w:t>Установление требования о наличии документального подтверждения от субподрядчиков о готовности оказать передаваемые объемы в качестве обязательного требования, о представлении сведений о планируемых к привлечению субподрядных организациях либо привлечение субподрядчиков только с письменного разрешения Заказчика, в качестве обязательных требований.</w:t>
      </w:r>
    </w:p>
    <w:p w14:paraId="5ABB72A1" w14:textId="77777777" w:rsidR="00073394" w:rsidRDefault="00073394" w:rsidP="00073394">
      <w:pPr>
        <w:pStyle w:val="Textbody"/>
        <w:spacing w:after="0"/>
        <w:ind w:firstLine="690"/>
        <w:contextualSpacing/>
        <w:jc w:val="both"/>
        <w:rPr>
          <w:sz w:val="28"/>
          <w:szCs w:val="28"/>
        </w:rPr>
      </w:pPr>
      <w:r>
        <w:rPr>
          <w:sz w:val="28"/>
          <w:szCs w:val="28"/>
        </w:rPr>
        <w:t xml:space="preserve">4. </w:t>
      </w:r>
      <w:r w:rsidRPr="00B6343C">
        <w:rPr>
          <w:sz w:val="28"/>
          <w:szCs w:val="28"/>
        </w:rPr>
        <w:t>Отсутствие в составе закупочной документации, размещенной в ЕИС, проектно-сметной документации в полном объеме.</w:t>
      </w:r>
    </w:p>
    <w:p w14:paraId="64296C0B" w14:textId="77777777" w:rsidR="00073394" w:rsidRDefault="00073394" w:rsidP="00073394">
      <w:pPr>
        <w:pStyle w:val="Textbody"/>
        <w:spacing w:after="0"/>
        <w:ind w:firstLine="690"/>
        <w:contextualSpacing/>
        <w:jc w:val="both"/>
        <w:rPr>
          <w:sz w:val="28"/>
          <w:szCs w:val="28"/>
        </w:rPr>
      </w:pPr>
      <w:r>
        <w:rPr>
          <w:sz w:val="28"/>
          <w:szCs w:val="28"/>
        </w:rPr>
        <w:t xml:space="preserve">5. </w:t>
      </w:r>
      <w:r w:rsidRPr="00B6343C">
        <w:rPr>
          <w:sz w:val="28"/>
          <w:szCs w:val="28"/>
        </w:rPr>
        <w:t>Установление требования об отсутствии у участника закупки недоимки по налогам.</w:t>
      </w:r>
    </w:p>
    <w:p w14:paraId="2422CEDE" w14:textId="77777777" w:rsidR="00073394" w:rsidRDefault="00073394" w:rsidP="00073394">
      <w:pPr>
        <w:pStyle w:val="Textbody"/>
        <w:spacing w:after="0"/>
        <w:ind w:firstLine="690"/>
        <w:contextualSpacing/>
        <w:jc w:val="both"/>
        <w:rPr>
          <w:sz w:val="28"/>
          <w:szCs w:val="28"/>
        </w:rPr>
      </w:pPr>
      <w:r>
        <w:rPr>
          <w:sz w:val="28"/>
          <w:szCs w:val="28"/>
        </w:rPr>
        <w:t xml:space="preserve">6. </w:t>
      </w:r>
      <w:r w:rsidRPr="00B6343C">
        <w:rPr>
          <w:sz w:val="28"/>
          <w:szCs w:val="28"/>
        </w:rPr>
        <w:t>Установление требования о предоставлении до заключения договора сведений о владельцах и бенефициарах участника.</w:t>
      </w:r>
    </w:p>
    <w:p w14:paraId="6666F190" w14:textId="77777777" w:rsidR="00073394" w:rsidRDefault="00073394" w:rsidP="00073394">
      <w:pPr>
        <w:pStyle w:val="Textbody"/>
        <w:spacing w:after="0"/>
        <w:ind w:firstLine="690"/>
        <w:contextualSpacing/>
        <w:jc w:val="both"/>
        <w:rPr>
          <w:sz w:val="28"/>
          <w:szCs w:val="28"/>
        </w:rPr>
      </w:pPr>
      <w:r>
        <w:rPr>
          <w:sz w:val="28"/>
          <w:szCs w:val="28"/>
        </w:rPr>
        <w:t xml:space="preserve">7. </w:t>
      </w:r>
      <w:r w:rsidRPr="00B6343C">
        <w:rPr>
          <w:sz w:val="28"/>
          <w:szCs w:val="28"/>
        </w:rPr>
        <w:t>Установление требование о предоставлении банковской гарантии для обеспечения исполнения обязательств по договору, заключаемому по результатам проведения закупки, из установленного в документации списка банков или согласование с заказчиком банка, банковская гарантия которого принимается заказчиком для обеспечения исполнения обязательств по договору, заключаемому по результатам проведения закупки.</w:t>
      </w:r>
    </w:p>
    <w:p w14:paraId="164E1621" w14:textId="77777777" w:rsidR="00073394" w:rsidRDefault="00073394" w:rsidP="00073394">
      <w:pPr>
        <w:pStyle w:val="Textbody"/>
        <w:spacing w:after="0"/>
        <w:ind w:firstLine="690"/>
        <w:contextualSpacing/>
        <w:jc w:val="both"/>
        <w:rPr>
          <w:sz w:val="28"/>
          <w:szCs w:val="28"/>
        </w:rPr>
      </w:pPr>
      <w:r>
        <w:rPr>
          <w:sz w:val="28"/>
          <w:szCs w:val="28"/>
        </w:rPr>
        <w:t xml:space="preserve">8. </w:t>
      </w:r>
      <w:r w:rsidRPr="00B6343C">
        <w:rPr>
          <w:sz w:val="28"/>
          <w:szCs w:val="28"/>
        </w:rPr>
        <w:t>Установление требования о предоставлении гарантийного письма о наименовании производителя предлагаемой к поставке продукции</w:t>
      </w:r>
      <w:r>
        <w:rPr>
          <w:sz w:val="28"/>
          <w:szCs w:val="28"/>
        </w:rPr>
        <w:t>.</w:t>
      </w:r>
    </w:p>
    <w:p w14:paraId="4CB3AA48" w14:textId="77777777" w:rsidR="00073394" w:rsidRDefault="00073394" w:rsidP="00073394">
      <w:pPr>
        <w:pStyle w:val="Textbody"/>
        <w:spacing w:after="0"/>
        <w:ind w:firstLine="690"/>
        <w:contextualSpacing/>
        <w:jc w:val="both"/>
        <w:rPr>
          <w:sz w:val="28"/>
          <w:szCs w:val="28"/>
        </w:rPr>
      </w:pPr>
      <w:r>
        <w:rPr>
          <w:sz w:val="28"/>
          <w:szCs w:val="28"/>
        </w:rPr>
        <w:t xml:space="preserve">9. </w:t>
      </w:r>
      <w:r w:rsidRPr="00B6343C">
        <w:rPr>
          <w:sz w:val="28"/>
          <w:szCs w:val="28"/>
        </w:rPr>
        <w:t>Установление требование о предоставлении в составе заявки документов на продукцию (паспорта качества, сертификат и тд)</w:t>
      </w:r>
      <w:r>
        <w:rPr>
          <w:sz w:val="28"/>
          <w:szCs w:val="28"/>
        </w:rPr>
        <w:t>.</w:t>
      </w:r>
    </w:p>
    <w:p w14:paraId="23987223" w14:textId="77777777" w:rsidR="00073394" w:rsidRDefault="00073394" w:rsidP="00073394">
      <w:pPr>
        <w:pStyle w:val="Textbody"/>
        <w:spacing w:after="0"/>
        <w:ind w:firstLine="690"/>
        <w:contextualSpacing/>
        <w:jc w:val="both"/>
        <w:rPr>
          <w:sz w:val="28"/>
          <w:szCs w:val="28"/>
        </w:rPr>
      </w:pPr>
      <w:r>
        <w:rPr>
          <w:sz w:val="28"/>
          <w:szCs w:val="28"/>
        </w:rPr>
        <w:t xml:space="preserve">10. </w:t>
      </w:r>
      <w:r w:rsidRPr="00B6343C">
        <w:rPr>
          <w:sz w:val="28"/>
          <w:szCs w:val="28"/>
        </w:rPr>
        <w:t>Установление конкретных технических требований оборудования, не позволяющих подобрать эквивалентную продукцию</w:t>
      </w:r>
      <w:r>
        <w:rPr>
          <w:sz w:val="28"/>
          <w:szCs w:val="28"/>
        </w:rPr>
        <w:t>.</w:t>
      </w:r>
    </w:p>
    <w:p w14:paraId="2A5F645C" w14:textId="77777777" w:rsidR="00073394" w:rsidRDefault="00073394" w:rsidP="00073394">
      <w:pPr>
        <w:pStyle w:val="Textbody"/>
        <w:spacing w:after="0"/>
        <w:ind w:firstLine="690"/>
        <w:contextualSpacing/>
        <w:jc w:val="both"/>
        <w:rPr>
          <w:sz w:val="28"/>
          <w:szCs w:val="28"/>
        </w:rPr>
      </w:pPr>
      <w:r>
        <w:rPr>
          <w:sz w:val="28"/>
          <w:szCs w:val="28"/>
        </w:rPr>
        <w:t xml:space="preserve">11. </w:t>
      </w:r>
      <w:r w:rsidRPr="00B6343C">
        <w:rPr>
          <w:sz w:val="28"/>
          <w:szCs w:val="28"/>
        </w:rPr>
        <w:t>Установление в качестве критерия оценки и сопоставления заявок, поданных на участие в закупке, критерий «Опыт выполнения аналогичных работ».</w:t>
      </w:r>
    </w:p>
    <w:p w14:paraId="2899E761" w14:textId="77777777" w:rsidR="00073394" w:rsidRPr="00B6343C" w:rsidRDefault="00073394" w:rsidP="00073394">
      <w:pPr>
        <w:pStyle w:val="Textbody"/>
        <w:spacing w:after="0"/>
        <w:ind w:firstLine="690"/>
        <w:contextualSpacing/>
        <w:jc w:val="both"/>
        <w:rPr>
          <w:sz w:val="28"/>
          <w:szCs w:val="28"/>
        </w:rPr>
      </w:pPr>
      <w:r>
        <w:rPr>
          <w:sz w:val="28"/>
          <w:szCs w:val="28"/>
        </w:rPr>
        <w:t xml:space="preserve">12. </w:t>
      </w:r>
      <w:r w:rsidRPr="00B6343C">
        <w:rPr>
          <w:sz w:val="28"/>
          <w:szCs w:val="28"/>
        </w:rPr>
        <w:t>Установление в качестве критериев оценки и сопоставления заявок, поданных на участие в закупке, требований, аналогичных требованиям, предъявляемым к участникам закупки на допуск к участию в закупке.</w:t>
      </w:r>
    </w:p>
    <w:p w14:paraId="59F176A8" w14:textId="77777777" w:rsidR="00073394" w:rsidRPr="00BD704D" w:rsidRDefault="00073394" w:rsidP="00073394">
      <w:pPr>
        <w:pStyle w:val="ab"/>
        <w:spacing w:before="0" w:beforeAutospacing="0" w:after="0"/>
        <w:ind w:firstLine="851"/>
        <w:contextualSpacing/>
        <w:jc w:val="both"/>
        <w:rPr>
          <w:i/>
          <w:sz w:val="28"/>
          <w:szCs w:val="28"/>
        </w:rPr>
      </w:pPr>
      <w:r w:rsidRPr="00BD704D">
        <w:rPr>
          <w:bCs/>
          <w:i/>
          <w:sz w:val="28"/>
          <w:szCs w:val="28"/>
        </w:rPr>
        <w:t>Предложения по совершенствованию системы государственных и корпоративных закупок, в том числе нормативно-правового характера.</w:t>
      </w:r>
    </w:p>
    <w:p w14:paraId="1F61FCED" w14:textId="77777777"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В целях обеспечения эффективного расходования бюджетных средств, обеспечения экономической безопасности Российской Федерации, снижения коррупционных рисков и усиления контроля в сфере государственных и муниципальных закупок ФАС России предлагает следующее.</w:t>
      </w:r>
    </w:p>
    <w:p w14:paraId="0D30C72C" w14:textId="77777777" w:rsidR="00073394" w:rsidRPr="00E55838" w:rsidRDefault="00073394" w:rsidP="00BE213D">
      <w:pPr>
        <w:pStyle w:val="ab"/>
        <w:numPr>
          <w:ilvl w:val="0"/>
          <w:numId w:val="11"/>
        </w:numPr>
        <w:spacing w:before="0" w:beforeAutospacing="0" w:after="0"/>
        <w:ind w:left="0" w:firstLine="851"/>
        <w:contextualSpacing/>
        <w:jc w:val="both"/>
        <w:rPr>
          <w:sz w:val="28"/>
          <w:szCs w:val="28"/>
        </w:rPr>
      </w:pPr>
      <w:r w:rsidRPr="00E55838">
        <w:rPr>
          <w:sz w:val="28"/>
          <w:szCs w:val="28"/>
        </w:rPr>
        <w:t>Внесение изменений в Закон 44-ФЗ в части установления простой формы согласия участника закупки на поставку товаров, выполнение работ, оказание услуг на условиях, изложенных в документации о закупке, без предоставления конкретных показателей товаров.</w:t>
      </w:r>
    </w:p>
    <w:p w14:paraId="2355A9DE"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При этом, учитывая масштабные поправки в Закон 44-ФЗ в части перевода закупок в электронную форму, согласие может быть дано участником закупки с использованием программно-аппаратных средств электронной площадки.</w:t>
      </w:r>
    </w:p>
    <w:p w14:paraId="28627D0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исключить коррупционную составляющую при проведении закупок для обеспечения государственных и муниципальных нужд и выбора «своего» участника закупки.</w:t>
      </w:r>
    </w:p>
    <w:p w14:paraId="6563EF34" w14:textId="77777777" w:rsidR="00073394" w:rsidRPr="00E55838" w:rsidRDefault="00073394" w:rsidP="00BE213D">
      <w:pPr>
        <w:pStyle w:val="ab"/>
        <w:numPr>
          <w:ilvl w:val="0"/>
          <w:numId w:val="11"/>
        </w:numPr>
        <w:spacing w:before="0" w:beforeAutospacing="0" w:after="0"/>
        <w:ind w:left="0" w:firstLine="851"/>
        <w:contextualSpacing/>
        <w:jc w:val="both"/>
        <w:rPr>
          <w:sz w:val="28"/>
          <w:szCs w:val="28"/>
        </w:rPr>
      </w:pPr>
      <w:r w:rsidRPr="00E55838">
        <w:rPr>
          <w:sz w:val="28"/>
          <w:szCs w:val="28"/>
        </w:rPr>
        <w:t>Исключение цикличности проведения несостоявшихся торгов и возможность согласования с ФАС России единственных поставщиков (подрядчиков, исполнителей) при отсутствии иных заявок на участие в закупке и соответствии указанной заявки требованиям документации.</w:t>
      </w:r>
    </w:p>
    <w:p w14:paraId="45DC806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Внесение соответствующих изменений позволит эффективно осуществлять расходование бюджетных средств без дополнительной потери временных ресурсов.</w:t>
      </w:r>
    </w:p>
    <w:p w14:paraId="3737839B" w14:textId="77777777" w:rsidR="00073394" w:rsidRPr="00E55838" w:rsidRDefault="00073394" w:rsidP="00BE213D">
      <w:pPr>
        <w:pStyle w:val="ab"/>
        <w:numPr>
          <w:ilvl w:val="0"/>
          <w:numId w:val="11"/>
        </w:numPr>
        <w:spacing w:before="0" w:beforeAutospacing="0" w:after="0"/>
        <w:ind w:left="0" w:firstLine="851"/>
        <w:contextualSpacing/>
        <w:jc w:val="both"/>
        <w:rPr>
          <w:sz w:val="28"/>
          <w:szCs w:val="28"/>
        </w:rPr>
      </w:pPr>
      <w:r w:rsidRPr="00E55838">
        <w:rPr>
          <w:color w:val="000000"/>
          <w:sz w:val="28"/>
          <w:szCs w:val="28"/>
        </w:rPr>
        <w:t>Проведение предквалификационного отбора участников в отношении всех видов закупок во всех отраслях с начальной (максимальной) ценой контракта свыше определенной суммы.</w:t>
      </w:r>
    </w:p>
    <w:p w14:paraId="67C09903"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Проверка соответствия участников закупки предквалификационным требованиям будет осуществляться в автоматическом режиме через единую информационную систему, что обеспечит конфиденциальность информации об участниках закупок.</w:t>
      </w:r>
    </w:p>
    <w:p w14:paraId="62BB01C6"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допустить к участию в закупках только лиц, имеющих опыт выполнения аналогичных контрактов.</w:t>
      </w:r>
    </w:p>
    <w:p w14:paraId="3B3FE22B" w14:textId="77777777" w:rsidR="00073394" w:rsidRPr="00E55838" w:rsidRDefault="00073394" w:rsidP="00BE213D">
      <w:pPr>
        <w:pStyle w:val="ab"/>
        <w:numPr>
          <w:ilvl w:val="0"/>
          <w:numId w:val="11"/>
        </w:numPr>
        <w:spacing w:before="0" w:beforeAutospacing="0" w:after="0"/>
        <w:ind w:left="0" w:firstLine="851"/>
        <w:contextualSpacing/>
        <w:jc w:val="both"/>
        <w:rPr>
          <w:sz w:val="28"/>
          <w:szCs w:val="28"/>
        </w:rPr>
      </w:pPr>
      <w:r w:rsidRPr="00E55838">
        <w:rPr>
          <w:sz w:val="28"/>
          <w:szCs w:val="28"/>
        </w:rPr>
        <w:t>Введение механизма взимания платы с заявителей в случае признания контрольным органом в сфере закупок жалобы необоснованной.</w:t>
      </w:r>
    </w:p>
    <w:p w14:paraId="1CD47246" w14:textId="77777777"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Указанный механизм позволит сократить количество поступающих жалоб от недобросовестных участников рынка, целью которых является срыв проведения закупки.</w:t>
      </w:r>
    </w:p>
    <w:p w14:paraId="1D30BB6D" w14:textId="77777777" w:rsidR="00073394" w:rsidRPr="00E55838" w:rsidRDefault="00073394" w:rsidP="00BE213D">
      <w:pPr>
        <w:pStyle w:val="ab"/>
        <w:numPr>
          <w:ilvl w:val="0"/>
          <w:numId w:val="11"/>
        </w:numPr>
        <w:spacing w:before="0" w:beforeAutospacing="0" w:after="0"/>
        <w:ind w:left="0" w:firstLine="851"/>
        <w:contextualSpacing/>
        <w:jc w:val="both"/>
        <w:rPr>
          <w:sz w:val="28"/>
          <w:szCs w:val="28"/>
        </w:rPr>
      </w:pPr>
      <w:r w:rsidRPr="00E55838">
        <w:rPr>
          <w:sz w:val="28"/>
          <w:szCs w:val="28"/>
        </w:rPr>
        <w:t>Включение в перечень лиц, действия которых подлежат контролю со стороны ФАС России, юридического лица, осуществляющего обязательства по обеспечению функционирования единой информационной системы, и банков, на специальные счета которых вносятся предназначенные для обеспечения заявок денежные средства участников открытого конкурса в электронной форме, конкурса с ограниченным участием в электронной форме, двухэтапного конкурса в электронной форме, электронного аукциона, а также денежные средства участников закрытых электронных процедур.</w:t>
      </w:r>
    </w:p>
    <w:p w14:paraId="71930FD3" w14:textId="77777777" w:rsidR="00073394" w:rsidRPr="00E55838" w:rsidRDefault="00073394" w:rsidP="00BE213D">
      <w:pPr>
        <w:pStyle w:val="ab"/>
        <w:numPr>
          <w:ilvl w:val="0"/>
          <w:numId w:val="11"/>
        </w:numPr>
        <w:spacing w:before="0" w:beforeAutospacing="0" w:after="0"/>
        <w:ind w:left="0" w:firstLine="851"/>
        <w:contextualSpacing/>
        <w:jc w:val="both"/>
        <w:rPr>
          <w:sz w:val="28"/>
          <w:szCs w:val="28"/>
        </w:rPr>
      </w:pPr>
      <w:r w:rsidRPr="00E55838">
        <w:rPr>
          <w:sz w:val="28"/>
          <w:szCs w:val="28"/>
        </w:rPr>
        <w:t>В целях защиты прав исполнителя по контракту обеспечить синхронизацию вступления в силу решения заказчика об одностороннем расторжении контракта с решением контролирующего органа в сфере закупок о включении сведений об исполнителе в реестр недобросовестных поставщиков (далее – РНП), в связи с чем, предлагается предоставить право обжалования во внесудебном порядке решения заказчика об одностороннем отказе от исполнения контракта, а также обеспечить вступление указанного решения в силу только после принятия ФАС России решения о включении информации об исполнителе по контракту в РНП.</w:t>
      </w:r>
    </w:p>
    <w:p w14:paraId="31D2F994" w14:textId="77777777" w:rsidR="00073394" w:rsidRDefault="00073394" w:rsidP="00073394">
      <w:pPr>
        <w:pStyle w:val="ab"/>
        <w:spacing w:before="0" w:beforeAutospacing="0" w:after="0"/>
        <w:ind w:firstLine="708"/>
        <w:contextualSpacing/>
        <w:jc w:val="both"/>
        <w:rPr>
          <w:sz w:val="28"/>
          <w:szCs w:val="28"/>
        </w:rPr>
      </w:pPr>
      <w:r w:rsidRPr="00E55838">
        <w:rPr>
          <w:sz w:val="28"/>
          <w:szCs w:val="28"/>
        </w:rPr>
        <w:t>При этом, целесообразно, предусмотреть удержание обеспечения исполнения контракта в пользу заказчика при одностороннем расторжении контракта с исполнителем исключительно в случае включения сведений в РНП.</w:t>
      </w:r>
    </w:p>
    <w:p w14:paraId="51061C1E" w14:textId="77777777" w:rsidR="00073394" w:rsidRPr="00DC3AA6" w:rsidRDefault="00073394" w:rsidP="00073394">
      <w:pPr>
        <w:spacing w:after="0" w:line="240" w:lineRule="auto"/>
        <w:jc w:val="center"/>
        <w:rPr>
          <w:rFonts w:ascii="Times New Roman" w:hAnsi="Times New Roman" w:cs="Times New Roman"/>
          <w:b/>
          <w:sz w:val="28"/>
          <w:szCs w:val="28"/>
        </w:rPr>
      </w:pPr>
      <w:r w:rsidRPr="000E6D3C">
        <w:rPr>
          <w:rFonts w:ascii="Times New Roman" w:hAnsi="Times New Roman" w:cs="Times New Roman"/>
          <w:b/>
          <w:sz w:val="28"/>
          <w:szCs w:val="28"/>
        </w:rPr>
        <w:t>Системное развитие конкурентного доступа к государств</w:t>
      </w:r>
      <w:r>
        <w:rPr>
          <w:rFonts w:ascii="Times New Roman" w:hAnsi="Times New Roman" w:cs="Times New Roman"/>
          <w:b/>
          <w:sz w:val="28"/>
          <w:szCs w:val="28"/>
        </w:rPr>
        <w:t>енным ресурсам по итогам торгов</w:t>
      </w:r>
    </w:p>
    <w:p w14:paraId="727195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настоящее время большинство нормативных правовых актов в различных отраслях экономики как на федеральном уровне, так и на уровне муниципальных образований предусматривает предоставление хозяйствующим субъектам государственного и муниципального имущества, имущественных прав и природных ресурсов, принадлежащих отдельных группам лиц, на конкурентной основе, по итогам проведения торгов.</w:t>
      </w:r>
    </w:p>
    <w:p w14:paraId="0A70BC2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При этом такие нормативные правовые акты устанавливают разные подходы к регулированию порядка проведения торгов того или иного имущества (ресурса) на конкурентной основе. Кроме того, вариативность подходов к урегулированию порядков предоставления и, соответственно, получения прав на государственные ресурсы, а также ресурсы отдельных категорий лиц, прослеживается и в самих процедурах торгов, предполагающих различные, отличные друг от друга порядки информационного обеспечения, требования к заявкам и претендентам на участие в торгах, основания отказа в допуске к участию в торгах, процедуры проведения самих торговых сессий, порядки заключения договоров по результатам торгов. </w:t>
      </w:r>
    </w:p>
    <w:p w14:paraId="21EE7A6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Существующее многообразие процедур проведения торгов создает неопределенность как для организаторов торгов, так и лиц, заинтересованных в участии в них, что неизбежно сказывается на развитии конкуренции и эффективности вовлечения в хозяйственный оборот государственного и муниципального имущества, имущественных прав и природных ресурсов в различных отраслях экономики, и, более того, создает предпосылки для различных злоупотреблений правом и способствует развитию коррупции.</w:t>
      </w:r>
    </w:p>
    <w:p w14:paraId="54DBC77E"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целях снижения негативного влияния субъективных факторов на прозрачность организации и проведения обязательных в силу законодательства торгов и снижения уровня административных барьеров в данной сфере, препятствующих эффективному вовлечению в хозяйственный оборот государственного и муниципального имущества, имущественных прав и природных ресурсов и негативно влияющих на развитие конкуренции, ФАС России с 2014 года ведется работа по унификации торгов на продажу.</w:t>
      </w:r>
    </w:p>
    <w:p w14:paraId="0E811E71"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2016 году ФАС России совместно с Общероссийской общественной организацией «Деловая Россия» выступило с инициативой о необходимости унификации процедур обязательных в силу законодательства Российской Федерации торгов и установления единого порядка организации и проведения торгов в электронной форме на едином перечне электронных площадок, функционирующих по единым требованиям.</w:t>
      </w:r>
    </w:p>
    <w:p w14:paraId="0A799D96"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Указанная инициатива была поддержана Президентом Российской Федерации. В дальнейшем данная инициатива нашла отражение в решениях Правительства Российской Федерации, в соответствии с которыми федеральным органам исполнительной власти Российской Федерации было поручено разработать и внести в Правительство Российской Федерации законопроект, предусматривающий унификацию процедур торгов в отношении государственного (муниципального) имущества, имущественных прав и природных ресурсов в рамках </w:t>
      </w:r>
      <w:r>
        <w:rPr>
          <w:rFonts w:ascii="Times New Roman" w:hAnsi="Times New Roman" w:cs="Times New Roman"/>
          <w:sz w:val="28"/>
          <w:szCs w:val="28"/>
        </w:rPr>
        <w:t>З</w:t>
      </w:r>
      <w:r w:rsidRPr="000E6D3C">
        <w:rPr>
          <w:rFonts w:ascii="Times New Roman" w:hAnsi="Times New Roman" w:cs="Times New Roman"/>
          <w:sz w:val="28"/>
          <w:szCs w:val="28"/>
        </w:rPr>
        <w:t xml:space="preserve">акона № 44-ФЗ, и о необходимости проведения таких торгов в электронной форме на универсальных электронных площадках, отобранных в соответствии </w:t>
      </w:r>
      <w:r>
        <w:rPr>
          <w:rFonts w:ascii="Times New Roman" w:hAnsi="Times New Roman" w:cs="Times New Roman"/>
          <w:sz w:val="28"/>
          <w:szCs w:val="28"/>
        </w:rPr>
        <w:t>Законом</w:t>
      </w:r>
      <w:r w:rsidRPr="000E6D3C">
        <w:rPr>
          <w:rFonts w:ascii="Times New Roman" w:hAnsi="Times New Roman" w:cs="Times New Roman"/>
          <w:sz w:val="28"/>
          <w:szCs w:val="28"/>
        </w:rPr>
        <w:t xml:space="preserve"> № 44-ФЗ, функционирующих по единым правилам.</w:t>
      </w:r>
    </w:p>
    <w:p w14:paraId="769F305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Также Правительством Российской Федерации был принят ряд решений, касающихся применения унифицированного подхода к торгам в отношении имущества отдельных категорий лиц, в частности, было принято решение о необходимости обеспечения проведения торгов по реализации имущества должников-банкротов на электронных площадках, функционирующих в соответствии с законодательством о контрактной системе.</w:t>
      </w:r>
    </w:p>
    <w:p w14:paraId="540FA525"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Кроме того, Правительством Российской Федерации было поддержано предложение ФАС России по переходу в прирородоресурсном блоке от конкурсов и аукционов к аукционам в электронной форме на площадках, функционирующих в соответствии Законом</w:t>
      </w:r>
      <w:r>
        <w:rPr>
          <w:rFonts w:ascii="Times New Roman" w:hAnsi="Times New Roman" w:cs="Times New Roman"/>
          <w:sz w:val="28"/>
          <w:szCs w:val="28"/>
        </w:rPr>
        <w:t xml:space="preserve"> № 44-ФЗ</w:t>
      </w:r>
      <w:r w:rsidRPr="000E6D3C">
        <w:rPr>
          <w:rFonts w:ascii="Times New Roman" w:hAnsi="Times New Roman" w:cs="Times New Roman"/>
          <w:sz w:val="28"/>
          <w:szCs w:val="28"/>
        </w:rPr>
        <w:t>. Данное предложение ФАС России нашло свое отражение в дорожных картах в сфере природных ресурсов и рыбохозяйственном комплексе, утвержденных распоряжением Правительства Российской Федерации от 16.08.2018 № 1697-р, и уже реализовано в области рыбоводства (аквакультуры) и лесного хозяйства.</w:t>
      </w:r>
    </w:p>
    <w:p w14:paraId="773F675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По итогам принятых решений Минэкономразвития России совместно с ФАС России и иными заинтересованными федеральными органами власти была начата работа над проектом федерального закона, предусматривающего установление унифицированной процедуры торгов.</w:t>
      </w:r>
    </w:p>
    <w:p w14:paraId="566D3C57"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ФАС России предлагала в рамках действующего законодательства предусмотреть единый порядок проведения торгов в электронной форме на едином пуле электронных торговых площадок с поэтапным переходом на универсальную электронную процедуру с сохранением отраслевых особенностей в рамках отраслевого законодательства; обязательное размещение информации о торгах на официальном сайте торгов (torgi.gov.ru); установление единых требований к участникам торгов с сохранением отраслевых особенностей в рамках отраслевого законодательства. На совещании в марте 2018 года вышеуказанные предложения ФАС России были поддержаны Минэкономразвития России.</w:t>
      </w:r>
    </w:p>
    <w:p w14:paraId="37B0C2A1"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Вместе с тем в дальнейшем Минэкономразвития России предложил рассмотреть вопрос о реализации концепции унификации торгов в рамках нового отдельного закона, хотя указанное предложение ранее уже многократно обсуждалось и имело множество возражений со стороны федеральных органов исполнительной власти, осуществляющих регулирование отраслевого законодательства, в том числе со стороны ФАС России.</w:t>
      </w:r>
    </w:p>
    <w:p w14:paraId="132758F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связи со сложившейся ситуацией ФАС России был предложен иной вариант приведения норм разрозненного законодательства о торгах к логичной, унифицированной структуре. </w:t>
      </w:r>
    </w:p>
    <w:p w14:paraId="678D5B6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Федеральная антимонопольная служба с 2010 года ведет планомерную работу по унификации процедуры обязательных торгов, основы которой заложены в Закон</w:t>
      </w:r>
      <w:r>
        <w:rPr>
          <w:rFonts w:ascii="Times New Roman" w:hAnsi="Times New Roman" w:cs="Times New Roman"/>
          <w:sz w:val="28"/>
          <w:szCs w:val="28"/>
        </w:rPr>
        <w:t>е о защите конкуренции</w:t>
      </w:r>
      <w:r w:rsidRPr="000E6D3C">
        <w:rPr>
          <w:rFonts w:ascii="Times New Roman" w:hAnsi="Times New Roman" w:cs="Times New Roman"/>
          <w:sz w:val="28"/>
          <w:szCs w:val="28"/>
        </w:rPr>
        <w:t xml:space="preserve">. </w:t>
      </w:r>
    </w:p>
    <w:p w14:paraId="34F7ECB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2010 году на основании статьи 17.1 Закона о защите конкуренции установлены единые правила проведения торгов на предоставление прав владения (пользования) государственным (муниципальным) имуществом. </w:t>
      </w:r>
    </w:p>
    <w:p w14:paraId="2641C73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2011 году на основании статьи 17.1 Закона о защите конкуренции был запущен единый информационный источник для размещения информации о торгах www.torgi.gov.ru. </w:t>
      </w:r>
    </w:p>
    <w:p w14:paraId="44850198"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С 2012 года на основании статьи 18.1 Закона о защите конкуренции функционирует механизм ускоренного (за 7 рабочих дней) рассмотрения жалоб на нарушение процедуры обязательных торгов, позволяющий восстанавливать нарушенные права и законные интересы хозяйствующих субъектов до заключения договора. </w:t>
      </w:r>
    </w:p>
    <w:p w14:paraId="3D9AF1E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Таким образом, в настоящее время на основании Закона о защите конкуренции осуществляется полный цикл регулирования (информационное обеспечение, порядок проведения торгов, контроль) правоотношений, связанных распределением имущественных прав. </w:t>
      </w:r>
    </w:p>
    <w:p w14:paraId="7C3FAC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Более того, в целях соответствия тенденциям цифровизации экономических процессов, расширения доступа к торгам по предоставлению прав владения, пользования государственным (муниципальным) имуществом в 2018 году ФАС России разработан законопроект, предусматривающий поправки в Закон о защите конкуренции, обеспечивающие перевод вышеуказанных торгов на электронные торговые площадки, функционирующие в соответствии с законодательством о контрактной системе.</w:t>
      </w:r>
    </w:p>
    <w:p w14:paraId="31B9175D"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Учитывая изложенное, ФАС России считает целесообразным реализацию концепции унификации общей части процедур об</w:t>
      </w:r>
      <w:r>
        <w:rPr>
          <w:rFonts w:ascii="Times New Roman" w:hAnsi="Times New Roman" w:cs="Times New Roman"/>
          <w:sz w:val="28"/>
          <w:szCs w:val="28"/>
        </w:rPr>
        <w:t xml:space="preserve">язательных торгов, </w:t>
      </w:r>
      <w:r w:rsidRPr="000E6D3C">
        <w:rPr>
          <w:rFonts w:ascii="Times New Roman" w:hAnsi="Times New Roman" w:cs="Times New Roman"/>
          <w:sz w:val="28"/>
          <w:szCs w:val="28"/>
        </w:rPr>
        <w:t>не имеющих специфических особенностей для отдельных отраслей экономической деятельности, в Законе о защите конкуренции.</w:t>
      </w:r>
    </w:p>
    <w:p w14:paraId="24C2291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2019 году ФАС России планируется продолжить работу в заданном направлении по реализации концепции унификации общей части процедуры обязательных торгов (не относящейся к отраслевой специфике) на основе Закона о защите конкуренции.</w:t>
      </w:r>
    </w:p>
    <w:p w14:paraId="47B0580A" w14:textId="77777777" w:rsidR="000E6D3C" w:rsidRDefault="000E6D3C" w:rsidP="00774AC3">
      <w:pPr>
        <w:spacing w:after="0" w:line="240" w:lineRule="auto"/>
        <w:ind w:firstLine="709"/>
        <w:jc w:val="both"/>
        <w:rPr>
          <w:rFonts w:ascii="Times New Roman" w:eastAsia="Times New Roman" w:hAnsi="Times New Roman" w:cs="Times New Roman"/>
          <w:sz w:val="28"/>
          <w:szCs w:val="28"/>
          <w:lang w:eastAsia="ru-RU"/>
        </w:rPr>
      </w:pPr>
    </w:p>
    <w:p w14:paraId="532E3FF0" w14:textId="77777777" w:rsidR="00774AC3" w:rsidRPr="00F5155C" w:rsidRDefault="00774AC3" w:rsidP="00985361">
      <w:pPr>
        <w:spacing w:after="0" w:line="240" w:lineRule="auto"/>
        <w:jc w:val="both"/>
      </w:pPr>
    </w:p>
    <w:p w14:paraId="3057BEE4" w14:textId="77777777" w:rsidR="00883C8E" w:rsidRPr="00CE7443" w:rsidRDefault="00883C8E" w:rsidP="00DA3F05">
      <w:pPr>
        <w:pStyle w:val="3"/>
      </w:pPr>
      <w:bookmarkStart w:id="19" w:name="_Toc7447930"/>
      <w:r w:rsidRPr="00CE7443">
        <w:t xml:space="preserve">Современная </w:t>
      </w:r>
      <w:r w:rsidRPr="00BE781F">
        <w:t>экономика</w:t>
      </w:r>
      <w:r w:rsidRPr="00CE7443">
        <w:t xml:space="preserve"> и картели</w:t>
      </w:r>
      <w:bookmarkStart w:id="20" w:name="_Toc6834314"/>
      <w:bookmarkStart w:id="21" w:name="_Toc6834601"/>
      <w:bookmarkStart w:id="22" w:name="_Toc6834804"/>
      <w:bookmarkEnd w:id="20"/>
      <w:bookmarkEnd w:id="21"/>
      <w:bookmarkEnd w:id="22"/>
      <w:bookmarkEnd w:id="19"/>
    </w:p>
    <w:p w14:paraId="31430F77" w14:textId="77777777" w:rsidR="00B91730" w:rsidRDefault="00B91730" w:rsidP="00883C8E">
      <w:pPr>
        <w:spacing w:after="0" w:line="360" w:lineRule="auto"/>
        <w:jc w:val="both"/>
        <w:rPr>
          <w:rFonts w:ascii="Times New Roman" w:hAnsi="Times New Roman" w:cs="Times New Roman"/>
        </w:rPr>
      </w:pPr>
    </w:p>
    <w:p w14:paraId="457ABA33" w14:textId="77777777"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Оценка состояния конкуренции в 2018 году свидетельствует о сохранении в целом негативных явлений, имевших место в 2017 году, а также увеличении опасности ряда экономических угроз, среди которых – картелизация экономики.</w:t>
      </w:r>
    </w:p>
    <w:p w14:paraId="10461E28" w14:textId="77777777"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Картели и иные антиконкурентные соглашения в Российской Федерации представляют реальную угрозу экономической безопасности страны.</w:t>
      </w:r>
    </w:p>
    <w:p w14:paraId="6CFFA006" w14:textId="77777777" w:rsidR="0083262C" w:rsidRPr="00302365"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 xml:space="preserve">Ежегодно в Российской Федерации выявляется значительное количество картелей и иных антиконкурентных соглашений. </w:t>
      </w:r>
      <w:r w:rsidRPr="00302365">
        <w:rPr>
          <w:rFonts w:ascii="Times New Roman" w:hAnsi="Times New Roman" w:cs="Times New Roman"/>
          <w:sz w:val="28"/>
          <w:szCs w:val="28"/>
        </w:rPr>
        <w:t xml:space="preserve">В 2018 году ФАС России возбуждено 768 дел об антиконкурентных соглашениях, из них 384 дела о картелях, что на 9% меньше, чем в 2017 году (423 дела). При этом более 85 % дел по картелям – сговоры на торгах (332 дела). </w:t>
      </w:r>
    </w:p>
    <w:p w14:paraId="25AAE890" w14:textId="0E19793F" w:rsidR="0083262C"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Антиконкурентные соглашения, включая наиболее опасный их вид – картели – широко распространены в сфере государственных закупок, закупок компаний с государственным участием и закупок в сфере государственного оборонного заказа, во всех секторах российской экономики, в том числе имеющих стратегическое значение. Практически треть антиконкурентных соглашений связан</w:t>
      </w:r>
      <w:r>
        <w:rPr>
          <w:rFonts w:ascii="Times New Roman" w:hAnsi="Times New Roman" w:cs="Times New Roman"/>
          <w:sz w:val="28"/>
          <w:szCs w:val="28"/>
        </w:rPr>
        <w:t>а</w:t>
      </w:r>
      <w:r w:rsidRPr="00F55FA0">
        <w:rPr>
          <w:rFonts w:ascii="Times New Roman" w:hAnsi="Times New Roman" w:cs="Times New Roman"/>
          <w:sz w:val="28"/>
          <w:szCs w:val="28"/>
        </w:rPr>
        <w:t xml:space="preserve"> с ограничением конкуренции в сфере ремонта и строительства, в том числе автомобильных дорог (29%). Лекарственные препараты – 16%, продукты питания – 8%, т</w:t>
      </w:r>
      <w:r w:rsidR="00E632AB">
        <w:rPr>
          <w:rFonts w:ascii="Times New Roman" w:hAnsi="Times New Roman" w:cs="Times New Roman"/>
          <w:sz w:val="28"/>
          <w:szCs w:val="28"/>
        </w:rPr>
        <w:t>ранспортные перевозки – 7 %; жилищно-коммунальное хозяйство (далее – ЖКХ)</w:t>
      </w:r>
      <w:r w:rsidRPr="00F55FA0">
        <w:rPr>
          <w:rFonts w:ascii="Times New Roman" w:hAnsi="Times New Roman" w:cs="Times New Roman"/>
          <w:sz w:val="28"/>
          <w:szCs w:val="28"/>
        </w:rPr>
        <w:t xml:space="preserve"> – 3%; охрана и безопасность – 3%; IT – 2%, ГСМ – 2%. (рис.1).</w:t>
      </w:r>
    </w:p>
    <w:p w14:paraId="28A8A2D2" w14:textId="77777777" w:rsidR="0083262C" w:rsidRPr="00F55FA0" w:rsidRDefault="0083262C" w:rsidP="0083262C">
      <w:pPr>
        <w:spacing w:after="0"/>
        <w:ind w:firstLine="709"/>
        <w:jc w:val="both"/>
        <w:rPr>
          <w:rFonts w:ascii="Times New Roman" w:hAnsi="Times New Roman" w:cs="Times New Roman"/>
          <w:sz w:val="28"/>
          <w:szCs w:val="28"/>
        </w:rPr>
      </w:pPr>
    </w:p>
    <w:p w14:paraId="687B2934" w14:textId="77777777" w:rsidR="0083262C" w:rsidRPr="00F55FA0" w:rsidRDefault="0083262C" w:rsidP="0083262C">
      <w:pPr>
        <w:widowControl w:val="0"/>
        <w:suppressAutoHyphens/>
        <w:spacing w:after="0" w:line="36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b/>
          <w:noProof/>
          <w:sz w:val="28"/>
          <w:szCs w:val="28"/>
          <w:lang w:eastAsia="ru-RU"/>
        </w:rPr>
        <w:drawing>
          <wp:inline distT="0" distB="0" distL="0" distR="0" wp14:anchorId="0F617504" wp14:editId="28D2C9F6">
            <wp:extent cx="4933950" cy="3895725"/>
            <wp:effectExtent l="0" t="0" r="0" b="0"/>
            <wp:docPr id="7" name="Диаграмма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2EB9403-460E-D24C-96C1-D39906961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E8A4B4" w14:textId="77777777" w:rsidR="0083262C" w:rsidRPr="00F55FA0" w:rsidRDefault="0083262C" w:rsidP="0083262C">
      <w:pPr>
        <w:widowControl w:val="0"/>
        <w:suppressAutoHyphens/>
        <w:spacing w:after="0" w:line="36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sz w:val="28"/>
          <w:szCs w:val="28"/>
          <w:lang w:eastAsia="ru-RU"/>
        </w:rPr>
        <w:t xml:space="preserve">Рис. 1. </w:t>
      </w:r>
      <w:r w:rsidRPr="00F55FA0">
        <w:rPr>
          <w:rFonts w:ascii="Times New Roman" w:eastAsia="Times New Roman" w:hAnsi="Times New Roman" w:cs="Times New Roman"/>
          <w:bCs/>
          <w:sz w:val="28"/>
          <w:szCs w:val="28"/>
          <w:lang w:eastAsia="ru-RU"/>
        </w:rPr>
        <w:t>Сферы экономической деятельности с наибольшим числом нарушений ст.11, 16 закона о защите конкуренции за 2018 год.</w:t>
      </w:r>
    </w:p>
    <w:p w14:paraId="13036E0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Самой распространенной формой нарушения являются</w:t>
      </w:r>
      <w:r>
        <w:rPr>
          <w:rFonts w:ascii="Times New Roman" w:hAnsi="Times New Roman" w:cs="Times New Roman"/>
          <w:iCs/>
          <w:sz w:val="28"/>
          <w:szCs w:val="28"/>
        </w:rPr>
        <w:t xml:space="preserve"> картели на торгах и</w:t>
      </w:r>
      <w:r w:rsidRPr="00F55FA0">
        <w:rPr>
          <w:rFonts w:ascii="Times New Roman" w:hAnsi="Times New Roman" w:cs="Times New Roman"/>
          <w:iCs/>
          <w:sz w:val="28"/>
          <w:szCs w:val="28"/>
        </w:rPr>
        <w:t xml:space="preserve"> антиконкуретные соглашения между заказчиком и участниками торгов. Сегодня деятельность картелей с целью поддержания цен на торгах по государственным закупкам лекарственных препаратов и изделий медицинского назначения охвачена практически вся территория Российской Федерации, и это, несомненно, оказывает негативное влияние на состояние конкуренции как на федеральных, так и на региональных товарных рынках. </w:t>
      </w:r>
    </w:p>
    <w:p w14:paraId="05A1A85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Специфической чертой антиконкурентных соглашений в России является участие в них государственных органов, организаций и должностных лиц, совершение государственными служащими преступлений (</w:t>
      </w:r>
      <w:r>
        <w:rPr>
          <w:rFonts w:ascii="Times New Roman" w:hAnsi="Times New Roman" w:cs="Times New Roman"/>
          <w:iCs/>
          <w:sz w:val="28"/>
          <w:szCs w:val="28"/>
        </w:rPr>
        <w:t xml:space="preserve">получение </w:t>
      </w:r>
      <w:r w:rsidRPr="00F55FA0">
        <w:rPr>
          <w:rFonts w:ascii="Times New Roman" w:hAnsi="Times New Roman" w:cs="Times New Roman"/>
          <w:iCs/>
          <w:sz w:val="28"/>
          <w:szCs w:val="28"/>
        </w:rPr>
        <w:t>взятк</w:t>
      </w:r>
      <w:r>
        <w:rPr>
          <w:rFonts w:ascii="Times New Roman" w:hAnsi="Times New Roman" w:cs="Times New Roman"/>
          <w:iCs/>
          <w:sz w:val="28"/>
          <w:szCs w:val="28"/>
        </w:rPr>
        <w:t>и</w:t>
      </w:r>
      <w:r w:rsidRPr="00F55FA0">
        <w:rPr>
          <w:rFonts w:ascii="Times New Roman" w:hAnsi="Times New Roman" w:cs="Times New Roman"/>
          <w:iCs/>
          <w:sz w:val="28"/>
          <w:szCs w:val="28"/>
        </w:rPr>
        <w:t xml:space="preserve">, злоупотребление </w:t>
      </w:r>
      <w:r>
        <w:rPr>
          <w:rFonts w:ascii="Times New Roman" w:hAnsi="Times New Roman" w:cs="Times New Roman"/>
          <w:iCs/>
          <w:sz w:val="28"/>
          <w:szCs w:val="28"/>
        </w:rPr>
        <w:t>должностными полномочиями и др.</w:t>
      </w:r>
      <w:r w:rsidRPr="00F55FA0">
        <w:rPr>
          <w:rFonts w:ascii="Times New Roman" w:hAnsi="Times New Roman" w:cs="Times New Roman"/>
          <w:iCs/>
          <w:sz w:val="28"/>
          <w:szCs w:val="28"/>
        </w:rPr>
        <w:t>) с целью сокрытия и (или) обеспечения заключения и исполнения антиконкурентных соглашений. Так, в 2018 году антимонопольными органами возбуждено 300 дел о заключении антиконкурентных соглашений с органами власти, что на 32% больше, чем в прошлом году (204 дела).</w:t>
      </w:r>
    </w:p>
    <w:p w14:paraId="25C3CD40"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Картели и иные антиконкурентные соглашения угрожают экономической безопасности страны, наносят существенный вред бюджетам государства и компаний с государственным участием, а также являются фактором, ведущим к социальной нестабильности. В своем Послании Федеральному Собранию в 2018 году Президент Российской Федерации Владимир Путин указал, что «нормы уголовного права должны жёстко действовать в отношении преступлений против интересов граждан, общества, экономических свобод. Это посягательство на собственность и средства граждан, рейдерские захваты, нарушение конкуренции, уклонение от уплаты налогов и разворовывание бюджетных средств». </w:t>
      </w:r>
    </w:p>
    <w:p w14:paraId="63A5DA34"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усиления работы по выявлению и пресечению деятельности картелей ФАС России разработаны законопроекты, направленные на эффективное противодействие картелям, а также ужесточение уголовной и административной ответственности за их участие.</w:t>
      </w:r>
    </w:p>
    <w:p w14:paraId="3528321F" w14:textId="77777777" w:rsidR="0083262C" w:rsidRPr="00F55FA0" w:rsidRDefault="0083262C" w:rsidP="0083262C">
      <w:pPr>
        <w:spacing w:after="0" w:line="240" w:lineRule="auto"/>
        <w:ind w:firstLine="709"/>
        <w:jc w:val="both"/>
        <w:rPr>
          <w:rFonts w:ascii="Times New Roman" w:hAnsi="Times New Roman" w:cs="Times New Roman"/>
          <w:bCs/>
          <w:iCs/>
          <w:sz w:val="28"/>
          <w:szCs w:val="28"/>
        </w:rPr>
      </w:pPr>
      <w:r w:rsidRPr="00F55FA0">
        <w:rPr>
          <w:rFonts w:ascii="Times New Roman" w:hAnsi="Times New Roman" w:cs="Times New Roman"/>
          <w:bCs/>
          <w:iCs/>
          <w:sz w:val="28"/>
          <w:szCs w:val="28"/>
        </w:rPr>
        <w:t>Эффективная работа по противодействию картелям невозможна без активного взаимодействия с правоохранительными органами.</w:t>
      </w:r>
    </w:p>
    <w:p w14:paraId="6217920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 целью совершенствования взаимодействия между надзорными, контролирующими и правоохранительными органами</w:t>
      </w:r>
      <w:r w:rsidRPr="00F55FA0">
        <w:rPr>
          <w:rFonts w:ascii="Times New Roman" w:hAnsi="Times New Roman" w:cs="Times New Roman"/>
          <w:bCs/>
          <w:iCs/>
          <w:sz w:val="28"/>
          <w:szCs w:val="28"/>
        </w:rPr>
        <w:t xml:space="preserve"> </w:t>
      </w:r>
      <w:r w:rsidRPr="00F55FA0">
        <w:rPr>
          <w:rFonts w:ascii="Times New Roman" w:hAnsi="Times New Roman" w:cs="Times New Roman"/>
          <w:iCs/>
          <w:sz w:val="28"/>
          <w:szCs w:val="28"/>
        </w:rPr>
        <w:t>разработан проект межведомственной программы мер по выявлению и пресечению деятельности картелей и иных антиконкурентных соглашений на 2018</w:t>
      </w:r>
      <w:r>
        <w:rPr>
          <w:rFonts w:ascii="Times New Roman" w:hAnsi="Times New Roman" w:cs="Times New Roman"/>
          <w:iCs/>
          <w:sz w:val="28"/>
          <w:szCs w:val="28"/>
        </w:rPr>
        <w:t xml:space="preserve"> – </w:t>
      </w:r>
      <w:r w:rsidRPr="00F55FA0">
        <w:rPr>
          <w:rFonts w:ascii="Times New Roman" w:hAnsi="Times New Roman" w:cs="Times New Roman"/>
          <w:iCs/>
          <w:sz w:val="28"/>
          <w:szCs w:val="28"/>
        </w:rPr>
        <w:t>2022 гг</w:t>
      </w:r>
      <w:r>
        <w:rPr>
          <w:rFonts w:ascii="Times New Roman" w:hAnsi="Times New Roman" w:cs="Times New Roman"/>
          <w:iCs/>
          <w:sz w:val="28"/>
          <w:szCs w:val="28"/>
        </w:rPr>
        <w:t>.</w:t>
      </w:r>
      <w:r w:rsidRPr="00F55FA0">
        <w:rPr>
          <w:rFonts w:ascii="Times New Roman" w:hAnsi="Times New Roman" w:cs="Times New Roman"/>
          <w:iCs/>
          <w:sz w:val="28"/>
          <w:szCs w:val="28"/>
        </w:rPr>
        <w:t xml:space="preserve">, который в настоящее время внесен в Правительство Российской Федерации в целях утверждения. </w:t>
      </w:r>
    </w:p>
    <w:p w14:paraId="3D49C3F3"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960082">
        <w:rPr>
          <w:rFonts w:ascii="Times New Roman" w:hAnsi="Times New Roman" w:cs="Times New Roman"/>
          <w:iCs/>
          <w:sz w:val="28"/>
          <w:szCs w:val="28"/>
        </w:rPr>
        <w:t>С целью заключения и реализации антиконкурентных соглашений правонарушители начали активно использовать современные технологии, например, специальные программные модули, интегрированные в интерфейс электронных торговых площадок («аукционные роботы», «режим автоторга»), которые используются для автоматизированного участия в тогах, а также могут использоваться в качестве средства реализации антиконкурентного соглашения. Вместе с этим, правонарушители также применяют специальное программное обеспечение (коммерческие продукты/коммерческие «аукционные роботы»), которое может и зачастую используется исключительно в противоправных целях. В числе современных технологий можно также назвать новые способы анализа и обработки данных большого объёма и значительного многообразия (Big Data).</w:t>
      </w:r>
      <w:r w:rsidRPr="00F55FA0">
        <w:rPr>
          <w:rFonts w:ascii="Times New Roman" w:hAnsi="Times New Roman" w:cs="Times New Roman"/>
          <w:iCs/>
          <w:sz w:val="28"/>
          <w:szCs w:val="28"/>
        </w:rPr>
        <w:t xml:space="preserve"> </w:t>
      </w:r>
    </w:p>
    <w:p w14:paraId="51EF1DF6"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Появление новых инструментов реализации вышеуказанных антиконкурентных практик требует от ФАС России совершенствования подходов к процессу доказывания антиконкурентных соглашений, согласованных действий и незаконной координации экономической деятельности. Кроме того</w:t>
      </w:r>
      <w:r>
        <w:rPr>
          <w:rFonts w:ascii="Times New Roman" w:hAnsi="Times New Roman" w:cs="Times New Roman"/>
          <w:iCs/>
          <w:sz w:val="28"/>
          <w:szCs w:val="28"/>
        </w:rPr>
        <w:t>,</w:t>
      </w:r>
      <w:r w:rsidRPr="00F55FA0">
        <w:rPr>
          <w:rFonts w:ascii="Times New Roman" w:hAnsi="Times New Roman" w:cs="Times New Roman"/>
          <w:iCs/>
          <w:sz w:val="28"/>
          <w:szCs w:val="28"/>
        </w:rPr>
        <w:t xml:space="preserve"> с целью адаптации законодательства о защите конкуренции необходима его модернизация, т.е. ряд изменений, отвечающих требованиям современной цифровой экономик</w:t>
      </w:r>
      <w:r>
        <w:rPr>
          <w:rFonts w:ascii="Times New Roman" w:hAnsi="Times New Roman" w:cs="Times New Roman"/>
          <w:iCs/>
          <w:sz w:val="28"/>
          <w:szCs w:val="28"/>
        </w:rPr>
        <w:t>и</w:t>
      </w:r>
      <w:r w:rsidRPr="00F55FA0">
        <w:rPr>
          <w:rFonts w:ascii="Times New Roman" w:hAnsi="Times New Roman" w:cs="Times New Roman"/>
          <w:iCs/>
          <w:sz w:val="28"/>
          <w:szCs w:val="28"/>
        </w:rPr>
        <w:t>,</w:t>
      </w:r>
      <w:r>
        <w:rPr>
          <w:rFonts w:ascii="Times New Roman" w:hAnsi="Times New Roman" w:cs="Times New Roman"/>
          <w:iCs/>
          <w:sz w:val="28"/>
          <w:szCs w:val="28"/>
        </w:rPr>
        <w:t xml:space="preserve"> в частности,</w:t>
      </w:r>
      <w:r w:rsidRPr="00F55FA0">
        <w:rPr>
          <w:rFonts w:ascii="Times New Roman" w:hAnsi="Times New Roman" w:cs="Times New Roman"/>
          <w:iCs/>
          <w:sz w:val="28"/>
          <w:szCs w:val="28"/>
        </w:rPr>
        <w:t xml:space="preserve"> </w:t>
      </w:r>
      <w:r>
        <w:rPr>
          <w:rFonts w:ascii="Times New Roman" w:hAnsi="Times New Roman" w:cs="Times New Roman"/>
          <w:iCs/>
          <w:sz w:val="28"/>
          <w:szCs w:val="28"/>
        </w:rPr>
        <w:t>ужесточение</w:t>
      </w:r>
      <w:r w:rsidRPr="00F55FA0">
        <w:rPr>
          <w:rFonts w:ascii="Times New Roman" w:hAnsi="Times New Roman" w:cs="Times New Roman"/>
          <w:iCs/>
          <w:sz w:val="28"/>
          <w:szCs w:val="28"/>
        </w:rPr>
        <w:t xml:space="preserve"> ответственности за заключение и реализацию антиконкурентных соглашений и осуществление незаконной координации экономической деятельности с использованием программного обеспечения (ценовых алгоритмов и аукционных роботов), добавление в понятие соглашения способа его заключения путём конклюдентных действий.</w:t>
      </w:r>
    </w:p>
    <w:p w14:paraId="5D5D5A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Вместе с тем, в целях автоматизации процесса выявления картелей и иных антиконконкуретных соглашений ФАС России разработана концепция соответствующего программного обеспечения. Предложения по внедрению указанного программного обеспечения, согласно Протоколу заседания межведомственной рабочей группы по противодействию незаконным финансовым операциям от 13 декабря 2018 г. №3(39), должны быть представлены в Правительство Российской Федерации.</w:t>
      </w:r>
    </w:p>
    <w:p w14:paraId="616BB546" w14:textId="77777777" w:rsidR="0083262C" w:rsidRPr="00A6436F" w:rsidRDefault="0083262C" w:rsidP="0083262C">
      <w:pPr>
        <w:spacing w:after="0" w:line="240" w:lineRule="auto"/>
        <w:ind w:firstLine="709"/>
        <w:jc w:val="both"/>
        <w:rPr>
          <w:rFonts w:ascii="Times New Roman" w:hAnsi="Times New Roman" w:cs="Times New Roman"/>
          <w:iCs/>
          <w:sz w:val="28"/>
          <w:szCs w:val="28"/>
        </w:rPr>
      </w:pPr>
      <w:r w:rsidRPr="0060683A">
        <w:rPr>
          <w:rFonts w:ascii="Times New Roman" w:hAnsi="Times New Roman" w:cs="Times New Roman"/>
          <w:iCs/>
          <w:sz w:val="28"/>
          <w:szCs w:val="28"/>
        </w:rPr>
        <w:t>«Большой цифровой кот» – это программное обеспечение (набор программных инструментов на основе блокчейна), позволяющее в режиме онлайн выявлять признаки антиконкурентных соглашений на торгах и формировать доказательственную базу, подтверждающую заключение и реализацию соответствующего сговора, с использованием как открытых, так и закрытых источников информации.</w:t>
      </w:r>
    </w:p>
    <w:p w14:paraId="7C161AE3"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Внедрение программного обеспечения позволит значительно повысить прозрачность процедур при проведении государственных и муниципальных закупок и приведет к существенному росту экономии бюджетных средств.</w:t>
      </w:r>
    </w:p>
    <w:p w14:paraId="77127C3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cs="Times New Roman"/>
          <w:iCs/>
          <w:sz w:val="28"/>
          <w:szCs w:val="28"/>
        </w:rPr>
        <w:t>ми</w:t>
      </w:r>
      <w:r w:rsidRPr="00F55FA0">
        <w:rPr>
          <w:rFonts w:ascii="Times New Roman" w:hAnsi="Times New Roman" w:cs="Times New Roman"/>
          <w:iCs/>
          <w:sz w:val="28"/>
          <w:szCs w:val="28"/>
        </w:rPr>
        <w:t xml:space="preserve"> трансграничный характер</w:t>
      </w:r>
      <w:r>
        <w:rPr>
          <w:rFonts w:ascii="Times New Roman" w:hAnsi="Times New Roman" w:cs="Times New Roman"/>
          <w:iCs/>
          <w:sz w:val="28"/>
          <w:szCs w:val="28"/>
        </w:rPr>
        <w:t>,</w:t>
      </w:r>
      <w:r w:rsidRPr="00F55FA0">
        <w:rPr>
          <w:rFonts w:ascii="Times New Roman" w:hAnsi="Times New Roman" w:cs="Times New Roman"/>
          <w:iCs/>
          <w:sz w:val="28"/>
          <w:szCs w:val="28"/>
        </w:rPr>
        <w:t xml:space="preserve"> ФАС России разработан проект конвенции «О борьбе с картелями». Конвенция в качестве международно-правового акта призвана определить принципы и основы взаимодействия государств-участников в борьбе с картелями на международном уровне.</w:t>
      </w:r>
    </w:p>
    <w:p w14:paraId="1B34064D" w14:textId="77777777" w:rsidR="0083262C"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Практика ФАС России по делам, ответчиками по которым являлись иностранные компании или их представительства в России:</w:t>
      </w:r>
    </w:p>
    <w:p w14:paraId="4B889DB5" w14:textId="77777777" w:rsidR="0083262C"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1. ООО «Эппл Рус».</w:t>
      </w:r>
    </w:p>
    <w:p w14:paraId="334FE3F6" w14:textId="77777777" w:rsidR="0083262C" w:rsidRPr="009A2D8E"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ФАС</w:t>
      </w:r>
      <w:r w:rsidRPr="009A2D8E">
        <w:rPr>
          <w:rFonts w:ascii="Times New Roman" w:hAnsi="Times New Roman" w:cs="Times New Roman"/>
          <w:iCs/>
          <w:sz w:val="28"/>
          <w:szCs w:val="28"/>
        </w:rPr>
        <w:t xml:space="preserve"> </w:t>
      </w:r>
      <w:r w:rsidRPr="00F55FA0">
        <w:rPr>
          <w:rFonts w:ascii="Times New Roman" w:hAnsi="Times New Roman" w:cs="Times New Roman"/>
          <w:iCs/>
          <w:sz w:val="28"/>
          <w:szCs w:val="28"/>
        </w:rPr>
        <w:t>России</w:t>
      </w:r>
      <w:r w:rsidRPr="009A2D8E">
        <w:rPr>
          <w:rFonts w:ascii="Times New Roman" w:hAnsi="Times New Roman" w:cs="Times New Roman"/>
          <w:iCs/>
          <w:sz w:val="28"/>
          <w:szCs w:val="28"/>
        </w:rPr>
        <w:t xml:space="preserve"> </w:t>
      </w:r>
      <w:r w:rsidRPr="00F55FA0">
        <w:rPr>
          <w:rFonts w:ascii="Times New Roman" w:hAnsi="Times New Roman" w:cs="Times New Roman"/>
          <w:iCs/>
          <w:sz w:val="28"/>
          <w:szCs w:val="28"/>
        </w:rPr>
        <w:t>вынесла</w:t>
      </w:r>
      <w:r w:rsidRPr="009A2D8E">
        <w:rPr>
          <w:rFonts w:ascii="Times New Roman" w:hAnsi="Times New Roman" w:cs="Times New Roman"/>
          <w:iCs/>
          <w:sz w:val="28"/>
          <w:szCs w:val="28"/>
        </w:rPr>
        <w:t xml:space="preserve"> </w:t>
      </w:r>
      <w:r w:rsidRPr="00F55FA0">
        <w:rPr>
          <w:rFonts w:ascii="Times New Roman" w:hAnsi="Times New Roman" w:cs="Times New Roman"/>
          <w:iCs/>
          <w:sz w:val="28"/>
          <w:szCs w:val="28"/>
        </w:rPr>
        <w:t>решение</w:t>
      </w:r>
      <w:r w:rsidRPr="009A2D8E">
        <w:rPr>
          <w:rFonts w:ascii="Times New Roman" w:hAnsi="Times New Roman" w:cs="Times New Roman"/>
          <w:iCs/>
          <w:sz w:val="28"/>
          <w:szCs w:val="28"/>
        </w:rPr>
        <w:t xml:space="preserve"> </w:t>
      </w:r>
      <w:r w:rsidRPr="00F55FA0">
        <w:rPr>
          <w:rFonts w:ascii="Times New Roman" w:hAnsi="Times New Roman" w:cs="Times New Roman"/>
          <w:iCs/>
          <w:sz w:val="28"/>
          <w:szCs w:val="28"/>
        </w:rPr>
        <w:t>в</w:t>
      </w:r>
      <w:r w:rsidRPr="009A2D8E">
        <w:rPr>
          <w:rFonts w:ascii="Times New Roman" w:hAnsi="Times New Roman" w:cs="Times New Roman"/>
          <w:iCs/>
          <w:sz w:val="28"/>
          <w:szCs w:val="28"/>
        </w:rPr>
        <w:t xml:space="preserve"> </w:t>
      </w:r>
      <w:r w:rsidRPr="00F55FA0">
        <w:rPr>
          <w:rFonts w:ascii="Times New Roman" w:hAnsi="Times New Roman" w:cs="Times New Roman"/>
          <w:iCs/>
          <w:sz w:val="28"/>
          <w:szCs w:val="28"/>
        </w:rPr>
        <w:t>отношении</w:t>
      </w:r>
      <w:r w:rsidRPr="009A2D8E">
        <w:rPr>
          <w:rFonts w:ascii="Times New Roman" w:hAnsi="Times New Roman" w:cs="Times New Roman"/>
          <w:iCs/>
          <w:sz w:val="28"/>
          <w:szCs w:val="28"/>
        </w:rPr>
        <w:t xml:space="preserve"> </w:t>
      </w:r>
      <w:r w:rsidRPr="00F55FA0">
        <w:rPr>
          <w:rFonts w:ascii="Times New Roman" w:hAnsi="Times New Roman" w:cs="Times New Roman"/>
          <w:iCs/>
          <w:sz w:val="28"/>
          <w:szCs w:val="28"/>
        </w:rPr>
        <w:t>ООО</w:t>
      </w:r>
      <w:r w:rsidRPr="00F55FA0">
        <w:rPr>
          <w:rFonts w:ascii="Times New Roman" w:hAnsi="Times New Roman" w:cs="Times New Roman"/>
          <w:iCs/>
          <w:sz w:val="28"/>
          <w:szCs w:val="28"/>
          <w:lang w:val="en-US"/>
        </w:rPr>
        <w:t> </w:t>
      </w:r>
      <w:r w:rsidRPr="009A2D8E">
        <w:rPr>
          <w:rFonts w:ascii="Times New Roman" w:hAnsi="Times New Roman" w:cs="Times New Roman"/>
          <w:iCs/>
          <w:sz w:val="28"/>
          <w:szCs w:val="28"/>
        </w:rPr>
        <w:t>«</w:t>
      </w:r>
      <w:r w:rsidRPr="00F55FA0">
        <w:rPr>
          <w:rFonts w:ascii="Times New Roman" w:hAnsi="Times New Roman" w:cs="Times New Roman"/>
          <w:iCs/>
          <w:sz w:val="28"/>
          <w:szCs w:val="28"/>
        </w:rPr>
        <w:t>Эппл</w:t>
      </w:r>
      <w:r w:rsidRPr="009A2D8E">
        <w:rPr>
          <w:rFonts w:ascii="Times New Roman" w:hAnsi="Times New Roman" w:cs="Times New Roman"/>
          <w:iCs/>
          <w:sz w:val="28"/>
          <w:szCs w:val="28"/>
        </w:rPr>
        <w:t xml:space="preserve"> </w:t>
      </w:r>
      <w:r w:rsidRPr="00F55FA0">
        <w:rPr>
          <w:rFonts w:ascii="Times New Roman" w:hAnsi="Times New Roman" w:cs="Times New Roman"/>
          <w:iCs/>
          <w:sz w:val="28"/>
          <w:szCs w:val="28"/>
        </w:rPr>
        <w:t>Рус</w:t>
      </w:r>
      <w:r w:rsidRPr="009A2D8E">
        <w:rPr>
          <w:rFonts w:ascii="Times New Roman" w:hAnsi="Times New Roman" w:cs="Times New Roman"/>
          <w:iCs/>
          <w:sz w:val="28"/>
          <w:szCs w:val="28"/>
        </w:rPr>
        <w:t>».</w:t>
      </w:r>
    </w:p>
    <w:p w14:paraId="1AE934A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ООО «Эппл Рус» в период с 25.10.2013 по 04.04.2016 осуществляло координацию экономической деятельности реселлеров смартфонов </w:t>
      </w:r>
      <w:r w:rsidRPr="00F55FA0">
        <w:rPr>
          <w:rFonts w:ascii="Times New Roman" w:hAnsi="Times New Roman" w:cs="Times New Roman"/>
          <w:iCs/>
          <w:sz w:val="28"/>
          <w:szCs w:val="28"/>
          <w:lang w:val="en-US"/>
        </w:rPr>
        <w:t>Apple</w:t>
      </w:r>
      <w:r w:rsidRPr="00F55FA0">
        <w:rPr>
          <w:rFonts w:ascii="Times New Roman" w:hAnsi="Times New Roman" w:cs="Times New Roman"/>
          <w:iCs/>
          <w:sz w:val="28"/>
          <w:szCs w:val="28"/>
        </w:rPr>
        <w:t xml:space="preserve"> </w:t>
      </w:r>
      <w:r w:rsidRPr="00F55FA0">
        <w:rPr>
          <w:rFonts w:ascii="Times New Roman" w:hAnsi="Times New Roman" w:cs="Times New Roman"/>
          <w:iCs/>
          <w:sz w:val="28"/>
          <w:szCs w:val="28"/>
          <w:lang w:val="en-US"/>
        </w:rPr>
        <w:t>iPhone</w:t>
      </w:r>
      <w:r w:rsidRPr="00F55FA0">
        <w:rPr>
          <w:rFonts w:ascii="Times New Roman" w:hAnsi="Times New Roman" w:cs="Times New Roman"/>
          <w:iCs/>
          <w:sz w:val="28"/>
          <w:szCs w:val="28"/>
        </w:rPr>
        <w:t xml:space="preserve"> (моделей смартфонов </w:t>
      </w:r>
      <w:r w:rsidRPr="00F55FA0">
        <w:rPr>
          <w:rFonts w:ascii="Times New Roman" w:hAnsi="Times New Roman" w:cs="Times New Roman"/>
          <w:iCs/>
          <w:sz w:val="28"/>
          <w:szCs w:val="28"/>
          <w:lang w:val="en-US"/>
        </w:rPr>
        <w:t>Apple</w:t>
      </w:r>
      <w:r w:rsidRPr="00F55FA0">
        <w:rPr>
          <w:rFonts w:ascii="Times New Roman" w:hAnsi="Times New Roman" w:cs="Times New Roman"/>
          <w:iCs/>
          <w:sz w:val="28"/>
          <w:szCs w:val="28"/>
        </w:rPr>
        <w:t xml:space="preserve"> </w:t>
      </w:r>
      <w:r w:rsidRPr="00F55FA0">
        <w:rPr>
          <w:rFonts w:ascii="Times New Roman" w:hAnsi="Times New Roman" w:cs="Times New Roman"/>
          <w:iCs/>
          <w:sz w:val="28"/>
          <w:szCs w:val="28"/>
          <w:lang w:val="en-US"/>
        </w:rPr>
        <w:t>iPhone</w:t>
      </w:r>
      <w:r w:rsidRPr="00F55FA0">
        <w:rPr>
          <w:rFonts w:ascii="Times New Roman" w:hAnsi="Times New Roman" w:cs="Times New Roman"/>
          <w:iCs/>
          <w:sz w:val="28"/>
          <w:szCs w:val="28"/>
        </w:rPr>
        <w:t xml:space="preserve"> 5</w:t>
      </w:r>
      <w:r w:rsidRPr="00F55FA0">
        <w:rPr>
          <w:rFonts w:ascii="Times New Roman" w:hAnsi="Times New Roman" w:cs="Times New Roman"/>
          <w:iCs/>
          <w:sz w:val="28"/>
          <w:szCs w:val="28"/>
          <w:lang w:val="en-US"/>
        </w:rPr>
        <w:t>s</w:t>
      </w:r>
      <w:r w:rsidRPr="00F55FA0">
        <w:rPr>
          <w:rFonts w:ascii="Times New Roman" w:hAnsi="Times New Roman" w:cs="Times New Roman"/>
          <w:iCs/>
          <w:sz w:val="28"/>
          <w:szCs w:val="28"/>
        </w:rPr>
        <w:t xml:space="preserve">, </w:t>
      </w:r>
      <w:r w:rsidRPr="00F55FA0">
        <w:rPr>
          <w:rFonts w:ascii="Times New Roman" w:hAnsi="Times New Roman" w:cs="Times New Roman"/>
          <w:iCs/>
          <w:sz w:val="28"/>
          <w:szCs w:val="28"/>
          <w:lang w:val="en-US"/>
        </w:rPr>
        <w:t>iPhone</w:t>
      </w:r>
      <w:r w:rsidRPr="00F55FA0">
        <w:rPr>
          <w:rFonts w:ascii="Times New Roman" w:hAnsi="Times New Roman" w:cs="Times New Roman"/>
          <w:iCs/>
          <w:sz w:val="28"/>
          <w:szCs w:val="28"/>
        </w:rPr>
        <w:t xml:space="preserve"> 5</w:t>
      </w:r>
      <w:r w:rsidRPr="00F55FA0">
        <w:rPr>
          <w:rFonts w:ascii="Times New Roman" w:hAnsi="Times New Roman" w:cs="Times New Roman"/>
          <w:iCs/>
          <w:sz w:val="28"/>
          <w:szCs w:val="28"/>
          <w:lang w:val="en-US"/>
        </w:rPr>
        <w:t>c</w:t>
      </w:r>
      <w:r w:rsidRPr="00F55FA0">
        <w:rPr>
          <w:rFonts w:ascii="Times New Roman" w:hAnsi="Times New Roman" w:cs="Times New Roman"/>
          <w:iCs/>
          <w:sz w:val="28"/>
          <w:szCs w:val="28"/>
        </w:rPr>
        <w:t xml:space="preserve">, </w:t>
      </w:r>
      <w:r w:rsidRPr="00F55FA0">
        <w:rPr>
          <w:rFonts w:ascii="Times New Roman" w:hAnsi="Times New Roman" w:cs="Times New Roman"/>
          <w:iCs/>
          <w:sz w:val="28"/>
          <w:szCs w:val="28"/>
          <w:lang w:val="en-US"/>
        </w:rPr>
        <w:t>iPhone</w:t>
      </w:r>
      <w:r w:rsidRPr="00F55FA0">
        <w:rPr>
          <w:rFonts w:ascii="Times New Roman" w:hAnsi="Times New Roman" w:cs="Times New Roman"/>
          <w:iCs/>
          <w:sz w:val="28"/>
          <w:szCs w:val="28"/>
        </w:rPr>
        <w:t xml:space="preserve"> 6, </w:t>
      </w:r>
      <w:r w:rsidRPr="00F55FA0">
        <w:rPr>
          <w:rFonts w:ascii="Times New Roman" w:hAnsi="Times New Roman" w:cs="Times New Roman"/>
          <w:iCs/>
          <w:sz w:val="28"/>
          <w:szCs w:val="28"/>
          <w:lang w:val="en-US"/>
        </w:rPr>
        <w:t>iPhone</w:t>
      </w:r>
      <w:r w:rsidRPr="00F55FA0">
        <w:rPr>
          <w:rFonts w:ascii="Times New Roman" w:hAnsi="Times New Roman" w:cs="Times New Roman"/>
          <w:iCs/>
          <w:sz w:val="28"/>
          <w:szCs w:val="28"/>
        </w:rPr>
        <w:t xml:space="preserve"> 6 </w:t>
      </w:r>
      <w:r w:rsidRPr="00F55FA0">
        <w:rPr>
          <w:rFonts w:ascii="Times New Roman" w:hAnsi="Times New Roman" w:cs="Times New Roman"/>
          <w:iCs/>
          <w:sz w:val="28"/>
          <w:szCs w:val="28"/>
          <w:lang w:val="en-US"/>
        </w:rPr>
        <w:t>Plus</w:t>
      </w:r>
      <w:r w:rsidRPr="00F55FA0">
        <w:rPr>
          <w:rFonts w:ascii="Times New Roman" w:hAnsi="Times New Roman" w:cs="Times New Roman"/>
          <w:iCs/>
          <w:sz w:val="28"/>
          <w:szCs w:val="28"/>
        </w:rPr>
        <w:t xml:space="preserve">, </w:t>
      </w:r>
      <w:r w:rsidRPr="00F55FA0">
        <w:rPr>
          <w:rFonts w:ascii="Times New Roman" w:hAnsi="Times New Roman" w:cs="Times New Roman"/>
          <w:iCs/>
          <w:sz w:val="28"/>
          <w:szCs w:val="28"/>
          <w:lang w:val="en-US"/>
        </w:rPr>
        <w:t>iPhone</w:t>
      </w:r>
      <w:r w:rsidRPr="00F55FA0">
        <w:rPr>
          <w:rFonts w:ascii="Times New Roman" w:hAnsi="Times New Roman" w:cs="Times New Roman"/>
          <w:iCs/>
          <w:sz w:val="28"/>
          <w:szCs w:val="28"/>
        </w:rPr>
        <w:t xml:space="preserve"> 6</w:t>
      </w:r>
      <w:r w:rsidRPr="00F55FA0">
        <w:rPr>
          <w:rFonts w:ascii="Times New Roman" w:hAnsi="Times New Roman" w:cs="Times New Roman"/>
          <w:iCs/>
          <w:sz w:val="28"/>
          <w:szCs w:val="28"/>
          <w:lang w:val="en-US"/>
        </w:rPr>
        <w:t>s</w:t>
      </w:r>
      <w:r w:rsidRPr="00F55FA0">
        <w:rPr>
          <w:rFonts w:ascii="Times New Roman" w:hAnsi="Times New Roman" w:cs="Times New Roman"/>
          <w:iCs/>
          <w:sz w:val="28"/>
          <w:szCs w:val="28"/>
        </w:rPr>
        <w:t xml:space="preserve"> и </w:t>
      </w:r>
      <w:r w:rsidRPr="00F55FA0">
        <w:rPr>
          <w:rFonts w:ascii="Times New Roman" w:hAnsi="Times New Roman" w:cs="Times New Roman"/>
          <w:iCs/>
          <w:sz w:val="28"/>
          <w:szCs w:val="28"/>
          <w:lang w:val="en-US"/>
        </w:rPr>
        <w:t>iPhone</w:t>
      </w:r>
      <w:r w:rsidRPr="00F55FA0">
        <w:rPr>
          <w:rFonts w:ascii="Times New Roman" w:hAnsi="Times New Roman" w:cs="Times New Roman"/>
          <w:iCs/>
          <w:sz w:val="28"/>
          <w:szCs w:val="28"/>
        </w:rPr>
        <w:t xml:space="preserve"> 6</w:t>
      </w:r>
      <w:r w:rsidRPr="00F55FA0">
        <w:rPr>
          <w:rFonts w:ascii="Times New Roman" w:hAnsi="Times New Roman" w:cs="Times New Roman"/>
          <w:iCs/>
          <w:sz w:val="28"/>
          <w:szCs w:val="28"/>
          <w:lang w:val="en-US"/>
        </w:rPr>
        <w:t>s</w:t>
      </w:r>
      <w:r w:rsidRPr="00F55FA0">
        <w:rPr>
          <w:rFonts w:ascii="Times New Roman" w:hAnsi="Times New Roman" w:cs="Times New Roman"/>
          <w:iCs/>
          <w:sz w:val="28"/>
          <w:szCs w:val="28"/>
        </w:rPr>
        <w:t xml:space="preserve"> </w:t>
      </w:r>
      <w:r w:rsidRPr="00F55FA0">
        <w:rPr>
          <w:rFonts w:ascii="Times New Roman" w:hAnsi="Times New Roman" w:cs="Times New Roman"/>
          <w:iCs/>
          <w:sz w:val="28"/>
          <w:szCs w:val="28"/>
          <w:lang w:val="en-US"/>
        </w:rPr>
        <w:t>Plus</w:t>
      </w:r>
      <w:r w:rsidRPr="00F55FA0">
        <w:rPr>
          <w:rFonts w:ascii="Times New Roman" w:hAnsi="Times New Roman" w:cs="Times New Roman"/>
          <w:iCs/>
          <w:sz w:val="28"/>
          <w:szCs w:val="28"/>
        </w:rPr>
        <w:t>).</w:t>
      </w:r>
    </w:p>
    <w:p w14:paraId="7F95ADC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Осуществление ООО «Эппл Рус» координации экономической деятельности реселлеров включало в совокупности следующие элементы:</w:t>
      </w:r>
    </w:p>
    <w:p w14:paraId="2C398816"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рассылки прайс-листов и пресс-релизов, содержащих розничные цены на смартфоны Apple iPhone, с адресов электронной почты в домене apple.com в адрес реселлеров, как закупающих смартфоны у ООО «Эппл Рус», так и осуществляющих закупки смартфонов у дистрибьюторов;</w:t>
      </w:r>
    </w:p>
    <w:p w14:paraId="36267C26"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в отдельных случаях осуществление ООО «Эппл Рус» контроля за ценами (в том числе после получения «отчётов» о ценах конкурентов, формируемых партнёрами ООО «Эппл Рус»), устанавливаемыми реселлерами на смартфоны Apple iPhone, посредством направления электронных писем с целью изменения данных цен;</w:t>
      </w:r>
    </w:p>
    <w:p w14:paraId="7D75949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наличие как в прямых, так и в непрямых договорах с ООО «Эппл Рус» на закупку и перепродажу смартфонов Apple iPhone различных условий, которые могли использоваться для склонения реселлеров к соблюдению рекомендованных розничных цен (условия об одностороннем расторжении договора, отмене размещённого партнером заказа).</w:t>
      </w:r>
    </w:p>
    <w:p w14:paraId="22D18BE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Осуществление координации экономической деятельности реселлеров смартфонов Apple iPhone привело к установлению и поддержанию цен на рынке смартфонов Apple iPhone (на модели смартфонов Apple iPhone 5s, iPhone 5c, iPhone 6, iPhone 6 Plus, iPhone 6s и iPhone 6s Plus), реализуемых в розницу с использованием торговых объектов.</w:t>
      </w:r>
    </w:p>
    <w:p w14:paraId="5BF178FB" w14:textId="77777777" w:rsidR="0083262C" w:rsidRPr="00F55FA0" w:rsidRDefault="0083262C" w:rsidP="0083262C">
      <w:pPr>
        <w:spacing w:after="0" w:line="240" w:lineRule="auto"/>
        <w:ind w:firstLine="709"/>
        <w:jc w:val="both"/>
        <w:rPr>
          <w:rFonts w:ascii="Times New Roman" w:hAnsi="Times New Roman" w:cs="Times New Roman"/>
          <w:bCs/>
          <w:iCs/>
          <w:sz w:val="28"/>
          <w:szCs w:val="28"/>
        </w:rPr>
      </w:pPr>
      <w:r w:rsidRPr="00F55FA0">
        <w:rPr>
          <w:rFonts w:ascii="Times New Roman" w:hAnsi="Times New Roman" w:cs="Times New Roman"/>
          <w:bCs/>
          <w:iCs/>
          <w:sz w:val="28"/>
          <w:szCs w:val="28"/>
        </w:rPr>
        <w:t xml:space="preserve">В процессе рассмотрения дела цены на смартфоны Apple существенно снизились, ООО «Эппл Рус» сообщило о том, что согласно с наличием нарушения, а также разработало и внедрило новую комплаенс-политику в компании. ООО «Эппл Рус» назначено наказание в виде административного штрафа в размере 1 750 000 руб. Указанный штраф был уплачен компанией. </w:t>
      </w:r>
    </w:p>
    <w:p w14:paraId="59BB2161" w14:textId="77777777" w:rsidR="0083262C" w:rsidRPr="00F55FA0" w:rsidRDefault="0083262C" w:rsidP="0083262C">
      <w:pPr>
        <w:spacing w:after="0" w:line="240" w:lineRule="auto"/>
        <w:ind w:firstLine="709"/>
        <w:jc w:val="both"/>
        <w:rPr>
          <w:rFonts w:ascii="Times New Roman" w:hAnsi="Times New Roman" w:cs="Times New Roman"/>
          <w:bCs/>
          <w:iCs/>
          <w:sz w:val="28"/>
          <w:szCs w:val="28"/>
        </w:rPr>
      </w:pPr>
      <w:r w:rsidRPr="00F55FA0">
        <w:rPr>
          <w:rFonts w:ascii="Times New Roman" w:hAnsi="Times New Roman" w:cs="Times New Roman"/>
          <w:bCs/>
          <w:iCs/>
          <w:sz w:val="28"/>
          <w:szCs w:val="28"/>
        </w:rPr>
        <w:t>Помимо этого, к административной ответственности были привлечены менеджеры ООО «Эппл Рус», которые непосредственно совершали действия по незаконной координации. Штрафы были ими впоследствии уплачены.</w:t>
      </w:r>
    </w:p>
    <w:p w14:paraId="40A81DCC"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2. </w:t>
      </w:r>
      <w:r w:rsidRPr="00F55FA0">
        <w:rPr>
          <w:rFonts w:ascii="Times New Roman" w:hAnsi="Times New Roman" w:cs="Times New Roman"/>
          <w:b/>
          <w:i/>
          <w:iCs/>
          <w:sz w:val="28"/>
          <w:szCs w:val="28"/>
          <w:lang w:val="en-US"/>
        </w:rPr>
        <w:t>LG</w:t>
      </w:r>
      <w:r w:rsidRPr="00F55FA0">
        <w:rPr>
          <w:rFonts w:ascii="Times New Roman" w:hAnsi="Times New Roman" w:cs="Times New Roman"/>
          <w:b/>
          <w:i/>
          <w:iCs/>
          <w:sz w:val="28"/>
          <w:szCs w:val="28"/>
        </w:rPr>
        <w:t>.</w:t>
      </w:r>
    </w:p>
    <w:p w14:paraId="70CAD9B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ФАС России признала ООО «ЛГ Электроникс РУС» - уполномоченного импортера продукции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на территории Российской Федерации нарушившим часть 5 статьи 11 Закона о защите конкуренции, </w:t>
      </w:r>
      <w:r>
        <w:rPr>
          <w:rFonts w:ascii="Times New Roman" w:hAnsi="Times New Roman" w:cs="Times New Roman"/>
          <w:iCs/>
          <w:sz w:val="28"/>
          <w:szCs w:val="28"/>
        </w:rPr>
        <w:t xml:space="preserve">что выразилось в </w:t>
      </w:r>
      <w:r w:rsidRPr="00F55FA0">
        <w:rPr>
          <w:rFonts w:ascii="Times New Roman" w:hAnsi="Times New Roman" w:cs="Times New Roman"/>
          <w:iCs/>
          <w:sz w:val="28"/>
          <w:szCs w:val="28"/>
        </w:rPr>
        <w:t>незаконн</w:t>
      </w:r>
      <w:r>
        <w:rPr>
          <w:rFonts w:ascii="Times New Roman" w:hAnsi="Times New Roman" w:cs="Times New Roman"/>
          <w:iCs/>
          <w:sz w:val="28"/>
          <w:szCs w:val="28"/>
        </w:rPr>
        <w:t>ой</w:t>
      </w:r>
      <w:r w:rsidRPr="00F55FA0">
        <w:rPr>
          <w:rFonts w:ascii="Times New Roman" w:hAnsi="Times New Roman" w:cs="Times New Roman"/>
          <w:bCs/>
          <w:iCs/>
          <w:sz w:val="28"/>
          <w:szCs w:val="28"/>
        </w:rPr>
        <w:t xml:space="preserve"> координаци</w:t>
      </w:r>
      <w:r>
        <w:rPr>
          <w:rFonts w:ascii="Times New Roman" w:hAnsi="Times New Roman" w:cs="Times New Roman"/>
          <w:bCs/>
          <w:iCs/>
          <w:sz w:val="28"/>
          <w:szCs w:val="28"/>
        </w:rPr>
        <w:t>и</w:t>
      </w:r>
      <w:r w:rsidRPr="00F55FA0">
        <w:rPr>
          <w:rFonts w:ascii="Times New Roman" w:hAnsi="Times New Roman" w:cs="Times New Roman"/>
          <w:bCs/>
          <w:iCs/>
          <w:sz w:val="28"/>
          <w:szCs w:val="28"/>
        </w:rPr>
        <w:t xml:space="preserve"> экономической деятельности реселлеров смартфонов, которая</w:t>
      </w:r>
      <w:r w:rsidRPr="00F55FA0">
        <w:rPr>
          <w:rFonts w:ascii="Times New Roman" w:hAnsi="Times New Roman" w:cs="Times New Roman"/>
          <w:iCs/>
          <w:sz w:val="28"/>
          <w:szCs w:val="28"/>
        </w:rPr>
        <w:t xml:space="preserve"> привела к установлению и поддержанию цен на смартфоны LG.</w:t>
      </w:r>
    </w:p>
    <w:p w14:paraId="3110216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Незаконная координации экономической деятельности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включала в совокупности следующие элементы:</w:t>
      </w:r>
    </w:p>
    <w:p w14:paraId="52DEE62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установление рекомендованных розничных цен на смартфоны LG;</w:t>
      </w:r>
    </w:p>
    <w:p w14:paraId="4C304FA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работниками и региональными менеджерами ООО «ЛГ Электроникс РУС» контроля за ценами</w:t>
      </w:r>
      <w:r>
        <w:rPr>
          <w:rFonts w:ascii="Times New Roman" w:hAnsi="Times New Roman" w:cs="Times New Roman"/>
          <w:iCs/>
          <w:sz w:val="28"/>
          <w:szCs w:val="28"/>
        </w:rPr>
        <w:t>,</w:t>
      </w:r>
      <w:r w:rsidRPr="00F55FA0">
        <w:rPr>
          <w:rFonts w:ascii="Times New Roman" w:hAnsi="Times New Roman" w:cs="Times New Roman"/>
          <w:iCs/>
          <w:sz w:val="28"/>
          <w:szCs w:val="28"/>
        </w:rPr>
        <w:t xml:space="preserve"> устанавливаемыми реселлерами на смартфоны LG, с использованием ценового алгоритма;</w:t>
      </w:r>
    </w:p>
    <w:p w14:paraId="746D235E"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склонение реселлеров к соблюдению рекомендованных розничных цен;</w:t>
      </w:r>
    </w:p>
    <w:p w14:paraId="19F2BB9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ресселерами контроля за ценообразованием конкурентов с помощью ценовых алгоритмо</w:t>
      </w:r>
      <w:r>
        <w:rPr>
          <w:rFonts w:ascii="Times New Roman" w:hAnsi="Times New Roman" w:cs="Times New Roman"/>
          <w:iCs/>
          <w:sz w:val="28"/>
          <w:szCs w:val="28"/>
        </w:rPr>
        <w:t>в</w:t>
      </w:r>
      <w:r w:rsidRPr="00F55FA0">
        <w:rPr>
          <w:rFonts w:ascii="Times New Roman" w:hAnsi="Times New Roman" w:cs="Times New Roman"/>
          <w:iCs/>
          <w:sz w:val="28"/>
          <w:szCs w:val="28"/>
        </w:rPr>
        <w:t xml:space="preserve"> и направление отчетов о ценах конкурентов</w:t>
      </w:r>
      <w:r>
        <w:rPr>
          <w:rFonts w:ascii="Times New Roman" w:hAnsi="Times New Roman" w:cs="Times New Roman"/>
          <w:iCs/>
          <w:sz w:val="28"/>
          <w:szCs w:val="28"/>
        </w:rPr>
        <w:t>.</w:t>
      </w:r>
    </w:p>
    <w:p w14:paraId="1013862C"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При этом осуществлению координации реселлеров смартфонов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w:t>
      </w:r>
      <w:r w:rsidRPr="00F55FA0">
        <w:rPr>
          <w:rFonts w:ascii="Times New Roman" w:hAnsi="Times New Roman" w:cs="Times New Roman"/>
          <w:bCs/>
          <w:iCs/>
          <w:sz w:val="28"/>
          <w:szCs w:val="28"/>
        </w:rPr>
        <w:t xml:space="preserve">способствовало широко распространенное использование ценовых алгоритмов </w:t>
      </w:r>
      <w:r w:rsidRPr="00F55FA0">
        <w:rPr>
          <w:rFonts w:ascii="Times New Roman" w:hAnsi="Times New Roman" w:cs="Times New Roman"/>
          <w:iCs/>
          <w:sz w:val="28"/>
          <w:szCs w:val="28"/>
        </w:rPr>
        <w:t>как самим координатором, так и координируемыми лицами.</w:t>
      </w:r>
    </w:p>
    <w:p w14:paraId="580EF23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Ценовой алгоритм</w:t>
      </w:r>
      <w:r w:rsidRPr="00F55FA0">
        <w:rPr>
          <w:rFonts w:ascii="Times New Roman" w:hAnsi="Times New Roman" w:cs="Times New Roman"/>
          <w:iCs/>
          <w:sz w:val="28"/>
          <w:szCs w:val="28"/>
        </w:rPr>
        <w:t xml:space="preserve">, используемый ООО «ЛГ Электроникс РУС», </w:t>
      </w:r>
      <w:r w:rsidRPr="00F55FA0">
        <w:rPr>
          <w:rFonts w:ascii="Times New Roman" w:hAnsi="Times New Roman" w:cs="Times New Roman"/>
          <w:bCs/>
          <w:iCs/>
          <w:sz w:val="28"/>
          <w:szCs w:val="28"/>
        </w:rPr>
        <w:t xml:space="preserve">осуществлял сбор и анализ информации о розничных ценах, действовавших у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формировал отчет. Полученные при помощи такой программы данные использовались в дальнейшем работниками компании для «выравнивания» цен на рынке. </w:t>
      </w:r>
      <w:r w:rsidRPr="00F55FA0">
        <w:rPr>
          <w:rFonts w:ascii="Times New Roman" w:hAnsi="Times New Roman" w:cs="Times New Roman"/>
          <w:iCs/>
          <w:sz w:val="28"/>
          <w:szCs w:val="28"/>
        </w:rPr>
        <w:t>Таким образом, алгоритм являлся инструментом незаконной координации экономической деятельности реселлеров.</w:t>
      </w:r>
    </w:p>
    <w:p w14:paraId="506E2215" w14:textId="77777777" w:rsidR="0083262C" w:rsidRPr="00154FDB"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Также различные ценовые алгоритмы использовались рядом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для отслеживания отклонений цен у конкурентов.</w:t>
      </w:r>
      <w:r w:rsidRPr="00F55FA0">
        <w:rPr>
          <w:rFonts w:ascii="Times New Roman" w:hAnsi="Times New Roman" w:cs="Times New Roman"/>
          <w:iCs/>
          <w:sz w:val="28"/>
          <w:szCs w:val="28"/>
        </w:rPr>
        <w:t xml:space="preserve"> Данные, полученные с использованием ценовых алгоритмов, передавались координируемыми лицами координатору и зачастую сопровождались требованием о принятии мер по изменению цен конкурентов.</w:t>
      </w:r>
    </w:p>
    <w:p w14:paraId="25B3E73D" w14:textId="77777777" w:rsidR="0083262C" w:rsidRPr="00F55FA0" w:rsidRDefault="0083262C" w:rsidP="0083262C">
      <w:pPr>
        <w:spacing w:after="0" w:line="240" w:lineRule="auto"/>
        <w:ind w:firstLine="709"/>
        <w:jc w:val="both"/>
        <w:rPr>
          <w:rFonts w:ascii="Times New Roman" w:hAnsi="Times New Roman" w:cs="Times New Roman"/>
          <w:b/>
          <w:iCs/>
          <w:sz w:val="28"/>
          <w:szCs w:val="28"/>
        </w:rPr>
      </w:pPr>
      <w:r w:rsidRPr="00F55FA0">
        <w:rPr>
          <w:rFonts w:ascii="Times New Roman" w:hAnsi="Times New Roman" w:cs="Times New Roman"/>
          <w:b/>
          <w:iCs/>
          <w:sz w:val="28"/>
          <w:szCs w:val="28"/>
        </w:rPr>
        <w:t>Высокой степенью картелизации характеризуются следующие отрасли экономики:</w:t>
      </w:r>
    </w:p>
    <w:p w14:paraId="77E03552"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1. Строительство </w:t>
      </w:r>
    </w:p>
    <w:p w14:paraId="62359F9F"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Сегодня 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154 млрд рублей. Деятельность картелей и иных антиконкурентных соглашений распространилась на территории 79 субъектов Российской Федерации. На приведенных ниже картах видно, как деятельность картелей охватила почти всю территорию страны. (Рис. 2).</w:t>
      </w:r>
    </w:p>
    <w:p w14:paraId="2B78A17C" w14:textId="77777777" w:rsidR="0083262C" w:rsidRPr="00F55FA0"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noProof/>
          <w:sz w:val="28"/>
          <w:szCs w:val="28"/>
          <w:lang w:eastAsia="ru-RU"/>
        </w:rPr>
        <w:drawing>
          <wp:inline distT="0" distB="0" distL="0" distR="0" wp14:anchorId="399A9BFD" wp14:editId="7B5F0688">
            <wp:extent cx="5476465" cy="3571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533" cy="3593443"/>
                    </a:xfrm>
                    <a:prstGeom prst="rect">
                      <a:avLst/>
                    </a:prstGeom>
                    <a:noFill/>
                  </pic:spPr>
                </pic:pic>
              </a:graphicData>
            </a:graphic>
          </wp:inline>
        </w:drawing>
      </w:r>
    </w:p>
    <w:p w14:paraId="4DD7E5E4" w14:textId="77777777" w:rsidR="0083262C" w:rsidRPr="00F55FA0" w:rsidRDefault="0083262C" w:rsidP="0083262C">
      <w:pPr>
        <w:spacing w:after="0"/>
        <w:ind w:firstLine="708"/>
        <w:jc w:val="both"/>
        <w:rPr>
          <w:rFonts w:ascii="Times New Roman" w:hAnsi="Times New Roman" w:cs="Times New Roman"/>
          <w:iCs/>
          <w:sz w:val="28"/>
          <w:szCs w:val="28"/>
        </w:rPr>
      </w:pPr>
      <w:r w:rsidRPr="00F55FA0">
        <w:rPr>
          <w:rFonts w:ascii="Times New Roman" w:hAnsi="Times New Roman" w:cs="Times New Roman"/>
          <w:iCs/>
          <w:sz w:val="28"/>
          <w:szCs w:val="28"/>
        </w:rPr>
        <w:t>Рис. 2. География распространения по состоянию на март 2019 года.</w:t>
      </w:r>
    </w:p>
    <w:p w14:paraId="6E9B3F7B" w14:textId="77777777" w:rsidR="0083262C" w:rsidRPr="00F55FA0" w:rsidRDefault="0083262C" w:rsidP="0083262C">
      <w:pPr>
        <w:spacing w:after="0"/>
        <w:ind w:firstLine="709"/>
        <w:jc w:val="both"/>
        <w:rPr>
          <w:rFonts w:ascii="Times New Roman" w:hAnsi="Times New Roman" w:cs="Times New Roman"/>
          <w:iCs/>
          <w:sz w:val="28"/>
          <w:szCs w:val="28"/>
        </w:rPr>
      </w:pPr>
    </w:p>
    <w:p w14:paraId="50691093"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2. Лекарства, медицинские изделия</w:t>
      </w:r>
    </w:p>
    <w:p w14:paraId="4989314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В 2018 году ФАС России продолжила активную работу по выявлению и пресечению антиконкурентных соглашений в сфере поставок фармацевтической и медицинской продукции. Деятельностью картелей на закупках лекарственных средств и медицинских изделий охвачено уже 82 региона, почти вся территория страны (Рис. 3). </w:t>
      </w:r>
    </w:p>
    <w:p w14:paraId="2F340254" w14:textId="77777777" w:rsidR="0083262C" w:rsidRPr="00F55FA0" w:rsidRDefault="0083262C" w:rsidP="0083262C">
      <w:pPr>
        <w:spacing w:after="0"/>
        <w:ind w:firstLine="709"/>
        <w:jc w:val="both"/>
        <w:rPr>
          <w:noProof/>
          <w:lang w:eastAsia="ru-RU"/>
        </w:rPr>
      </w:pPr>
      <w:r w:rsidRPr="00F55FA0">
        <w:rPr>
          <w:noProof/>
          <w:lang w:eastAsia="ru-RU"/>
        </w:rPr>
        <w:drawing>
          <wp:inline distT="0" distB="0" distL="0" distR="0" wp14:anchorId="078A9681" wp14:editId="6ABC9985">
            <wp:extent cx="5477788" cy="315277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508" cy="3182543"/>
                    </a:xfrm>
                    <a:prstGeom prst="rect">
                      <a:avLst/>
                    </a:prstGeom>
                    <a:noFill/>
                  </pic:spPr>
                </pic:pic>
              </a:graphicData>
            </a:graphic>
          </wp:inline>
        </w:drawing>
      </w:r>
    </w:p>
    <w:p w14:paraId="794A1752" w14:textId="77777777" w:rsidR="0083262C" w:rsidRPr="00F55FA0" w:rsidRDefault="0083262C" w:rsidP="0083262C">
      <w:pPr>
        <w:spacing w:after="0"/>
        <w:ind w:firstLine="709"/>
        <w:jc w:val="both"/>
        <w:rPr>
          <w:rFonts w:ascii="Times New Roman" w:hAnsi="Times New Roman" w:cs="Times New Roman"/>
          <w:iCs/>
          <w:sz w:val="28"/>
          <w:szCs w:val="28"/>
        </w:rPr>
      </w:pPr>
    </w:p>
    <w:p w14:paraId="2A6D9795" w14:textId="77777777" w:rsidR="0083262C" w:rsidRPr="00F55FA0" w:rsidRDefault="0083262C" w:rsidP="0083262C">
      <w:pPr>
        <w:spacing w:after="0"/>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Рис. 3. География распространения по состоянию на март 2019 года.</w:t>
      </w:r>
    </w:p>
    <w:p w14:paraId="495CED18" w14:textId="77777777" w:rsidR="0083262C" w:rsidRPr="00F55FA0" w:rsidRDefault="0083262C" w:rsidP="0083262C">
      <w:pPr>
        <w:spacing w:after="0"/>
        <w:ind w:firstLine="709"/>
        <w:jc w:val="both"/>
        <w:rPr>
          <w:rFonts w:ascii="Times New Roman" w:hAnsi="Times New Roman" w:cs="Times New Roman"/>
          <w:b/>
          <w:bCs/>
          <w:sz w:val="28"/>
          <w:szCs w:val="28"/>
        </w:rPr>
      </w:pPr>
    </w:p>
    <w:p w14:paraId="7217F137"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3. Продукты питания </w:t>
      </w:r>
    </w:p>
    <w:p w14:paraId="26DB9CBA"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Федеральная антимонопольная служба отмечает высокую социальную опасность антиконкурентных соглашений в данной сфере</w:t>
      </w:r>
      <w:r>
        <w:rPr>
          <w:rFonts w:ascii="Times New Roman" w:hAnsi="Times New Roman" w:cs="Times New Roman"/>
          <w:iCs/>
          <w:sz w:val="28"/>
          <w:szCs w:val="28"/>
        </w:rPr>
        <w:t>,</w:t>
      </w:r>
      <w:r w:rsidRPr="00F55FA0">
        <w:rPr>
          <w:rFonts w:ascii="Times New Roman" w:hAnsi="Times New Roman" w:cs="Times New Roman"/>
          <w:iCs/>
          <w:sz w:val="28"/>
          <w:szCs w:val="28"/>
        </w:rPr>
        <w:t xml:space="preserve"> так как </w:t>
      </w:r>
      <w:r>
        <w:rPr>
          <w:rFonts w:ascii="Times New Roman" w:hAnsi="Times New Roman" w:cs="Times New Roman"/>
          <w:iCs/>
          <w:sz w:val="28"/>
          <w:szCs w:val="28"/>
        </w:rPr>
        <w:t>заказчиками являются</w:t>
      </w:r>
      <w:r w:rsidRPr="00F55FA0">
        <w:rPr>
          <w:rFonts w:ascii="Times New Roman" w:hAnsi="Times New Roman" w:cs="Times New Roman"/>
          <w:iCs/>
          <w:sz w:val="28"/>
          <w:szCs w:val="28"/>
        </w:rPr>
        <w:t xml:space="preserve"> образовательные учреждения, в том числе дошкольные, а также медицинские учреждения.</w:t>
      </w:r>
    </w:p>
    <w:p w14:paraId="52184D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sz w:val="28"/>
          <w:szCs w:val="28"/>
        </w:rPr>
        <w:t xml:space="preserve">В 2018 году ФАС России совместно с активистами и экспертами проекта ОНФ «За честные закупки» проведено исследование закупок социального питания регионов Российской Федерации на предмет наличия картелей в поставках услуги по организации питания. В результате по сигналам активистов ОНФ антимонопольными органами возбуждено более 60 дел о нарушении антимонопольного законодательства в сфере организации питания в образовательных и медицинских учреждениях на территории страны. Общая сумма контрактов по возбужденным делам составила более 5,5 млрд руб. </w:t>
      </w:r>
    </w:p>
    <w:p w14:paraId="096807D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6,6 млрд рублей. Деятельность картелей и иных антиконкурентных соглашений распространилась на территори</w:t>
      </w:r>
      <w:r>
        <w:rPr>
          <w:rFonts w:ascii="Times New Roman" w:hAnsi="Times New Roman" w:cs="Times New Roman"/>
          <w:iCs/>
          <w:sz w:val="28"/>
          <w:szCs w:val="28"/>
        </w:rPr>
        <w:t>ю</w:t>
      </w:r>
      <w:r w:rsidRPr="00F55FA0">
        <w:rPr>
          <w:rFonts w:ascii="Times New Roman" w:hAnsi="Times New Roman" w:cs="Times New Roman"/>
          <w:iCs/>
          <w:sz w:val="28"/>
          <w:szCs w:val="28"/>
        </w:rPr>
        <w:t xml:space="preserve"> 51 субъект</w:t>
      </w:r>
      <w:r>
        <w:rPr>
          <w:rFonts w:ascii="Times New Roman" w:hAnsi="Times New Roman" w:cs="Times New Roman"/>
          <w:iCs/>
          <w:sz w:val="28"/>
          <w:szCs w:val="28"/>
        </w:rPr>
        <w:t>а</w:t>
      </w:r>
      <w:r w:rsidRPr="00F55FA0">
        <w:rPr>
          <w:rFonts w:ascii="Times New Roman" w:hAnsi="Times New Roman" w:cs="Times New Roman"/>
          <w:iCs/>
          <w:sz w:val="28"/>
          <w:szCs w:val="28"/>
        </w:rPr>
        <w:t xml:space="preserve"> Российской Федерации. (Рис. 4).</w:t>
      </w:r>
    </w:p>
    <w:p w14:paraId="770091F9" w14:textId="77777777" w:rsidR="0083262C" w:rsidRPr="00F55FA0" w:rsidRDefault="0083262C" w:rsidP="0083262C">
      <w:pPr>
        <w:spacing w:after="0"/>
        <w:ind w:firstLine="709"/>
        <w:jc w:val="both"/>
        <w:rPr>
          <w:rFonts w:ascii="Times New Roman" w:hAnsi="Times New Roman" w:cs="Times New Roman"/>
          <w:b/>
          <w:sz w:val="28"/>
          <w:szCs w:val="28"/>
        </w:rPr>
      </w:pPr>
      <w:r w:rsidRPr="00F55FA0">
        <w:rPr>
          <w:rFonts w:ascii="Times New Roman" w:hAnsi="Times New Roman" w:cs="Times New Roman"/>
          <w:b/>
          <w:noProof/>
          <w:sz w:val="28"/>
          <w:szCs w:val="28"/>
          <w:lang w:eastAsia="ru-RU"/>
        </w:rPr>
        <w:drawing>
          <wp:inline distT="0" distB="0" distL="0" distR="0" wp14:anchorId="605A682B" wp14:editId="075B2632">
            <wp:extent cx="5433060" cy="325575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443" cy="3280553"/>
                    </a:xfrm>
                    <a:prstGeom prst="rect">
                      <a:avLst/>
                    </a:prstGeom>
                    <a:noFill/>
                  </pic:spPr>
                </pic:pic>
              </a:graphicData>
            </a:graphic>
          </wp:inline>
        </w:drawing>
      </w:r>
    </w:p>
    <w:p w14:paraId="6BECEE5F" w14:textId="77777777" w:rsidR="0083262C" w:rsidRPr="00F55FA0" w:rsidRDefault="0083262C" w:rsidP="0083262C">
      <w:pPr>
        <w:spacing w:after="0"/>
        <w:ind w:firstLine="709"/>
        <w:jc w:val="both"/>
        <w:rPr>
          <w:rFonts w:ascii="Times New Roman" w:hAnsi="Times New Roman" w:cs="Times New Roman"/>
          <w:sz w:val="28"/>
          <w:szCs w:val="28"/>
        </w:rPr>
      </w:pPr>
    </w:p>
    <w:p w14:paraId="7B81A885" w14:textId="77777777" w:rsidR="0083262C" w:rsidRPr="00F55FA0" w:rsidRDefault="0083262C" w:rsidP="0083262C">
      <w:pPr>
        <w:spacing w:after="0"/>
        <w:ind w:firstLine="709"/>
        <w:jc w:val="both"/>
        <w:rPr>
          <w:rFonts w:ascii="Times New Roman" w:hAnsi="Times New Roman" w:cs="Times New Roman"/>
          <w:sz w:val="28"/>
          <w:szCs w:val="28"/>
        </w:rPr>
      </w:pPr>
      <w:r w:rsidRPr="00F55FA0">
        <w:rPr>
          <w:rFonts w:ascii="Times New Roman" w:hAnsi="Times New Roman" w:cs="Times New Roman"/>
          <w:sz w:val="28"/>
          <w:szCs w:val="28"/>
        </w:rPr>
        <w:t>Рис. 4. География распространения по состоянию на март 2019 года.</w:t>
      </w:r>
    </w:p>
    <w:p w14:paraId="30867EB5" w14:textId="77777777" w:rsidR="00502402" w:rsidRPr="007C6DC9" w:rsidRDefault="00502402" w:rsidP="00883C8E">
      <w:pPr>
        <w:spacing w:after="0" w:line="360" w:lineRule="auto"/>
        <w:jc w:val="both"/>
        <w:rPr>
          <w:rFonts w:ascii="Times New Roman" w:hAnsi="Times New Roman" w:cs="Times New Roman"/>
        </w:rPr>
      </w:pPr>
    </w:p>
    <w:p w14:paraId="32B7ADB0" w14:textId="77777777" w:rsidR="00883C8E" w:rsidRPr="00CE7443" w:rsidRDefault="00883C8E" w:rsidP="00DA3F05">
      <w:pPr>
        <w:pStyle w:val="3"/>
      </w:pPr>
      <w:bookmarkStart w:id="23" w:name="_Toc7447931"/>
      <w:r w:rsidRPr="009B3F86">
        <w:t>Состояние</w:t>
      </w:r>
      <w:r w:rsidRPr="00CE7443">
        <w:t xml:space="preserve"> развития и поддержки малого и среднего предпринимательства</w:t>
      </w:r>
      <w:bookmarkEnd w:id="23"/>
      <w:r w:rsidRPr="00CE7443">
        <w:t xml:space="preserve"> </w:t>
      </w:r>
      <w:bookmarkStart w:id="24" w:name="_Toc6834315"/>
      <w:bookmarkStart w:id="25" w:name="_Toc6834602"/>
      <w:bookmarkStart w:id="26" w:name="_Toc6834805"/>
      <w:bookmarkEnd w:id="24"/>
      <w:bookmarkEnd w:id="25"/>
      <w:bookmarkEnd w:id="26"/>
    </w:p>
    <w:p w14:paraId="36D5C32B"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41AD2994"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Важность сектора МСП общепризнана </w:t>
      </w:r>
      <w:r w:rsidRPr="00B91730">
        <w:rPr>
          <w:rFonts w:ascii="Times New Roman" w:eastAsia="Times New Roman" w:hAnsi="Times New Roman" w:cs="Times New Roman"/>
          <w:sz w:val="28"/>
          <w:szCs w:val="28"/>
          <w:lang w:eastAsia="ru-RU"/>
        </w:rPr>
        <w:t xml:space="preserve">во всем мире. 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w:t>
      </w:r>
    </w:p>
    <w:p w14:paraId="2B20EE41" w14:textId="19BF3A7D"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w:t>
      </w:r>
      <w:r w:rsidR="00881B4B">
        <w:rPr>
          <w:rFonts w:ascii="Times New Roman" w:eastAsia="Times New Roman" w:hAnsi="Times New Roman" w:cs="Times New Roman"/>
          <w:sz w:val="28"/>
          <w:szCs w:val="28"/>
          <w:lang w:eastAsia="ru-RU"/>
        </w:rPr>
        <w:t xml:space="preserve"> конкуренции в экономике. Низко</w:t>
      </w:r>
      <w:r w:rsidRPr="00B91730">
        <w:rPr>
          <w:rFonts w:ascii="Times New Roman" w:eastAsia="Times New Roman" w:hAnsi="Times New Roman" w:cs="Times New Roman"/>
          <w:sz w:val="28"/>
          <w:szCs w:val="28"/>
          <w:lang w:eastAsia="ru-RU"/>
        </w:rPr>
        <w:t>производительные предприятия уходят с рынка, а высокопроизводительные компании растут, что приводит к росту общей производительности труда в эконо</w:t>
      </w:r>
      <w:r>
        <w:rPr>
          <w:rFonts w:ascii="Times New Roman" w:eastAsia="Times New Roman" w:hAnsi="Times New Roman" w:cs="Times New Roman"/>
          <w:sz w:val="28"/>
          <w:szCs w:val="28"/>
          <w:lang w:eastAsia="ru-RU"/>
        </w:rPr>
        <w:t>мике, росту доходов населения. Нельзя не отметить важность развитой конкуренции для увеличения роста</w:t>
      </w:r>
      <w:r w:rsidRPr="00B91730">
        <w:rPr>
          <w:rFonts w:ascii="Times New Roman" w:eastAsia="Times New Roman" w:hAnsi="Times New Roman" w:cs="Times New Roman"/>
          <w:sz w:val="28"/>
          <w:szCs w:val="28"/>
          <w:lang w:eastAsia="ru-RU"/>
        </w:rPr>
        <w:t xml:space="preserve"> качества товаров и услуг. </w:t>
      </w:r>
    </w:p>
    <w:p w14:paraId="29610523"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Еще одним преимуществом малых и средних предприятий часто называется инновационность. Исследование, проведённое в США (</w:t>
      </w:r>
      <w:r w:rsidRPr="00B91730">
        <w:rPr>
          <w:rFonts w:ascii="Times New Roman" w:eastAsia="Times New Roman" w:hAnsi="Times New Roman" w:cs="Times New Roman"/>
          <w:sz w:val="28"/>
          <w:szCs w:val="28"/>
          <w:lang w:val="en-US" w:eastAsia="ru-RU"/>
        </w:rPr>
        <w:t>An</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Analysis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of</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Small</w:t>
      </w:r>
      <w:r w:rsidRPr="00B91730">
        <w:rPr>
          <w:rFonts w:ascii="Times New Roman" w:eastAsia="Times New Roman" w:hAnsi="Times New Roman" w:cs="Times New Roman"/>
          <w:sz w:val="28"/>
          <w:szCs w:val="28"/>
          <w:lang w:eastAsia="ru-RU"/>
        </w:rPr>
        <w:t xml:space="preserve"> Business </w:t>
      </w:r>
      <w:r w:rsidRPr="00B91730">
        <w:rPr>
          <w:rFonts w:ascii="Times New Roman" w:eastAsia="Times New Roman" w:hAnsi="Times New Roman" w:cs="Times New Roman"/>
          <w:sz w:val="28"/>
          <w:szCs w:val="28"/>
          <w:lang w:val="en-US" w:eastAsia="ru-RU"/>
        </w:rPr>
        <w:t>Patents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by</w:t>
      </w:r>
      <w:r w:rsidRPr="00B91730">
        <w:rPr>
          <w:rFonts w:ascii="Times New Roman" w:eastAsia="Times New Roman" w:hAnsi="Times New Roman" w:cs="Times New Roman"/>
          <w:sz w:val="28"/>
          <w:szCs w:val="28"/>
          <w:lang w:eastAsia="ru-RU"/>
        </w:rPr>
        <w:t xml:space="preserve"> Industry </w:t>
      </w:r>
      <w:r w:rsidRPr="00B91730">
        <w:rPr>
          <w:rFonts w:ascii="Times New Roman" w:eastAsia="Times New Roman" w:hAnsi="Times New Roman" w:cs="Times New Roman"/>
          <w:sz w:val="28"/>
          <w:szCs w:val="28"/>
          <w:lang w:val="en-US" w:eastAsia="ru-RU"/>
        </w:rPr>
        <w:t>and</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Firm</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Size</w:t>
      </w:r>
      <w:r w:rsidRPr="00B91730">
        <w:rPr>
          <w:rFonts w:ascii="Times New Roman" w:eastAsia="Times New Roman" w:hAnsi="Times New Roman" w:cs="Times New Roman"/>
          <w:sz w:val="28"/>
          <w:szCs w:val="28"/>
          <w:lang w:eastAsia="ru-RU"/>
        </w:rPr>
        <w:t>), показало, что в секторе МСП создается в 16 раз больше патентов в расчете на 1 работника, чем в крупном бизнесе.</w:t>
      </w:r>
    </w:p>
    <w:p w14:paraId="0A0EDB2C" w14:textId="635905DA"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Приведенные ниже результаты сопоставлений демонстрируют, с одной стороны, существенную роль, отводимую МСП в экономиках других стран. И, с другой стороны, низкий уровень и большой потенциал развития МСП в России.</w:t>
      </w:r>
    </w:p>
    <w:p w14:paraId="745E316A" w14:textId="69425D00" w:rsidR="00BD704D" w:rsidRDefault="00BD704D" w:rsidP="008C6DE1">
      <w:pPr>
        <w:spacing w:after="0" w:line="240" w:lineRule="auto"/>
        <w:jc w:val="both"/>
        <w:rPr>
          <w:rFonts w:ascii="Times New Roman" w:eastAsia="Times New Roman" w:hAnsi="Times New Roman" w:cs="Times New Roman"/>
          <w:sz w:val="24"/>
          <w:szCs w:val="24"/>
          <w:lang w:eastAsia="ru-RU"/>
        </w:rPr>
      </w:pPr>
      <w:r w:rsidRPr="00B91730">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67337965" wp14:editId="733AF35B">
            <wp:simplePos x="0" y="0"/>
            <wp:positionH relativeFrom="column">
              <wp:posOffset>183515</wp:posOffset>
            </wp:positionH>
            <wp:positionV relativeFrom="paragraph">
              <wp:posOffset>68580</wp:posOffset>
            </wp:positionV>
            <wp:extent cx="5372100" cy="2521598"/>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373" t="47889" r="20630" b="6215"/>
                    <a:stretch/>
                  </pic:blipFill>
                  <pic:spPr bwMode="auto">
                    <a:xfrm>
                      <a:off x="0" y="0"/>
                      <a:ext cx="5372100" cy="2521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AA48B" w14:textId="2ADBB954"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3A75E36" w14:textId="55A5D822"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6D5FECE" w14:textId="6B4279C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4A9CFFB9" w14:textId="77777777"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040B42B7" w14:textId="5F791C5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76FAD716" w14:textId="5FD9A8A9" w:rsidR="008C6DE1" w:rsidRPr="00C422DB" w:rsidRDefault="008C6DE1" w:rsidP="008C6DE1">
      <w:pPr>
        <w:spacing w:after="0" w:line="240" w:lineRule="auto"/>
        <w:jc w:val="both"/>
        <w:rPr>
          <w:rFonts w:ascii="Times New Roman" w:eastAsia="Times New Roman" w:hAnsi="Times New Roman" w:cs="Times New Roman"/>
          <w:sz w:val="24"/>
          <w:szCs w:val="24"/>
          <w:lang w:eastAsia="ru-RU"/>
        </w:rPr>
      </w:pPr>
    </w:p>
    <w:p w14:paraId="101A585D" w14:textId="77777777" w:rsidR="008C6DE1" w:rsidRPr="00C422DB" w:rsidRDefault="008C6DE1" w:rsidP="008C6DE1">
      <w:pPr>
        <w:spacing w:after="0" w:line="240" w:lineRule="auto"/>
        <w:rPr>
          <w:rFonts w:ascii="Times New Roman" w:eastAsia="Times New Roman" w:hAnsi="Times New Roman" w:cs="Times New Roman"/>
          <w:sz w:val="24"/>
          <w:szCs w:val="24"/>
          <w:lang w:eastAsia="ru-RU"/>
        </w:rPr>
      </w:pPr>
    </w:p>
    <w:p w14:paraId="3D54B6A3"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64A1F19F"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33BF4637"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251F785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43594334"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5273FD4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75EF5012" w14:textId="77777777" w:rsidR="008C6DE1" w:rsidRPr="00507AA4" w:rsidRDefault="008C6DE1" w:rsidP="008C6DE1">
      <w:pPr>
        <w:spacing w:after="0" w:line="240" w:lineRule="auto"/>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Источник: Российская венчурная компания</w:t>
      </w:r>
    </w:p>
    <w:p w14:paraId="78DFBFF7"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796D728" w14:textId="77777777" w:rsidR="00BD704D" w:rsidRDefault="00BD704D" w:rsidP="008C6DE1">
      <w:pPr>
        <w:spacing w:after="0" w:line="240" w:lineRule="auto"/>
        <w:ind w:firstLine="709"/>
        <w:jc w:val="both"/>
        <w:rPr>
          <w:rFonts w:ascii="Times New Roman" w:eastAsia="Times New Roman" w:hAnsi="Times New Roman" w:cs="Times New Roman"/>
          <w:sz w:val="28"/>
          <w:szCs w:val="28"/>
          <w:lang w:eastAsia="ru-RU"/>
        </w:rPr>
      </w:pPr>
    </w:p>
    <w:p w14:paraId="30C8DEFE" w14:textId="77777777" w:rsidR="00BD704D" w:rsidRDefault="00BD704D" w:rsidP="008C6DE1">
      <w:pPr>
        <w:spacing w:after="0" w:line="240" w:lineRule="auto"/>
        <w:ind w:firstLine="709"/>
        <w:jc w:val="both"/>
        <w:rPr>
          <w:rFonts w:ascii="Times New Roman" w:eastAsia="Times New Roman" w:hAnsi="Times New Roman" w:cs="Times New Roman"/>
          <w:sz w:val="28"/>
          <w:szCs w:val="28"/>
          <w:lang w:eastAsia="ru-RU"/>
        </w:rPr>
      </w:pPr>
    </w:p>
    <w:p w14:paraId="3AD469A1"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w:t>
      </w:r>
    </w:p>
    <w:p w14:paraId="01E52BEB"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Россия заметно уступает всем странам, кроме США, по показателю численности субъектов МСП на 100 человек населения.</w:t>
      </w:r>
    </w:p>
    <w:p w14:paraId="4FD29576"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этому показателю в Чехии в 4,7 раз больше малых и средних предприятий, чем в России, в Швеции – в 3,4 раза, в Испании – в 2,7 раз, в Польше – 2,1 раз. Из рассматриваемых стран только США уступает России.</w:t>
      </w:r>
    </w:p>
    <w:p w14:paraId="5CBCA776"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6912" behindDoc="1" locked="0" layoutInCell="1" allowOverlap="1" wp14:anchorId="6DF0B7DB" wp14:editId="46CA3CA7">
            <wp:simplePos x="0" y="0"/>
            <wp:positionH relativeFrom="column">
              <wp:posOffset>-51436</wp:posOffset>
            </wp:positionH>
            <wp:positionV relativeFrom="paragraph">
              <wp:posOffset>133985</wp:posOffset>
            </wp:positionV>
            <wp:extent cx="6349041" cy="27432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524" t="44469" r="20471" b="10206"/>
                    <a:stretch/>
                  </pic:blipFill>
                  <pic:spPr bwMode="auto">
                    <a:xfrm>
                      <a:off x="0" y="0"/>
                      <a:ext cx="6350100" cy="2743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1314F"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2D7D7C91"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42208A7C"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756D9FA5"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9926CA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15F62A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357FFD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71FF129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17997ED"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0C65437"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239971C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0AF0183"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4D9E218"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5C394F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B360D24"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33A2CFE8"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p>
    <w:p w14:paraId="080EC91B" w14:textId="77777777" w:rsidR="008C6DE1" w:rsidRPr="00FB2AA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 xml:space="preserve">Сопоставление стран по доле работников, занятых в секторе МСП также указывает на существенное отставание российской экономики. </w:t>
      </w:r>
    </w:p>
    <w:p w14:paraId="3A45D1C6" w14:textId="77777777" w:rsidR="008C6DE1" w:rsidRPr="00FB2AA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Если в России доля работников</w:t>
      </w:r>
      <w:r>
        <w:rPr>
          <w:rFonts w:ascii="Times New Roman" w:eastAsia="Times New Roman" w:hAnsi="Times New Roman" w:cs="Times New Roman"/>
          <w:sz w:val="28"/>
          <w:szCs w:val="28"/>
          <w:lang w:eastAsia="ru-RU"/>
        </w:rPr>
        <w:t xml:space="preserve"> малых и средних предприятий не </w:t>
      </w:r>
      <w:r w:rsidRPr="00FB2AA1">
        <w:rPr>
          <w:rFonts w:ascii="Times New Roman" w:eastAsia="Times New Roman" w:hAnsi="Times New Roman" w:cs="Times New Roman"/>
          <w:sz w:val="28"/>
          <w:szCs w:val="28"/>
          <w:lang w:eastAsia="ru-RU"/>
        </w:rPr>
        <w:t>превышает одну пятую всех занятых в организациях, то в остальных</w:t>
      </w:r>
      <w:r>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странах–за исключением США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их дол</w:t>
      </w:r>
      <w:r>
        <w:rPr>
          <w:rFonts w:ascii="Times New Roman" w:eastAsia="Times New Roman" w:hAnsi="Times New Roman" w:cs="Times New Roman"/>
          <w:sz w:val="28"/>
          <w:szCs w:val="28"/>
          <w:lang w:eastAsia="ru-RU"/>
        </w:rPr>
        <w:t xml:space="preserve">я превышает половину, а в семи </w:t>
      </w:r>
      <w:r w:rsidRPr="00FB2AA1">
        <w:rPr>
          <w:rFonts w:ascii="Times New Roman" w:eastAsia="Times New Roman" w:hAnsi="Times New Roman" w:cs="Times New Roman"/>
          <w:sz w:val="28"/>
          <w:szCs w:val="28"/>
          <w:lang w:eastAsia="ru-RU"/>
        </w:rPr>
        <w:t>странах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 вовсе превышает две трети.</w:t>
      </w:r>
    </w:p>
    <w:p w14:paraId="238D5EEA" w14:textId="77777777" w:rsidR="008C6DE1" w:rsidRPr="00666512" w:rsidRDefault="008C6DE1" w:rsidP="008C6DE1">
      <w:pPr>
        <w:spacing w:after="0" w:line="240" w:lineRule="auto"/>
        <w:rPr>
          <w:rFonts w:ascii="Times New Roman" w:hAnsi="Times New Roman" w:cs="Times New Roman"/>
          <w:noProof/>
          <w:sz w:val="24"/>
          <w:szCs w:val="24"/>
          <w:lang w:eastAsia="ru-RU"/>
        </w:rPr>
      </w:pPr>
    </w:p>
    <w:p w14:paraId="017F0384" w14:textId="77777777" w:rsidR="008C6DE1" w:rsidRPr="006D72EC" w:rsidRDefault="008C6DE1" w:rsidP="008C6DE1">
      <w:pPr>
        <w:spacing w:after="0" w:line="240" w:lineRule="auto"/>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5888" behindDoc="1" locked="0" layoutInCell="1" allowOverlap="1" wp14:anchorId="5785A251" wp14:editId="3CB0DA7D">
            <wp:simplePos x="0" y="0"/>
            <wp:positionH relativeFrom="column">
              <wp:posOffset>-3810</wp:posOffset>
            </wp:positionH>
            <wp:positionV relativeFrom="paragraph">
              <wp:posOffset>1270</wp:posOffset>
            </wp:positionV>
            <wp:extent cx="6221729" cy="3067050"/>
            <wp:effectExtent l="0" t="0" r="825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249" t="39624" r="19830" b="10491"/>
                    <a:stretch/>
                  </pic:blipFill>
                  <pic:spPr bwMode="auto">
                    <a:xfrm>
                      <a:off x="0" y="0"/>
                      <a:ext cx="6223129" cy="30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CBFB9" w14:textId="77777777" w:rsidR="008C6DE1" w:rsidRDefault="008C6DE1" w:rsidP="008C6DE1">
      <w:pPr>
        <w:spacing w:after="0" w:line="240" w:lineRule="auto"/>
        <w:jc w:val="both"/>
        <w:rPr>
          <w:rFonts w:ascii="Times New Roman" w:hAnsi="Times New Roman" w:cs="Times New Roman"/>
          <w:sz w:val="28"/>
          <w:szCs w:val="28"/>
        </w:rPr>
      </w:pPr>
    </w:p>
    <w:p w14:paraId="3E727F4F" w14:textId="77777777" w:rsidR="008C6DE1" w:rsidRDefault="008C6DE1" w:rsidP="008C6DE1">
      <w:pPr>
        <w:spacing w:after="0" w:line="240" w:lineRule="auto"/>
        <w:ind w:firstLine="709"/>
        <w:jc w:val="both"/>
        <w:rPr>
          <w:rFonts w:ascii="Times New Roman" w:hAnsi="Times New Roman" w:cs="Times New Roman"/>
          <w:sz w:val="28"/>
          <w:szCs w:val="28"/>
        </w:rPr>
      </w:pPr>
    </w:p>
    <w:p w14:paraId="498AC454" w14:textId="77777777" w:rsidR="008C6DE1" w:rsidRDefault="008C6DE1" w:rsidP="008C6DE1">
      <w:pPr>
        <w:spacing w:after="0" w:line="240" w:lineRule="auto"/>
        <w:ind w:firstLine="709"/>
        <w:jc w:val="both"/>
        <w:rPr>
          <w:rFonts w:ascii="Times New Roman" w:hAnsi="Times New Roman" w:cs="Times New Roman"/>
          <w:sz w:val="28"/>
          <w:szCs w:val="28"/>
        </w:rPr>
      </w:pPr>
    </w:p>
    <w:p w14:paraId="6B9AA10E" w14:textId="77777777" w:rsidR="008C6DE1" w:rsidRDefault="008C6DE1" w:rsidP="008C6DE1">
      <w:pPr>
        <w:spacing w:after="0" w:line="240" w:lineRule="auto"/>
        <w:ind w:firstLine="709"/>
        <w:jc w:val="both"/>
        <w:rPr>
          <w:rFonts w:ascii="Times New Roman" w:hAnsi="Times New Roman" w:cs="Times New Roman"/>
          <w:sz w:val="28"/>
          <w:szCs w:val="28"/>
        </w:rPr>
      </w:pPr>
    </w:p>
    <w:p w14:paraId="26218E6C" w14:textId="77777777" w:rsidR="008C6DE1" w:rsidRDefault="008C6DE1" w:rsidP="008C6DE1">
      <w:pPr>
        <w:spacing w:after="0" w:line="240" w:lineRule="auto"/>
        <w:ind w:firstLine="709"/>
        <w:jc w:val="both"/>
        <w:rPr>
          <w:rFonts w:ascii="Times New Roman" w:hAnsi="Times New Roman" w:cs="Times New Roman"/>
          <w:sz w:val="28"/>
          <w:szCs w:val="28"/>
        </w:rPr>
      </w:pPr>
    </w:p>
    <w:p w14:paraId="70619448" w14:textId="77777777" w:rsidR="008C6DE1" w:rsidRDefault="008C6DE1" w:rsidP="008C6DE1">
      <w:pPr>
        <w:spacing w:after="0" w:line="240" w:lineRule="auto"/>
        <w:ind w:firstLine="709"/>
        <w:jc w:val="both"/>
        <w:rPr>
          <w:rFonts w:ascii="Times New Roman" w:hAnsi="Times New Roman" w:cs="Times New Roman"/>
          <w:sz w:val="28"/>
          <w:szCs w:val="28"/>
        </w:rPr>
      </w:pPr>
    </w:p>
    <w:p w14:paraId="6A828032" w14:textId="77777777" w:rsidR="008C6DE1" w:rsidRDefault="008C6DE1" w:rsidP="008C6DE1">
      <w:pPr>
        <w:spacing w:after="0" w:line="240" w:lineRule="auto"/>
        <w:ind w:firstLine="709"/>
        <w:jc w:val="both"/>
        <w:rPr>
          <w:rFonts w:ascii="Times New Roman" w:hAnsi="Times New Roman" w:cs="Times New Roman"/>
          <w:sz w:val="28"/>
          <w:szCs w:val="28"/>
        </w:rPr>
      </w:pPr>
    </w:p>
    <w:p w14:paraId="2B7CE9B0" w14:textId="77777777" w:rsidR="008C6DE1" w:rsidRDefault="008C6DE1" w:rsidP="008C6DE1">
      <w:pPr>
        <w:spacing w:after="0" w:line="240" w:lineRule="auto"/>
        <w:ind w:firstLine="709"/>
        <w:jc w:val="both"/>
        <w:rPr>
          <w:rFonts w:ascii="Times New Roman" w:hAnsi="Times New Roman" w:cs="Times New Roman"/>
          <w:sz w:val="28"/>
          <w:szCs w:val="28"/>
        </w:rPr>
      </w:pPr>
    </w:p>
    <w:p w14:paraId="721DD183" w14:textId="77777777" w:rsidR="008C6DE1" w:rsidRDefault="008C6DE1" w:rsidP="008C6DE1">
      <w:pPr>
        <w:spacing w:after="0" w:line="240" w:lineRule="auto"/>
        <w:ind w:firstLine="709"/>
        <w:jc w:val="both"/>
        <w:rPr>
          <w:rFonts w:ascii="Times New Roman" w:hAnsi="Times New Roman" w:cs="Times New Roman"/>
          <w:sz w:val="28"/>
          <w:szCs w:val="28"/>
        </w:rPr>
      </w:pPr>
    </w:p>
    <w:p w14:paraId="7CFB80DA" w14:textId="77777777" w:rsidR="008C6DE1" w:rsidRDefault="008C6DE1" w:rsidP="008C6DE1">
      <w:pPr>
        <w:spacing w:after="0" w:line="240" w:lineRule="auto"/>
        <w:ind w:firstLine="709"/>
        <w:jc w:val="both"/>
        <w:rPr>
          <w:rFonts w:ascii="Times New Roman" w:hAnsi="Times New Roman" w:cs="Times New Roman"/>
          <w:sz w:val="28"/>
          <w:szCs w:val="28"/>
        </w:rPr>
      </w:pPr>
    </w:p>
    <w:p w14:paraId="46C963E4" w14:textId="77777777" w:rsidR="00BD704D" w:rsidRDefault="00BD704D" w:rsidP="008C6DE1">
      <w:pPr>
        <w:spacing w:after="0" w:line="240" w:lineRule="auto"/>
        <w:ind w:firstLine="709"/>
        <w:jc w:val="both"/>
        <w:rPr>
          <w:rFonts w:ascii="Times New Roman" w:hAnsi="Times New Roman" w:cs="Times New Roman"/>
          <w:sz w:val="28"/>
          <w:szCs w:val="28"/>
        </w:rPr>
      </w:pPr>
    </w:p>
    <w:p w14:paraId="3709F167" w14:textId="77777777" w:rsidR="00BD704D" w:rsidRDefault="00BD704D" w:rsidP="008C6DE1">
      <w:pPr>
        <w:spacing w:after="0" w:line="240" w:lineRule="auto"/>
        <w:ind w:firstLine="709"/>
        <w:jc w:val="both"/>
        <w:rPr>
          <w:rFonts w:ascii="Times New Roman" w:hAnsi="Times New Roman" w:cs="Times New Roman"/>
          <w:sz w:val="28"/>
          <w:szCs w:val="28"/>
        </w:rPr>
      </w:pPr>
    </w:p>
    <w:p w14:paraId="7EC42685"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Согласно официальным данным Федеральной налоговой службы общее количество индивидуальных предпринимателей (далее – ИП) и крестьянских (фермерских) хозяйств (далее - К(Ф)Х), сведения о которых содержатся в ЕГРИП за период с 1.01.2018 по </w:t>
      </w:r>
      <w:r>
        <w:rPr>
          <w:rFonts w:ascii="Times New Roman" w:hAnsi="Times New Roman" w:cs="Times New Roman"/>
          <w:sz w:val="28"/>
          <w:szCs w:val="28"/>
        </w:rPr>
        <w:t>0</w:t>
      </w:r>
      <w:r w:rsidRPr="00B91730">
        <w:rPr>
          <w:rFonts w:ascii="Times New Roman" w:hAnsi="Times New Roman" w:cs="Times New Roman"/>
          <w:sz w:val="28"/>
          <w:szCs w:val="28"/>
        </w:rPr>
        <w:t>1.12.2018 г. – 800 417, из которых - ИП 783072, К(Ф)Х 17 345</w:t>
      </w:r>
      <w:r w:rsidRPr="00B91730">
        <w:rPr>
          <w:rStyle w:val="af0"/>
          <w:rFonts w:ascii="Times New Roman" w:hAnsi="Times New Roman" w:cs="Times New Roman"/>
          <w:sz w:val="28"/>
          <w:szCs w:val="28"/>
        </w:rPr>
        <w:footnoteReference w:id="13"/>
      </w:r>
      <w:r w:rsidRPr="00B91730">
        <w:rPr>
          <w:rFonts w:ascii="Times New Roman" w:hAnsi="Times New Roman" w:cs="Times New Roman"/>
          <w:sz w:val="28"/>
          <w:szCs w:val="28"/>
        </w:rPr>
        <w:t>.</w:t>
      </w:r>
    </w:p>
    <w:p w14:paraId="4606C882"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Следует отметить, что всего субъектов МСП в Р</w:t>
      </w:r>
      <w:r>
        <w:rPr>
          <w:rFonts w:ascii="Times New Roman" w:hAnsi="Times New Roman" w:cs="Times New Roman"/>
          <w:sz w:val="28"/>
          <w:szCs w:val="28"/>
        </w:rPr>
        <w:t xml:space="preserve">оссийской </w:t>
      </w:r>
      <w:r w:rsidRPr="00B91730">
        <w:rPr>
          <w:rFonts w:ascii="Times New Roman" w:hAnsi="Times New Roman" w:cs="Times New Roman"/>
          <w:sz w:val="28"/>
          <w:szCs w:val="28"/>
        </w:rPr>
        <w:t>Ф</w:t>
      </w:r>
      <w:r>
        <w:rPr>
          <w:rFonts w:ascii="Times New Roman" w:hAnsi="Times New Roman" w:cs="Times New Roman"/>
          <w:sz w:val="28"/>
          <w:szCs w:val="28"/>
        </w:rPr>
        <w:t>едерации</w:t>
      </w:r>
      <w:r w:rsidRPr="00B91730">
        <w:rPr>
          <w:rFonts w:ascii="Times New Roman" w:hAnsi="Times New Roman" w:cs="Times New Roman"/>
          <w:sz w:val="28"/>
          <w:szCs w:val="28"/>
        </w:rPr>
        <w:t xml:space="preserve"> - 6 042 898, если конкретизировать это число, то количество ИП в малом бизнесе - 27 657, а в среднем - 323; количество ЮЛ в малом бизнесе - 224 073, в среднем - 18 544</w:t>
      </w:r>
      <w:r w:rsidRPr="00B91730">
        <w:rPr>
          <w:rStyle w:val="af0"/>
          <w:rFonts w:ascii="Times New Roman" w:hAnsi="Times New Roman" w:cs="Times New Roman"/>
          <w:sz w:val="28"/>
          <w:szCs w:val="28"/>
        </w:rPr>
        <w:footnoteReference w:id="14"/>
      </w:r>
      <w:r w:rsidRPr="00B91730">
        <w:rPr>
          <w:rFonts w:ascii="Times New Roman" w:hAnsi="Times New Roman" w:cs="Times New Roman"/>
          <w:sz w:val="28"/>
          <w:szCs w:val="28"/>
        </w:rPr>
        <w:t>.</w:t>
      </w:r>
    </w:p>
    <w:p w14:paraId="0D46F760" w14:textId="77777777" w:rsidR="008C6DE1" w:rsidRPr="008B1803"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Исходя из сведений, содержащихся в Едином государственном реестре индивидуальных предпринимателей, количество ИП и К(Ф)Х, зарегистрированных и прекративших свою деятельность за период с </w:t>
      </w:r>
      <w:r>
        <w:rPr>
          <w:rFonts w:ascii="Times New Roman" w:hAnsi="Times New Roman" w:cs="Times New Roman"/>
          <w:sz w:val="28"/>
          <w:szCs w:val="28"/>
        </w:rPr>
        <w:t>0</w:t>
      </w:r>
      <w:r w:rsidRPr="00B91730">
        <w:rPr>
          <w:rFonts w:ascii="Times New Roman" w:hAnsi="Times New Roman" w:cs="Times New Roman"/>
          <w:sz w:val="28"/>
          <w:szCs w:val="28"/>
        </w:rPr>
        <w:t xml:space="preserve">1.01.2018 г. по </w:t>
      </w:r>
      <w:r>
        <w:rPr>
          <w:rFonts w:ascii="Times New Roman" w:hAnsi="Times New Roman" w:cs="Times New Roman"/>
          <w:sz w:val="28"/>
          <w:szCs w:val="28"/>
        </w:rPr>
        <w:t>0</w:t>
      </w:r>
      <w:r w:rsidRPr="00B91730">
        <w:rPr>
          <w:rFonts w:ascii="Times New Roman" w:hAnsi="Times New Roman" w:cs="Times New Roman"/>
          <w:sz w:val="28"/>
          <w:szCs w:val="28"/>
        </w:rPr>
        <w:t>1.12.2018 г. составило 613 757; число ИП, прекративших деятельность составляет 590 700, а число К(Ф)Х – 18 912</w:t>
      </w:r>
      <w:r w:rsidRPr="00B91730">
        <w:rPr>
          <w:rStyle w:val="af0"/>
          <w:rFonts w:ascii="Times New Roman" w:hAnsi="Times New Roman" w:cs="Times New Roman"/>
          <w:sz w:val="28"/>
          <w:szCs w:val="28"/>
        </w:rPr>
        <w:footnoteReference w:id="15"/>
      </w:r>
      <w:r>
        <w:rPr>
          <w:rFonts w:ascii="Times New Roman" w:hAnsi="Times New Roman" w:cs="Times New Roman"/>
          <w:sz w:val="28"/>
          <w:szCs w:val="28"/>
        </w:rPr>
        <w:t>.</w:t>
      </w:r>
    </w:p>
    <w:p w14:paraId="768CD0AC"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B6DC8">
        <w:rPr>
          <w:rFonts w:ascii="Times New Roman" w:eastAsia="Times New Roman" w:hAnsi="Times New Roman" w:cs="Times New Roman"/>
          <w:sz w:val="28"/>
          <w:szCs w:val="28"/>
          <w:lang w:eastAsia="ru-RU"/>
        </w:rPr>
        <w:t>Несмотря на общую положительную динамику числа МСП в 2018 г. и рост рабочих мест на предприятиях МСП, структура МСП ухудшилась:</w:t>
      </w:r>
      <w:r w:rsidRPr="007B6DC8">
        <w:rPr>
          <w:rStyle w:val="af0"/>
          <w:rFonts w:ascii="Times New Roman" w:eastAsia="Times New Roman" w:hAnsi="Times New Roman" w:cs="Times New Roman"/>
          <w:sz w:val="28"/>
          <w:szCs w:val="28"/>
          <w:lang w:eastAsia="ru-RU"/>
        </w:rPr>
        <w:footnoteReference w:id="16"/>
      </w:r>
    </w:p>
    <w:p w14:paraId="132E5C89"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w:t>
      </w:r>
      <w:r>
        <w:rPr>
          <w:rFonts w:ascii="Times New Roman" w:eastAsia="Times New Roman" w:hAnsi="Times New Roman" w:cs="Times New Roman"/>
          <w:sz w:val="28"/>
          <w:szCs w:val="28"/>
          <w:lang w:eastAsia="ru-RU"/>
        </w:rPr>
        <w:t>.</w:t>
      </w:r>
    </w:p>
    <w:p w14:paraId="74A0A598"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средних компаний снизилось на 346 ед. за год, достигнув 20 078 ед.</w:t>
      </w:r>
    </w:p>
    <w:p w14:paraId="51FDB067"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малых компаний снизилось на 2 355 ед., достигнув 264 593 ед.</w:t>
      </w:r>
    </w:p>
    <w:p w14:paraId="0C6546BF"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рабочих мест в м</w:t>
      </w:r>
      <w:r>
        <w:rPr>
          <w:rFonts w:ascii="Times New Roman" w:eastAsia="Times New Roman" w:hAnsi="Times New Roman" w:cs="Times New Roman"/>
          <w:sz w:val="28"/>
          <w:szCs w:val="28"/>
          <w:lang w:eastAsia="ru-RU"/>
        </w:rPr>
        <w:t xml:space="preserve">алых компаниях снизилось на 331 </w:t>
      </w:r>
      <w:r w:rsidRPr="007B6DC8">
        <w:rPr>
          <w:rFonts w:ascii="Times New Roman" w:eastAsia="Times New Roman" w:hAnsi="Times New Roman" w:cs="Times New Roman"/>
          <w:sz w:val="28"/>
          <w:szCs w:val="28"/>
          <w:lang w:eastAsia="ru-RU"/>
        </w:rPr>
        <w:t>367 ед. за год, достигнув 7 058 062 ед.</w:t>
      </w:r>
    </w:p>
    <w:p w14:paraId="2457D35F" w14:textId="77777777" w:rsidR="008C6DE1" w:rsidRPr="007B6DC8" w:rsidRDefault="008C6DE1" w:rsidP="008C6DE1">
      <w:pPr>
        <w:pStyle w:val="a5"/>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Структура МСП по масштабу предприятий, видам экономической деятельности и географии демонстрирует слабое развитие сектора МСП:</w:t>
      </w:r>
    </w:p>
    <w:p w14:paraId="5854B00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95% МСП это микробизнес (практически нет роста количества малых и средних производственных компаний)</w:t>
      </w:r>
      <w:r>
        <w:rPr>
          <w:rFonts w:ascii="Times New Roman" w:eastAsia="Times New Roman" w:hAnsi="Times New Roman" w:cs="Times New Roman"/>
          <w:sz w:val="28"/>
          <w:szCs w:val="28"/>
          <w:lang w:eastAsia="ru-RU"/>
        </w:rPr>
        <w:t>.</w:t>
      </w:r>
    </w:p>
    <w:p w14:paraId="43F14E6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42,7% МСП действуют в сфере торговли (структура МСП по видам экономической деятельности практически не меняется)</w:t>
      </w:r>
      <w:r>
        <w:rPr>
          <w:rFonts w:ascii="Times New Roman" w:eastAsia="Times New Roman" w:hAnsi="Times New Roman" w:cs="Times New Roman"/>
          <w:sz w:val="28"/>
          <w:szCs w:val="28"/>
          <w:lang w:eastAsia="ru-RU"/>
        </w:rPr>
        <w:t>.</w:t>
      </w:r>
    </w:p>
    <w:p w14:paraId="1B590A01" w14:textId="77777777" w:rsidR="008C6DE1"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45% МСП</w:t>
      </w:r>
      <w:r>
        <w:rPr>
          <w:rFonts w:ascii="Times New Roman" w:eastAsia="Times New Roman" w:hAnsi="Times New Roman" w:cs="Times New Roman"/>
          <w:sz w:val="28"/>
          <w:szCs w:val="28"/>
          <w:lang w:eastAsia="ru-RU"/>
        </w:rPr>
        <w:t xml:space="preserve"> сосредоточено в 10 субъектах Российской Федерации.</w:t>
      </w:r>
    </w:p>
    <w:p w14:paraId="41E17A44" w14:textId="77777777" w:rsidR="008C6DE1" w:rsidRPr="007B6DC8" w:rsidRDefault="008C6DE1" w:rsidP="008C6DE1">
      <w:pPr>
        <w:pStyle w:val="a5"/>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По данным ВЦИОМ факторами, ограничивающими развитие сектора МСП в России, российские </w:t>
      </w:r>
      <w:r w:rsidRPr="007B6DC8">
        <w:rPr>
          <w:rFonts w:ascii="Times New Roman" w:eastAsia="Times New Roman" w:hAnsi="Times New Roman" w:cs="Times New Roman"/>
          <w:sz w:val="28"/>
          <w:szCs w:val="28"/>
          <w:lang w:eastAsia="ru-RU"/>
        </w:rPr>
        <w:t>предприниматели н</w:t>
      </w:r>
      <w:r>
        <w:rPr>
          <w:rFonts w:ascii="Times New Roman" w:eastAsia="Times New Roman" w:hAnsi="Times New Roman" w:cs="Times New Roman"/>
          <w:sz w:val="28"/>
          <w:szCs w:val="28"/>
          <w:lang w:eastAsia="ru-RU"/>
        </w:rPr>
        <w:t xml:space="preserve">азывают экономические факторы: помимо </w:t>
      </w:r>
      <w:r w:rsidRPr="007B6DC8">
        <w:rPr>
          <w:rFonts w:ascii="Times New Roman" w:eastAsia="Times New Roman" w:hAnsi="Times New Roman" w:cs="Times New Roman"/>
          <w:sz w:val="28"/>
          <w:szCs w:val="28"/>
          <w:lang w:eastAsia="ru-RU"/>
        </w:rPr>
        <w:t>растущ</w:t>
      </w:r>
      <w:r>
        <w:rPr>
          <w:rFonts w:ascii="Times New Roman" w:eastAsia="Times New Roman" w:hAnsi="Times New Roman" w:cs="Times New Roman"/>
          <w:sz w:val="28"/>
          <w:szCs w:val="28"/>
          <w:lang w:eastAsia="ru-RU"/>
        </w:rPr>
        <w:t>их издержек и снижение спроса, самым проблемным из них выделяется экономическая неопределенность.</w:t>
      </w:r>
    </w:p>
    <w:p w14:paraId="021C5B7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4EED3F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9470A8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DC8">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67BAB7D0" wp14:editId="012A8E91">
            <wp:simplePos x="0" y="0"/>
            <wp:positionH relativeFrom="column">
              <wp:posOffset>553262</wp:posOffset>
            </wp:positionH>
            <wp:positionV relativeFrom="paragraph">
              <wp:posOffset>-334040</wp:posOffset>
            </wp:positionV>
            <wp:extent cx="4676775" cy="3650523"/>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334" t="19099" r="23517" b="9920"/>
                    <a:stretch/>
                  </pic:blipFill>
                  <pic:spPr bwMode="auto">
                    <a:xfrm>
                      <a:off x="0" y="0"/>
                      <a:ext cx="4676775" cy="3650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C567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83E7A4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FE7096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7D61ADE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597B2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ED6EB0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032D2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2E91C0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3E5C62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0EEF50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A3AA58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ECBDF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33FFCED"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8D6EE49"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880265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4C67F9"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93D790D"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Также к о</w:t>
      </w:r>
      <w:r w:rsidRPr="007B6DC8">
        <w:rPr>
          <w:rFonts w:ascii="Times New Roman" w:eastAsia="Times New Roman" w:hAnsi="Times New Roman" w:cs="Times New Roman"/>
          <w:sz w:val="28"/>
          <w:szCs w:val="28"/>
          <w:lang w:eastAsia="ru-RU"/>
        </w:rPr>
        <w:t xml:space="preserve">дной из основных проблем, ограничивающих развитие малого и среднего бизнеса, </w:t>
      </w:r>
      <w:r>
        <w:rPr>
          <w:rFonts w:ascii="Times New Roman" w:eastAsia="Times New Roman" w:hAnsi="Times New Roman" w:cs="Times New Roman"/>
          <w:sz w:val="28"/>
          <w:szCs w:val="28"/>
          <w:lang w:eastAsia="ru-RU"/>
        </w:rPr>
        <w:t xml:space="preserve">справедливо можно отнести </w:t>
      </w:r>
      <w:r w:rsidRPr="007B6DC8">
        <w:rPr>
          <w:rFonts w:ascii="Times New Roman" w:eastAsia="Times New Roman" w:hAnsi="Times New Roman" w:cs="Times New Roman"/>
          <w:sz w:val="28"/>
          <w:szCs w:val="28"/>
          <w:lang w:eastAsia="ru-RU"/>
        </w:rPr>
        <w:t>доступность кредита. По кредитам на срок свыше 1 года ставки стабильно различались на 1,5-2,5 п.п., на срок до 1 года –на 2,5-3,5 п.п.</w:t>
      </w:r>
    </w:p>
    <w:p w14:paraId="0659A70A"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ab/>
        <w:t>Согласно статистике Европейского центрального банка, в еврозоне для кредитов нефинансовым организациям на суммы в пределах 0,25 -1 млн евро (можно предположить, что эти кредиты выдаются малому и среднему бизнесу), на срок от 3 месяцев до 1 года средневзвешенная процентная ставка в феврале 2018 г. составила 1,62% годовых, а для сумм свыше 1 млн евро (вероятно, это кредиты, выдаваемые главным образом кр</w:t>
      </w:r>
      <w:r>
        <w:rPr>
          <w:rFonts w:ascii="Times New Roman" w:eastAsia="Times New Roman" w:hAnsi="Times New Roman" w:cs="Times New Roman"/>
          <w:sz w:val="28"/>
          <w:szCs w:val="28"/>
          <w:lang w:eastAsia="ru-RU"/>
        </w:rPr>
        <w:t xml:space="preserve">упному бизнесу) –1,35% годовых. </w:t>
      </w:r>
      <w:r w:rsidRPr="007B6DC8">
        <w:rPr>
          <w:rFonts w:ascii="Times New Roman" w:eastAsia="Times New Roman" w:hAnsi="Times New Roman" w:cs="Times New Roman"/>
          <w:sz w:val="28"/>
          <w:szCs w:val="28"/>
          <w:lang w:eastAsia="ru-RU"/>
        </w:rPr>
        <w:t xml:space="preserve">Для кредитов на срок от 1 года до 3 лет данные ставки </w:t>
      </w:r>
      <w:r w:rsidRPr="00966E8E">
        <w:rPr>
          <w:rFonts w:ascii="Times New Roman" w:eastAsia="Times New Roman" w:hAnsi="Times New Roman" w:cs="Times New Roman"/>
          <w:sz w:val="28"/>
          <w:szCs w:val="28"/>
          <w:lang w:eastAsia="ru-RU"/>
        </w:rPr>
        <w:t>оказались равны 1,66% годовых и 1, 45% годовых соответственно.</w:t>
      </w:r>
    </w:p>
    <w:p w14:paraId="3869F0C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ab/>
        <w:t xml:space="preserve">Сравнение показывает, что в европейских странах также существуют заметные различия между ставками крупному и малому среднему бизнесу, однако, ввиду более низкого общего уровня процентных ставок, эти различия в значительно меньшей степени сказываются на доступности кредитов. Но главное состоит в том, что европейские предприниматели имеют возможность брать кредиты по ставкам, которые в реальном выражении приближаются к нулевой отметке. </w:t>
      </w:r>
    </w:p>
    <w:p w14:paraId="534669A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966E8E">
        <w:rPr>
          <w:rFonts w:ascii="Times New Roman" w:eastAsia="Times New Roman" w:hAnsi="Times New Roman" w:cs="Times New Roman"/>
          <w:sz w:val="28"/>
          <w:szCs w:val="28"/>
          <w:lang w:eastAsia="ru-RU"/>
        </w:rPr>
        <w:t>Для российских малых и средних предприятий реальная ставка по кредитам сроком свыше 1 года на начало 2018 г. составляла не менее 7%, что при текущих уровнях маржинальности в большинстве видов деятельности резко сужает возможности заимствований.</w:t>
      </w:r>
    </w:p>
    <w:p w14:paraId="4F4F9BA2"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w:t>
      </w:r>
    </w:p>
    <w:p w14:paraId="3C1274A3" w14:textId="77777777" w:rsidR="008C6DE1" w:rsidRPr="00666512" w:rsidRDefault="008C6DE1" w:rsidP="008C6DE1">
      <w:pPr>
        <w:spacing w:after="0" w:line="240" w:lineRule="auto"/>
        <w:jc w:val="both"/>
        <w:rPr>
          <w:rFonts w:ascii="Times New Roman" w:hAnsi="Times New Roman" w:cs="Times New Roman"/>
          <w:noProof/>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8960" behindDoc="1" locked="0" layoutInCell="1" allowOverlap="1" wp14:anchorId="58AC08A5" wp14:editId="5AD49615">
            <wp:simplePos x="0" y="0"/>
            <wp:positionH relativeFrom="column">
              <wp:posOffset>720090</wp:posOffset>
            </wp:positionH>
            <wp:positionV relativeFrom="paragraph">
              <wp:posOffset>54610</wp:posOffset>
            </wp:positionV>
            <wp:extent cx="4762500" cy="240350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655" t="29646" r="22875" b="24173"/>
                    <a:stretch/>
                  </pic:blipFill>
                  <pic:spPr bwMode="auto">
                    <a:xfrm>
                      <a:off x="0" y="0"/>
                      <a:ext cx="4762500" cy="240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16270"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54FA38A1" w14:textId="77777777" w:rsidR="008C6DE1" w:rsidRPr="00514EDA" w:rsidRDefault="008C6DE1" w:rsidP="008C6DE1">
      <w:pPr>
        <w:spacing w:after="0" w:line="240" w:lineRule="auto"/>
        <w:rPr>
          <w:rFonts w:ascii="Times New Roman" w:eastAsia="Times New Roman" w:hAnsi="Times New Roman" w:cs="Times New Roman"/>
          <w:sz w:val="24"/>
          <w:szCs w:val="24"/>
          <w:lang w:eastAsia="ru-RU"/>
        </w:rPr>
      </w:pPr>
    </w:p>
    <w:p w14:paraId="1E5B5F71"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32693B8E"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A1E97B2"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52AE4AB9"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3758AD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4F5C996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2E75AD7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738D0FD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5A581E0"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742F0A" w14:textId="77777777" w:rsidR="008C6DE1"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3D631B"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30FDFCC"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309588C"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Подводя итог, исх</w:t>
      </w:r>
      <w:r>
        <w:rPr>
          <w:rFonts w:ascii="Times New Roman" w:eastAsia="Times New Roman" w:hAnsi="Times New Roman" w:cs="Times New Roman"/>
          <w:sz w:val="28"/>
          <w:szCs w:val="28"/>
          <w:lang w:eastAsia="ru-RU"/>
        </w:rPr>
        <w:t xml:space="preserve">одя из анализа имеющихся данных, </w:t>
      </w:r>
      <w:r w:rsidRPr="00966E8E">
        <w:rPr>
          <w:rFonts w:ascii="Times New Roman" w:eastAsia="Times New Roman" w:hAnsi="Times New Roman" w:cs="Times New Roman"/>
          <w:sz w:val="28"/>
          <w:szCs w:val="28"/>
          <w:lang w:eastAsia="ru-RU"/>
        </w:rPr>
        <w:t>очевидны следующие выводы: 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 конкуренции в экономике.</w:t>
      </w:r>
    </w:p>
    <w:p w14:paraId="6896B89E"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 Например, по показателю численности субъектов МСП на 100 человек населения в Чехии в 4,7 раз больше малых и средних предприятий, чем в России, в Швеции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в 3,4 раза, в Испании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в 2,7 раз, в Польше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 xml:space="preserve">2,1 раз. </w:t>
      </w:r>
    </w:p>
    <w:p w14:paraId="79357A5C"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В секторе МСП России малые предприятия лидируют по обороту и количеству занятых. Оборот на 1 работника у таких предприятий выше, чем у микропредприятий, что может указывать на их большую эффективность/производительность. Несмотря на общую положительную динамику числа МСП в 2018 г. и рост рабочих мест на предприятиях МСП, структура МСП ухудшилась: 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 В свою очередь количество средних компаний снизилось на 346 ед. за год, достигнув 20 078 ед.,а количество малых компаний снизилось на 2 355 ед., достигнув 264 593 ед. Слабо развита структура МСП по масштабу предприятий и видам деяте</w:t>
      </w:r>
      <w:r>
        <w:rPr>
          <w:rFonts w:ascii="Times New Roman" w:eastAsia="Times New Roman" w:hAnsi="Times New Roman" w:cs="Times New Roman"/>
          <w:sz w:val="28"/>
          <w:szCs w:val="28"/>
          <w:lang w:eastAsia="ru-RU"/>
        </w:rPr>
        <w:t xml:space="preserve">льности: 42,7% </w:t>
      </w:r>
      <w:r w:rsidRPr="00966E8E">
        <w:rPr>
          <w:rFonts w:ascii="Times New Roman" w:eastAsia="Times New Roman" w:hAnsi="Times New Roman" w:cs="Times New Roman"/>
          <w:sz w:val="28"/>
          <w:szCs w:val="28"/>
          <w:lang w:eastAsia="ru-RU"/>
        </w:rPr>
        <w:t xml:space="preserve">МСП действуют в сфере торговли (структура МСП по видам экономической деятельности практически не меняется) и 45% МСП сосредоточено в 10 субъектах Российской Федерации. Наибольшее число работников в секторе МСП наблюдается в СЗФО и ЦФО. СКФО – антилидер по числу работников в секторе МСП на 100 человек населения. Между лидером и антилидером огромная разница – почти в 4 раза. Более ¾ предприятий МСП сконцентрировано всего в трех областях: торговле, строительстве и обрабатывающей промышленности. В 2017 г. по данным Росстата торговля заняла 57% от суммарного оборота сектора МСП. Обрабатывающие производства –10,6%. В обрабатывающих производствах по обороту с отрывом лидирует пищевая промышленность – более 1 трлн.руб. На 2-м месте производство готовых металлических изделий с 675 млрд.руб. Среди основных проблем предприниматели называют экономические факторы – растущие издержки и снижение спроса, однако на первом месте –экономическая неопределенность. </w:t>
      </w:r>
    </w:p>
    <w:p w14:paraId="13A40A05" w14:textId="55D4CF65"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 xml:space="preserve">Процентные ставки остаются на </w:t>
      </w:r>
      <w:r w:rsidR="00997239">
        <w:rPr>
          <w:rFonts w:ascii="Times New Roman" w:eastAsia="Times New Roman" w:hAnsi="Times New Roman" w:cs="Times New Roman"/>
          <w:sz w:val="28"/>
          <w:szCs w:val="28"/>
          <w:lang w:eastAsia="ru-RU"/>
        </w:rPr>
        <w:t>высоком</w:t>
      </w:r>
      <w:r w:rsidRPr="00966E8E">
        <w:rPr>
          <w:rFonts w:ascii="Times New Roman" w:eastAsia="Times New Roman" w:hAnsi="Times New Roman" w:cs="Times New Roman"/>
          <w:sz w:val="28"/>
          <w:szCs w:val="28"/>
          <w:lang w:eastAsia="ru-RU"/>
        </w:rPr>
        <w:t xml:space="preserve"> уровне. Для российских малых и средних предприятий реальная ставка по кредитам сроком свыше 1 года на начало 2018 г. составляла не менее 7%. В результате, объем выданных кредитов в 2017 г. даже в номинальном выражении навернулся к значениям 2014 г. и, тем более, 2013 г. Налоговая нагрузка на бизнес остается крайне высокой. Налоговая нагрузка на ФОТ в России в 2,3 раза выше, чем в среднем по миру. Уровень налоговой нагрузки в России не соответствует уровню производительности труда, которая существенно ниже, чем в развитых странах. Нагрузка на малые и средние предприятия выше, чем нагрузка на крупный бизнес. Это не дает сектору МСП развиваться, стимулирует их не к росту</w:t>
      </w:r>
      <w:r w:rsidRPr="00FB2217">
        <w:rPr>
          <w:rFonts w:ascii="Times New Roman" w:eastAsia="Times New Roman" w:hAnsi="Times New Roman" w:cs="Times New Roman"/>
          <w:sz w:val="28"/>
          <w:szCs w:val="28"/>
          <w:lang w:eastAsia="ru-RU"/>
        </w:rPr>
        <w:t xml:space="preserve">, а к дроблению и уходу в теневой сектор. </w:t>
      </w:r>
    </w:p>
    <w:p w14:paraId="17211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Неэффективность системы тарифообразования на услуги естественных монополий распределяется в первую очередь на МСП. Не решена проблема уголовного давления на бизнес. 61,6% респондентов считает, что ситуация с защитой прав и законных интересов предпринимателей в стране в целом за последние два года ухудшилась или не изменилась. Правоохранительным органам не доверяет 51,5% экспертов.</w:t>
      </w:r>
    </w:p>
    <w:p w14:paraId="6BD02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Также не снижается и уровень административной нагрузки. 83,5% респондентов считает, что административная нагрузка на их бизнес за последний год увеличилась или осталась прежней. У 52% предпринимателей было проведено от 1 до 6 проверок, причем у 5,6% более 6 проверок.</w:t>
      </w:r>
    </w:p>
    <w:p w14:paraId="2BC92614"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Одна из самых системных и эффективных программ поддержки МСП Минэкономразвития постоянно сокращается. Если в 2015 году общий объем поддержки на 85 субъектов Р</w:t>
      </w:r>
      <w:r>
        <w:rPr>
          <w:rFonts w:ascii="Times New Roman" w:eastAsia="Times New Roman" w:hAnsi="Times New Roman" w:cs="Times New Roman"/>
          <w:sz w:val="28"/>
          <w:szCs w:val="28"/>
          <w:lang w:eastAsia="ru-RU"/>
        </w:rPr>
        <w:t xml:space="preserve">оссийской </w:t>
      </w:r>
      <w:r w:rsidRPr="00FB2217">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FB2217">
        <w:rPr>
          <w:rFonts w:ascii="Times New Roman" w:eastAsia="Times New Roman" w:hAnsi="Times New Roman" w:cs="Times New Roman"/>
          <w:sz w:val="28"/>
          <w:szCs w:val="28"/>
          <w:lang w:eastAsia="ru-RU"/>
        </w:rPr>
        <w:t xml:space="preserve"> составлял 16,9 млрд руб., то в 2018 году уже 5,02 млрд руб. При этом, из этой программы финансируются важнейшие проекты в большинстве регионов − создание инновационной инфраструктур.</w:t>
      </w:r>
    </w:p>
    <w:p w14:paraId="5EC688AF"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За четырехлетний период реализации своих полномочий в области тарифного регулирования ФАС России с учетом социально-экономической ситуации в стране, руководствуется принципом, предполагающим, что рост тарифов должен быть на уровне (ниже уровня) инфляции. Устанавливая стоимость тарифицируемых услуг на уровне (ниже уровня) инфляции, государство через тарифную политику создает благоприятные условия потребителям и дает возможность для развития бизнеса (в т.ч. малого и среднего).</w:t>
      </w:r>
    </w:p>
    <w:p w14:paraId="01767CFE"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Так, в 2018 году в абсолютном выражении снижены тарифы на Дальнем Востоке.</w:t>
      </w:r>
    </w:p>
    <w:p w14:paraId="39A5C077"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Доведение тарифов до среднероссийского уровня в Дальневосточном Федеральном округе (далее - ДФО) реализовано во исполнение Федерального закона от 28.12.2016 № 508-ФЗ и принятых актов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 постановление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28.07.2017 № 895; - распоряжение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15.11.2017 №o 2527-р на 2018 год; - Распоряжение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15.11.2017 № 2527-р.</w:t>
      </w:r>
    </w:p>
    <w:p w14:paraId="26D564CF" w14:textId="77777777" w:rsidR="008C6DE1" w:rsidRDefault="008C6DE1" w:rsidP="008C6DE1">
      <w:pPr>
        <w:spacing w:after="0" w:line="240" w:lineRule="auto"/>
        <w:ind w:firstLine="709"/>
        <w:jc w:val="both"/>
        <w:rPr>
          <w:rFonts w:ascii="Times New Roman" w:eastAsia="Times New Roman" w:hAnsi="Times New Roman" w:cs="Times New Roman"/>
          <w:b/>
          <w:bCs/>
          <w:sz w:val="28"/>
          <w:szCs w:val="28"/>
          <w:lang w:eastAsia="ru-RU"/>
        </w:rPr>
      </w:pPr>
      <w:r w:rsidRPr="0072563D">
        <w:rPr>
          <w:rFonts w:ascii="Times New Roman" w:eastAsia="Times New Roman" w:hAnsi="Times New Roman" w:cs="Times New Roman"/>
          <w:sz w:val="28"/>
          <w:szCs w:val="28"/>
          <w:lang w:eastAsia="ru-RU"/>
        </w:rPr>
        <w:t xml:space="preserve">На 2018 год в пяти регионах ДФО уровень тарифа доведен до среднероссийского – </w:t>
      </w:r>
      <w:r w:rsidRPr="0072563D">
        <w:rPr>
          <w:rFonts w:ascii="Times New Roman" w:eastAsia="Times New Roman" w:hAnsi="Times New Roman" w:cs="Times New Roman"/>
          <w:b/>
          <w:bCs/>
          <w:sz w:val="28"/>
          <w:szCs w:val="28"/>
          <w:lang w:eastAsia="ru-RU"/>
        </w:rPr>
        <w:t>базовый уровень установлен в размере 4,30 руб./кВтч.</w:t>
      </w:r>
    </w:p>
    <w:p w14:paraId="63891464"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w:t>
      </w:r>
      <w:r>
        <w:rPr>
          <w:rFonts w:ascii="Times New Roman" w:hAnsi="Times New Roman" w:cs="Times New Roman"/>
          <w:sz w:val="28"/>
          <w:szCs w:val="28"/>
        </w:rPr>
        <w:t xml:space="preserve"> части, касающейся создания</w:t>
      </w:r>
      <w:r w:rsidRPr="00865903">
        <w:rPr>
          <w:rFonts w:ascii="Times New Roman" w:hAnsi="Times New Roman" w:cs="Times New Roman"/>
          <w:sz w:val="28"/>
          <w:szCs w:val="28"/>
        </w:rPr>
        <w:t xml:space="preserve"> благоприятного климата для развития малого и среднего предпринимательства на рынке аренды государственного и муниципального имущества</w:t>
      </w:r>
      <w:r>
        <w:rPr>
          <w:rFonts w:ascii="Times New Roman" w:hAnsi="Times New Roman" w:cs="Times New Roman"/>
          <w:sz w:val="28"/>
          <w:szCs w:val="28"/>
        </w:rPr>
        <w:t xml:space="preserve"> необходимо отметить, что частью 9 статьи 17</w:t>
      </w:r>
      <w:r>
        <w:rPr>
          <w:rFonts w:ascii="Times New Roman" w:hAnsi="Times New Roman" w:cs="Times New Roman"/>
          <w:sz w:val="28"/>
          <w:szCs w:val="28"/>
          <w:vertAlign w:val="superscript"/>
        </w:rPr>
        <w:t>1</w:t>
      </w:r>
      <w:r>
        <w:rPr>
          <w:rFonts w:ascii="Times New Roman" w:hAnsi="Times New Roman" w:cs="Times New Roman"/>
          <w:sz w:val="28"/>
          <w:szCs w:val="28"/>
        </w:rPr>
        <w:t xml:space="preserve"> Закона о защите конкуренции </w:t>
      </w:r>
      <w:r w:rsidRPr="000E6D3C">
        <w:rPr>
          <w:rFonts w:ascii="Times New Roman" w:hAnsi="Times New Roman" w:cs="Times New Roman"/>
          <w:sz w:val="28"/>
          <w:szCs w:val="28"/>
        </w:rPr>
        <w:t>предусмотрена возможность перезаключения добросовестным арендатором договора аренды государственного (муниципального) имущества на новый срок без проведения торгов.</w:t>
      </w:r>
    </w:p>
    <w:p w14:paraId="3E42846D" w14:textId="2873624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27.12.2018 был принят Федеральный закон № 572-ФЗ «О </w:t>
      </w:r>
      <w:r>
        <w:rPr>
          <w:rFonts w:ascii="Times New Roman" w:hAnsi="Times New Roman" w:cs="Times New Roman"/>
          <w:sz w:val="28"/>
          <w:szCs w:val="28"/>
        </w:rPr>
        <w:t>внесении изменений в статью 17</w:t>
      </w:r>
      <w:r w:rsidR="00EB2CAE">
        <w:rPr>
          <w:rFonts w:ascii="Times New Roman" w:hAnsi="Times New Roman" w:cs="Times New Roman"/>
          <w:sz w:val="28"/>
          <w:szCs w:val="28"/>
        </w:rPr>
        <w:t>.1</w:t>
      </w:r>
      <w:r w:rsidRPr="000E6D3C">
        <w:rPr>
          <w:rFonts w:ascii="Times New Roman" w:hAnsi="Times New Roman" w:cs="Times New Roman"/>
          <w:sz w:val="28"/>
          <w:szCs w:val="28"/>
        </w:rPr>
        <w:t xml:space="preserve"> </w:t>
      </w:r>
      <w:r w:rsidR="00EB2CAE">
        <w:rPr>
          <w:rFonts w:ascii="Times New Roman" w:hAnsi="Times New Roman" w:cs="Times New Roman"/>
          <w:sz w:val="28"/>
          <w:szCs w:val="28"/>
        </w:rPr>
        <w:t>Закона о защите конкуренции</w:t>
      </w:r>
      <w:r w:rsidRPr="000E6D3C">
        <w:rPr>
          <w:rFonts w:ascii="Times New Roman" w:hAnsi="Times New Roman" w:cs="Times New Roman"/>
          <w:sz w:val="28"/>
          <w:szCs w:val="28"/>
        </w:rPr>
        <w:t xml:space="preserve">, реализовавший идею ФАС России по установлению возможности заключения на новый срок с добросовестными арендаторами договоров аренды, заключенных как по результатам торгов, так и без их проведения в соответствии с законодательством Российской Федерации, действующим </w:t>
      </w:r>
      <w:r>
        <w:rPr>
          <w:rFonts w:ascii="Times New Roman" w:hAnsi="Times New Roman" w:cs="Times New Roman"/>
          <w:sz w:val="28"/>
          <w:szCs w:val="28"/>
        </w:rPr>
        <w:t>до вступления в силу статьи 17</w:t>
      </w:r>
      <w:r w:rsidR="009E212A">
        <w:rPr>
          <w:rFonts w:ascii="Times New Roman" w:hAnsi="Times New Roman" w:cs="Times New Roman"/>
          <w:sz w:val="28"/>
          <w:szCs w:val="28"/>
        </w:rPr>
        <w:t>.1</w:t>
      </w:r>
      <w:r w:rsidR="009E212A">
        <w:rPr>
          <w:rFonts w:ascii="Times New Roman" w:hAnsi="Times New Roman" w:cs="Times New Roman"/>
          <w:sz w:val="28"/>
          <w:szCs w:val="28"/>
          <w:vertAlign w:val="superscript"/>
        </w:rPr>
        <w:t xml:space="preserve"> </w:t>
      </w:r>
      <w:r w:rsidRPr="000E6D3C">
        <w:rPr>
          <w:rFonts w:ascii="Times New Roman" w:hAnsi="Times New Roman" w:cs="Times New Roman"/>
          <w:sz w:val="28"/>
          <w:szCs w:val="28"/>
        </w:rPr>
        <w:t>Закона о защите конкуренции.</w:t>
      </w:r>
    </w:p>
    <w:p w14:paraId="18DF2709"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По мнению ФАС России, внесенные поправки в Закон о защите конкуренции обеспечат надлежащую поддержку, рост и развитие субъектов малого и среднего предпринимательства, что в долгосрочной перспективе окажет положительное влияние на развитие конкуренции на рынках, </w:t>
      </w:r>
      <w:r w:rsidRPr="000E6D3C">
        <w:rPr>
          <w:rFonts w:ascii="Times New Roman" w:hAnsi="Times New Roman" w:cs="Times New Roman"/>
          <w:sz w:val="28"/>
          <w:szCs w:val="28"/>
        </w:rPr>
        <w:br/>
        <w:t>где функционируют такие субъекты бизнеса.</w:t>
      </w:r>
    </w:p>
    <w:p w14:paraId="43E94B27" w14:textId="77777777" w:rsidR="008C6DE1" w:rsidRPr="000E6D3C" w:rsidRDefault="008C6DE1" w:rsidP="008C6DE1">
      <w:pPr>
        <w:autoSpaceDE w:val="0"/>
        <w:autoSpaceDN w:val="0"/>
        <w:adjustRightInd w:val="0"/>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Частью 4 статьи 18 Федерального закона от 24.07.2007 № 209-ФЗ «О развитии малого и среднего предпринимательства в Российской Федерации» предусмотрена государственная поддержка в виде предоставления государственного имущества и муниципального имущества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также указанное имущество может быть отчуждено на возмездной основе в собственность субъектов малого и среднего предпринимательства в соответствии с Федеральным законом от 22.07.2008 </w:t>
      </w:r>
      <w:r>
        <w:rPr>
          <w:rFonts w:ascii="Times New Roman" w:hAnsi="Times New Roman" w:cs="Times New Roman"/>
          <w:sz w:val="28"/>
          <w:szCs w:val="28"/>
        </w:rPr>
        <w:t xml:space="preserve">  </w:t>
      </w:r>
      <w:r w:rsidRPr="000E6D3C">
        <w:rPr>
          <w:rFonts w:ascii="Times New Roman" w:hAnsi="Times New Roman" w:cs="Times New Roman"/>
          <w:sz w:val="28"/>
          <w:szCs w:val="28"/>
        </w:rPr>
        <w:t xml:space="preserve">№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w:t>
      </w:r>
      <w:hyperlink r:id="rId18" w:history="1">
        <w:r w:rsidRPr="000E6D3C">
          <w:rPr>
            <w:rFonts w:ascii="Times New Roman" w:hAnsi="Times New Roman" w:cs="Times New Roman"/>
            <w:sz w:val="28"/>
            <w:szCs w:val="28"/>
          </w:rPr>
          <w:t>8</w:t>
        </w:r>
      </w:hyperlink>
      <w:r w:rsidRPr="000E6D3C">
        <w:rPr>
          <w:rFonts w:ascii="Times New Roman" w:hAnsi="Times New Roman" w:cs="Times New Roman"/>
          <w:sz w:val="28"/>
          <w:szCs w:val="28"/>
        </w:rPr>
        <w:t xml:space="preserve"> и 9 пункта 2 статьи 39.3 Земельного кодекса Российской Федерации.</w:t>
      </w:r>
    </w:p>
    <w:p w14:paraId="67F4EA90"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 целью решения вопросов снижения конкурен</w:t>
      </w:r>
      <w:r>
        <w:rPr>
          <w:rFonts w:ascii="Times New Roman" w:hAnsi="Times New Roman" w:cs="Times New Roman"/>
          <w:sz w:val="28"/>
          <w:szCs w:val="28"/>
        </w:rPr>
        <w:t xml:space="preserve">тного неравенства между малыми и крупными формами хозяйствования принят Федеральный </w:t>
      </w:r>
      <w:r w:rsidRPr="000E6D3C">
        <w:rPr>
          <w:rFonts w:ascii="Times New Roman" w:hAnsi="Times New Roman" w:cs="Times New Roman"/>
          <w:sz w:val="28"/>
          <w:szCs w:val="28"/>
        </w:rPr>
        <w:t>закон от 03.07.2018 № 185-ФЗ «О внесении изменений в о</w:t>
      </w:r>
      <w:r>
        <w:rPr>
          <w:rFonts w:ascii="Times New Roman" w:hAnsi="Times New Roman" w:cs="Times New Roman"/>
          <w:sz w:val="28"/>
          <w:szCs w:val="28"/>
        </w:rPr>
        <w:t>тдельные законодательные акты Российской</w:t>
      </w:r>
      <w:r w:rsidRPr="000E6D3C">
        <w:rPr>
          <w:rFonts w:ascii="Times New Roman" w:hAnsi="Times New Roman" w:cs="Times New Roman"/>
          <w:sz w:val="28"/>
          <w:szCs w:val="28"/>
        </w:rPr>
        <w:t xml:space="preserve"> Ф</w:t>
      </w:r>
      <w:r>
        <w:rPr>
          <w:rFonts w:ascii="Times New Roman" w:hAnsi="Times New Roman" w:cs="Times New Roman"/>
          <w:sz w:val="28"/>
          <w:szCs w:val="28"/>
        </w:rPr>
        <w:t xml:space="preserve">едерации в целях </w:t>
      </w:r>
      <w:r w:rsidRPr="000E6D3C">
        <w:rPr>
          <w:rFonts w:ascii="Times New Roman" w:hAnsi="Times New Roman" w:cs="Times New Roman"/>
          <w:sz w:val="28"/>
          <w:szCs w:val="28"/>
        </w:rPr>
        <w:t>расширения имущественной поддержки субъектов малого и среднего предпринимательства», предусм</w:t>
      </w:r>
      <w:r>
        <w:rPr>
          <w:rFonts w:ascii="Times New Roman" w:hAnsi="Times New Roman" w:cs="Times New Roman"/>
          <w:sz w:val="28"/>
          <w:szCs w:val="28"/>
        </w:rPr>
        <w:t xml:space="preserve">атривающий специализированные </w:t>
      </w:r>
      <w:r w:rsidRPr="000E6D3C">
        <w:rPr>
          <w:rFonts w:ascii="Times New Roman" w:hAnsi="Times New Roman" w:cs="Times New Roman"/>
          <w:sz w:val="28"/>
          <w:szCs w:val="28"/>
        </w:rPr>
        <w:t xml:space="preserve">аукционы на право аренды земельных участков   исключительно среди субъектов малого и среднего предпринимательства. </w:t>
      </w:r>
    </w:p>
    <w:p w14:paraId="39D77685"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положениями законодательства об обороте </w:t>
      </w:r>
      <w:r w:rsidRPr="000E6D3C">
        <w:rPr>
          <w:rFonts w:ascii="Times New Roman" w:hAnsi="Times New Roman" w:cs="Times New Roman"/>
          <w:sz w:val="28"/>
          <w:szCs w:val="28"/>
        </w:rPr>
        <w:t>земель сельскохозяйственного назначения земельные участ</w:t>
      </w:r>
      <w:r>
        <w:rPr>
          <w:rFonts w:ascii="Times New Roman" w:hAnsi="Times New Roman" w:cs="Times New Roman"/>
          <w:sz w:val="28"/>
          <w:szCs w:val="28"/>
        </w:rPr>
        <w:t xml:space="preserve">ки предоставляются в   аренду </w:t>
      </w:r>
      <w:r w:rsidRPr="000E6D3C">
        <w:rPr>
          <w:rFonts w:ascii="Times New Roman" w:hAnsi="Times New Roman" w:cs="Times New Roman"/>
          <w:sz w:val="28"/>
          <w:szCs w:val="28"/>
        </w:rPr>
        <w:t>на срок до пяти лет крестьянским (фермерским) хозяйствам и сельскохозяйственным организациям, участвующим в программах государственной поддержки в сфере развития сельского хозяйства без проведения торгов.</w:t>
      </w:r>
    </w:p>
    <w:p w14:paraId="19EAAEDA"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Нормы законодательства об обороте земель сельскохозяйственного назначения ставят хозяйствующих субъектов в неравное положение в зависимости от участия в госпрограммах в сфере сельского хозяйства, что приводит к возможности неоднократного получения земельных участков без торгов при предъявлении соответствующего документа.</w:t>
      </w:r>
    </w:p>
    <w:p w14:paraId="5B428F33" w14:textId="77777777" w:rsidR="008C6DE1"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Во исполнение абзаца 3 пункта 2 поручения Президента Российской Федерации В.В. Путина от 14.10.2016 № Пр-1971, а также в соответствии с частью первой подпункта «а» пункта 1 поручения Президента Российской Федерации В.В. Путина от 03.03.2018 № Пр-529 Федеральная антимонопольная служба подготовила проект доклада Президенту Российской Федерации, в рамках которого предложила установить возможность применения данной меры поддержки только однократно и только в отношении крестьянских (фермерских) хозяйств. При этом сельскохозяйственные организации, по мнению ФАС России, должны приобретать земельные участки в аренду для соответствующих целей на открытых торгах. </w:t>
      </w:r>
    </w:p>
    <w:p w14:paraId="237C8599" w14:textId="77777777" w:rsidR="008C6DE1" w:rsidRPr="006B1532"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Также </w:t>
      </w:r>
      <w:r w:rsidRPr="00D603E1">
        <w:rPr>
          <w:rFonts w:ascii="Times New Roman" w:eastAsia="Times New Roman" w:hAnsi="Times New Roman" w:cs="Times New Roman"/>
          <w:sz w:val="28"/>
          <w:szCs w:val="28"/>
          <w:lang w:eastAsia="ru-RU"/>
        </w:rPr>
        <w:t>ФАС России считает необходимым при реализации Национального проекта в сфере развития МСП учитывать цели и задачи по развитию конкуренции, определенные Указом № 618, и осуществлять предусмотренные мероприятия в условиях конкуренции.</w:t>
      </w:r>
    </w:p>
    <w:p w14:paraId="7B1E11E6" w14:textId="77777777"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 для поддержки и развития сектора МСП в российской экономике утвержден </w:t>
      </w:r>
      <w:r w:rsidRPr="002D6EE9">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w:t>
      </w:r>
      <w:r>
        <w:rPr>
          <w:rFonts w:ascii="Times New Roman" w:hAnsi="Times New Roman" w:cs="Times New Roman"/>
          <w:sz w:val="28"/>
          <w:szCs w:val="28"/>
        </w:rPr>
        <w:t>от</w:t>
      </w:r>
      <w:r w:rsidRPr="002D6EE9">
        <w:rPr>
          <w:rFonts w:ascii="Times New Roman" w:hAnsi="Times New Roman" w:cs="Times New Roman"/>
          <w:sz w:val="28"/>
          <w:szCs w:val="28"/>
        </w:rPr>
        <w:t xml:space="preserve"> 24 декабря 2018 года.</w:t>
      </w:r>
    </w:p>
    <w:p w14:paraId="4BA1A428"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2D6EE9">
        <w:rPr>
          <w:rFonts w:ascii="Times New Roman" w:eastAsia="Times New Roman" w:hAnsi="Times New Roman" w:cs="Times New Roman"/>
          <w:sz w:val="28"/>
          <w:szCs w:val="28"/>
          <w:lang w:eastAsia="ru-RU"/>
        </w:rPr>
        <w:t xml:space="preserve">Национальным проектом предусмотрено следующие целевые показатели и задачи: </w:t>
      </w:r>
      <w:r>
        <w:rPr>
          <w:rFonts w:ascii="Times New Roman" w:eastAsia="Times New Roman" w:hAnsi="Times New Roman" w:cs="Times New Roman"/>
          <w:sz w:val="28"/>
          <w:szCs w:val="28"/>
          <w:lang w:eastAsia="ru-RU"/>
        </w:rPr>
        <w:t>у</w:t>
      </w:r>
      <w:r w:rsidRPr="002D6EE9">
        <w:rPr>
          <w:rFonts w:ascii="Times New Roman" w:eastAsia="Times New Roman" w:hAnsi="Times New Roman" w:cs="Times New Roman"/>
          <w:sz w:val="28"/>
          <w:szCs w:val="28"/>
          <w:lang w:eastAsia="ru-RU"/>
        </w:rPr>
        <w:t>величение численности занятых в сфере малого и среднего предпринимательства, включая индивидуальных предпринимателей до 25 м</w:t>
      </w:r>
      <w:r>
        <w:rPr>
          <w:rFonts w:ascii="Times New Roman" w:eastAsia="Times New Roman" w:hAnsi="Times New Roman" w:cs="Times New Roman"/>
          <w:sz w:val="28"/>
          <w:szCs w:val="28"/>
          <w:lang w:eastAsia="ru-RU"/>
        </w:rPr>
        <w:t>лн чел. к концу 2024 г.; у</w:t>
      </w:r>
      <w:r w:rsidRPr="002D6EE9">
        <w:rPr>
          <w:rFonts w:ascii="Times New Roman" w:eastAsia="Times New Roman" w:hAnsi="Times New Roman" w:cs="Times New Roman"/>
          <w:sz w:val="28"/>
          <w:szCs w:val="28"/>
          <w:lang w:eastAsia="ru-RU"/>
        </w:rPr>
        <w:t>величение доли малого и среднего предпринимательства в ВВП до 32,5% к концу 2024 г.</w:t>
      </w:r>
      <w:r>
        <w:rPr>
          <w:rFonts w:ascii="Times New Roman" w:eastAsia="Times New Roman" w:hAnsi="Times New Roman" w:cs="Times New Roman"/>
          <w:sz w:val="28"/>
          <w:szCs w:val="28"/>
          <w:lang w:eastAsia="ru-RU"/>
        </w:rPr>
        <w:t>; у</w:t>
      </w:r>
      <w:r w:rsidRPr="002D6EE9">
        <w:rPr>
          <w:rFonts w:ascii="Times New Roman" w:eastAsia="Times New Roman" w:hAnsi="Times New Roman" w:cs="Times New Roman"/>
          <w:sz w:val="28"/>
          <w:szCs w:val="28"/>
          <w:lang w:eastAsia="ru-RU"/>
        </w:rPr>
        <w:t>величение доли экспорта субъектов малого и среднего предпринимательства, включая индивидуальных предпринимателей, в общем объеме несырьевого экспорта до 10 % к концу 2024 г.</w:t>
      </w:r>
    </w:p>
    <w:p w14:paraId="13237943"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 xml:space="preserve">Структура </w:t>
      </w:r>
      <w:r>
        <w:rPr>
          <w:rFonts w:ascii="Times New Roman" w:eastAsia="Times New Roman" w:hAnsi="Times New Roman" w:cs="Times New Roman"/>
          <w:sz w:val="28"/>
          <w:szCs w:val="28"/>
          <w:lang w:eastAsia="ru-RU"/>
        </w:rPr>
        <w:t>Н</w:t>
      </w:r>
      <w:r w:rsidRPr="007B614D">
        <w:rPr>
          <w:rFonts w:ascii="Times New Roman" w:eastAsia="Times New Roman" w:hAnsi="Times New Roman" w:cs="Times New Roman"/>
          <w:sz w:val="28"/>
          <w:szCs w:val="28"/>
          <w:lang w:eastAsia="ru-RU"/>
        </w:rPr>
        <w:t>ационального проекта включает 5 федеральных проектов:</w:t>
      </w:r>
    </w:p>
    <w:p w14:paraId="52EFB3F0"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Улучшение условий ведения предпринимательской деятельности;</w:t>
      </w:r>
    </w:p>
    <w:p w14:paraId="50D6EBA8"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Расширение доступа субъектов МСП к финансовым ресурсам, в том числе к льготному финансированию;</w:t>
      </w:r>
    </w:p>
    <w:p w14:paraId="601B7454"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Акселерация субъектов малого и среднего предпринимательства;</w:t>
      </w:r>
    </w:p>
    <w:p w14:paraId="184AB4BA"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Создание системы поддержки фермеров и развитие сельской кооперации;</w:t>
      </w:r>
    </w:p>
    <w:p w14:paraId="050400DE" w14:textId="77777777"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Популяризация предпринимательства.</w:t>
      </w:r>
    </w:p>
    <w:p w14:paraId="05A1E818" w14:textId="77777777" w:rsidR="008C6DE1" w:rsidRPr="00D603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D603E1">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должен развиваться в сочетании механизмов развития конкуренции, что будет способствовать развитию экономики, так как задачи национальных проектов перекликаются с з</w:t>
      </w:r>
      <w:r>
        <w:rPr>
          <w:rFonts w:ascii="Times New Roman" w:hAnsi="Times New Roman" w:cs="Times New Roman"/>
          <w:sz w:val="28"/>
          <w:szCs w:val="28"/>
        </w:rPr>
        <w:t xml:space="preserve">адачами по развитию конкуренции, установленные Указом № 618 </w:t>
      </w:r>
      <w:r w:rsidRPr="00D603E1">
        <w:rPr>
          <w:rFonts w:ascii="Times New Roman" w:hAnsi="Times New Roman" w:cs="Times New Roman"/>
          <w:sz w:val="28"/>
          <w:szCs w:val="28"/>
        </w:rPr>
        <w:t>- это, прежде всего, повышение качества жизни граждан и развитие экономики.</w:t>
      </w:r>
    </w:p>
    <w:p w14:paraId="2A554621" w14:textId="77777777" w:rsidR="00B91730" w:rsidRDefault="00B91730" w:rsidP="00883C8E">
      <w:pPr>
        <w:spacing w:after="0" w:line="360" w:lineRule="auto"/>
        <w:jc w:val="both"/>
        <w:rPr>
          <w:rFonts w:ascii="Times New Roman" w:hAnsi="Times New Roman" w:cs="Times New Roman"/>
        </w:rPr>
      </w:pPr>
    </w:p>
    <w:p w14:paraId="24703B1A" w14:textId="77777777" w:rsidR="00883C8E" w:rsidRDefault="00883C8E" w:rsidP="00DA3F05">
      <w:pPr>
        <w:pStyle w:val="3"/>
      </w:pPr>
      <w:bookmarkStart w:id="27" w:name="_Toc7447932"/>
      <w:r w:rsidRPr="00542D4B">
        <w:t>Формирование экономических условий и тарифное регулирование</w:t>
      </w:r>
      <w:bookmarkEnd w:id="27"/>
      <w:r w:rsidRPr="00542D4B">
        <w:t xml:space="preserve"> </w:t>
      </w:r>
      <w:bookmarkStart w:id="28" w:name="_Toc6834316"/>
      <w:bookmarkStart w:id="29" w:name="_Toc6834603"/>
      <w:bookmarkStart w:id="30" w:name="_Toc6834806"/>
      <w:bookmarkEnd w:id="28"/>
      <w:bookmarkEnd w:id="29"/>
      <w:bookmarkEnd w:id="30"/>
    </w:p>
    <w:p w14:paraId="0098297E" w14:textId="77777777" w:rsidR="00682EB2" w:rsidRDefault="00682EB2" w:rsidP="00682EB2">
      <w:pPr>
        <w:spacing w:after="0" w:line="240" w:lineRule="auto"/>
        <w:jc w:val="both"/>
        <w:rPr>
          <w:rFonts w:ascii="Times New Roman" w:hAnsi="Times New Roman" w:cs="Times New Roman"/>
          <w:sz w:val="28"/>
          <w:szCs w:val="28"/>
        </w:rPr>
      </w:pPr>
    </w:p>
    <w:p w14:paraId="687C8077" w14:textId="0CCDA19D"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Государственное регулирование цен (тарифов) осуществляется в важнейших инфраструктурных отраслях экономики: в электроэнергетике, теплоснабжении, водоснабжении, газоснабжени</w:t>
      </w:r>
      <w:r w:rsidR="008C6DE1">
        <w:rPr>
          <w:rFonts w:ascii="Times New Roman" w:eastAsia="Times New Roman" w:hAnsi="Times New Roman" w:cs="Times New Roman"/>
          <w:sz w:val="28"/>
          <w:szCs w:val="28"/>
          <w:lang w:eastAsia="ru-RU"/>
        </w:rPr>
        <w:t xml:space="preserve">и, железнодорожных перевозках и </w:t>
      </w:r>
      <w:r w:rsidRPr="005256AE">
        <w:rPr>
          <w:rFonts w:ascii="Times New Roman" w:eastAsia="Times New Roman" w:hAnsi="Times New Roman" w:cs="Times New Roman"/>
          <w:sz w:val="28"/>
          <w:szCs w:val="28"/>
          <w:lang w:eastAsia="ru-RU"/>
        </w:rPr>
        <w:t>т.д. Таким образом, тарифное регулирование оказывает значительное влияние на общее состояние экономики Российской Федерации.   </w:t>
      </w:r>
    </w:p>
    <w:p w14:paraId="0B595031" w14:textId="7C47D4E3"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настоящее время ценовое регулирование осуществляется в соответствии с Федеральными законами «Об электроэнергетике», «О теплоснабжении», «О водоснабжении и водоотведении», «О газоснабжении», «Об отходах производства и потребления», «О естественных монополиях» и иными федеральными законами, и более чем 100 подзаконными актами, приняты</w:t>
      </w:r>
      <w:r w:rsidR="009E212A">
        <w:rPr>
          <w:rFonts w:ascii="Times New Roman" w:eastAsia="Times New Roman" w:hAnsi="Times New Roman" w:cs="Times New Roman"/>
          <w:sz w:val="28"/>
          <w:szCs w:val="28"/>
          <w:lang w:eastAsia="ru-RU"/>
        </w:rPr>
        <w:t>ми</w:t>
      </w:r>
      <w:r w:rsidRPr="005256AE">
        <w:rPr>
          <w:rFonts w:ascii="Times New Roman" w:eastAsia="Times New Roman" w:hAnsi="Times New Roman" w:cs="Times New Roman"/>
          <w:sz w:val="28"/>
          <w:szCs w:val="28"/>
          <w:lang w:eastAsia="ru-RU"/>
        </w:rPr>
        <w:t xml:space="preserve"> во исполнение данных законов на уровне актов Правительства Российской Федерации и ведомственных нормативных правовых актов.</w:t>
      </w:r>
    </w:p>
    <w:p w14:paraId="7C662982"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Указанные нормативные правовые акты содержат различные цели, принципы, подходы и методы государственного регулирования цен (тарифов), а также исполнены на низком уровне юридической техник, содержат многочисленные правовые коллизии и неопределенности.</w:t>
      </w:r>
    </w:p>
    <w:p w14:paraId="76536BE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Таким образом, единого системообразующего нормативного правового акта, регулирующего отношения в сфере государственного регулирования цен (тарифов) в современных условиях, не существует. </w:t>
      </w:r>
    </w:p>
    <w:p w14:paraId="795EF9D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Следствием этого являются многочисленные нарушения, допускаемые региональными органами исполнительной власти в области государственного регулирования цен (тарифов). </w:t>
      </w:r>
    </w:p>
    <w:p w14:paraId="4BA3C296" w14:textId="29739F6C"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реализации возложенных на нее полномочий</w:t>
      </w:r>
      <w:r w:rsidR="00047E45" w:rsidRPr="005256AE">
        <w:rPr>
          <w:rFonts w:ascii="Times New Roman" w:eastAsia="Times New Roman" w:hAnsi="Times New Roman" w:cs="Times New Roman"/>
          <w:sz w:val="28"/>
          <w:szCs w:val="28"/>
          <w:lang w:eastAsia="ru-RU"/>
        </w:rPr>
        <w:t xml:space="preserve"> Федеральной антимонопольной службой только за 2018 год выявлено более 1000 нарушений</w:t>
      </w:r>
      <w:r>
        <w:rPr>
          <w:rFonts w:ascii="Times New Roman" w:eastAsia="Times New Roman" w:hAnsi="Times New Roman" w:cs="Times New Roman"/>
          <w:sz w:val="28"/>
          <w:szCs w:val="28"/>
          <w:lang w:eastAsia="ru-RU"/>
        </w:rPr>
        <w:t>,</w:t>
      </w:r>
      <w:r w:rsidR="00047E45" w:rsidRPr="005256AE">
        <w:rPr>
          <w:rFonts w:ascii="Times New Roman" w:eastAsia="Times New Roman" w:hAnsi="Times New Roman" w:cs="Times New Roman"/>
          <w:sz w:val="28"/>
          <w:szCs w:val="28"/>
          <w:lang w:eastAsia="ru-RU"/>
        </w:rPr>
        <w:t xml:space="preserve"> допущенных региональными органами исполнительной власти в области государственного регулирования цен (тарифов). Из состава регулируемых цен (тарифов) исключены затраты на сумму более 16,5 млрд. рублей.</w:t>
      </w:r>
    </w:p>
    <w:p w14:paraId="646CDCB7"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Таким образом, правоприменительная практика последних лет показывает, что обеспечить качественное правовое регулирование сферы государственного регулирования цен (тарифов) и регламентировать разнообразные сложные процессы в сфере государственного регулирования цен (тарифов) с помощью фрагментарного правового регулирования, посвященного только отдельным вопросам, практически невозможно.</w:t>
      </w:r>
    </w:p>
    <w:p w14:paraId="3F5C4BB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Правовое регулирование цен (тарифов) характеризуется отсутствием единого понятийного аппарата, разностью подходов регулирования по одному и тому же вопросу, нечеткостью прав и обязанностей участников соответствующих правовых отношений.</w:t>
      </w:r>
    </w:p>
    <w:p w14:paraId="52D1B99E"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этой связи ФАС России была предложена инициатива разработки системообразующего Федерального закона, регулирующего отношения в сфере государственного регулирования цен (тарифов), на основании норм которого будет осуществляться дальнейшее развитие системы государственного регулирования указанных отношений с учетом отраслевой специфики.</w:t>
      </w:r>
    </w:p>
    <w:p w14:paraId="52CAD23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Следует отметить, что указанное предложение ФАС России поддержано высшим руководством Российской Федерации, что закреплено в указании Президента Российской Федерации от 24.04.2017 № Пр-818, Указе Президента РФ от 21 декабря 2017 г. № 618 «Об основных направлениях государственной политики по развитию конкуренции» и Поручени</w:t>
      </w:r>
      <w:r>
        <w:rPr>
          <w:rFonts w:ascii="Times New Roman" w:eastAsia="Times New Roman" w:hAnsi="Times New Roman" w:cs="Times New Roman"/>
          <w:sz w:val="28"/>
          <w:szCs w:val="28"/>
          <w:lang w:eastAsia="ru-RU"/>
        </w:rPr>
        <w:t>и</w:t>
      </w:r>
      <w:r w:rsidRPr="005256AE">
        <w:rPr>
          <w:rFonts w:ascii="Times New Roman" w:eastAsia="Times New Roman" w:hAnsi="Times New Roman" w:cs="Times New Roman"/>
          <w:sz w:val="28"/>
          <w:szCs w:val="28"/>
          <w:lang w:eastAsia="ru-RU"/>
        </w:rPr>
        <w:t xml:space="preserve"> Председателя Правительства Российской Федерации от 26.01.2018 № ДМ-П13-367.</w:t>
      </w:r>
    </w:p>
    <w:p w14:paraId="49EE7BF0"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Законопроект внесен в Правительство </w:t>
      </w:r>
      <w:r>
        <w:rPr>
          <w:rFonts w:ascii="Times New Roman" w:eastAsia="Times New Roman" w:hAnsi="Times New Roman" w:cs="Times New Roman"/>
          <w:sz w:val="28"/>
          <w:szCs w:val="28"/>
          <w:lang w:eastAsia="ru-RU"/>
        </w:rPr>
        <w:t xml:space="preserve">Российской Федерации </w:t>
      </w:r>
      <w:r w:rsidRPr="005256AE">
        <w:rPr>
          <w:rFonts w:ascii="Times New Roman" w:eastAsia="Times New Roman" w:hAnsi="Times New Roman" w:cs="Times New Roman"/>
          <w:sz w:val="28"/>
          <w:szCs w:val="28"/>
          <w:lang w:eastAsia="ru-RU"/>
        </w:rPr>
        <w:t>и в настоящий момент дорабатывается с учетом мнения заинтересованных федеральных органов исполнительной власти, общественных организаций и предпринимательского сообщества.</w:t>
      </w:r>
    </w:p>
    <w:p w14:paraId="5D1593BB"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Основными положениями законопроекта являются закрепление:</w:t>
      </w:r>
    </w:p>
    <w:p w14:paraId="1FD15C3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метода сравнительного анализа (эталонных расходов (затрат) в качестве основного метода государственного регулирования цен (тарифов);</w:t>
      </w:r>
    </w:p>
    <w:p w14:paraId="3DCB069D" w14:textId="4870FC60"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долгосрочности тарифного регулирования, выраженно</w:t>
      </w:r>
      <w:r w:rsidR="009E212A">
        <w:rPr>
          <w:rFonts w:ascii="Times New Roman" w:eastAsia="Times New Roman" w:hAnsi="Times New Roman" w:cs="Times New Roman"/>
          <w:sz w:val="28"/>
          <w:szCs w:val="28"/>
          <w:lang w:eastAsia="ru-RU"/>
        </w:rPr>
        <w:t>го</w:t>
      </w:r>
      <w:r w:rsidRPr="005256AE">
        <w:rPr>
          <w:rFonts w:ascii="Times New Roman" w:eastAsia="Times New Roman" w:hAnsi="Times New Roman" w:cs="Times New Roman"/>
          <w:sz w:val="28"/>
          <w:szCs w:val="28"/>
          <w:lang w:eastAsia="ru-RU"/>
        </w:rPr>
        <w:t xml:space="preserve"> в установлении цен (тарифов) на срок не менее 5 лет;</w:t>
      </w:r>
    </w:p>
    <w:p w14:paraId="30C9991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новых, единых подходов к формированию необходимой валовой выручки регулируемых субъектов, которая будет состоять из трех основных элементов: операционные расходы - инвестиционные расходы - прибыль;</w:t>
      </w:r>
    </w:p>
    <w:p w14:paraId="4101E775" w14:textId="7FBC6828"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сохранения экономии, доходности инвестиций и расчетной предпринимательской прибыли в случае достижения регулируемыми субъектами показателей эффективности деятельности (оптимизации затрат, повышения энергетической эффективности, повышен</w:t>
      </w:r>
      <w:r w:rsidR="003A14F3">
        <w:rPr>
          <w:rFonts w:ascii="Times New Roman" w:eastAsia="Times New Roman" w:hAnsi="Times New Roman" w:cs="Times New Roman"/>
          <w:sz w:val="28"/>
          <w:szCs w:val="28"/>
          <w:lang w:eastAsia="ru-RU"/>
        </w:rPr>
        <w:t xml:space="preserve">ия качества оказываемых услуг и </w:t>
      </w:r>
      <w:r w:rsidRPr="005256AE">
        <w:rPr>
          <w:rFonts w:ascii="Times New Roman" w:eastAsia="Times New Roman" w:hAnsi="Times New Roman" w:cs="Times New Roman"/>
          <w:sz w:val="28"/>
          <w:szCs w:val="28"/>
          <w:lang w:eastAsia="ru-RU"/>
        </w:rPr>
        <w:t>т.д);  </w:t>
      </w:r>
    </w:p>
    <w:p w14:paraId="01195BE2"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прав потребителей на участие в процессе принятия тарифных решений, утверждения инвестиционных программ, реализуемых посредством участия в советах потребителей;</w:t>
      </w:r>
    </w:p>
    <w:p w14:paraId="44E6A18D"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автоматизации и цифровизация процедуры принятия решений об установлении регулируемых цен (тарифов) и контроля (надзора) в сфере государственного регулирования цен (тарифов);</w:t>
      </w:r>
    </w:p>
    <w:p w14:paraId="5ED07DC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единого порядка утверждения регулируемых цен (тарифов);</w:t>
      </w:r>
    </w:p>
    <w:p w14:paraId="7F75511E" w14:textId="3A1F1D84"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единой</w:t>
      </w:r>
      <w:r w:rsidR="00047E45" w:rsidRPr="005256AE">
        <w:rPr>
          <w:rFonts w:ascii="Times New Roman" w:eastAsia="Times New Roman" w:hAnsi="Times New Roman" w:cs="Times New Roman"/>
          <w:sz w:val="28"/>
          <w:szCs w:val="28"/>
          <w:lang w:eastAsia="ru-RU"/>
        </w:rPr>
        <w:t xml:space="preserve"> процедур</w:t>
      </w:r>
      <w:r>
        <w:rPr>
          <w:rFonts w:ascii="Times New Roman" w:eastAsia="Times New Roman" w:hAnsi="Times New Roman" w:cs="Times New Roman"/>
          <w:sz w:val="28"/>
          <w:szCs w:val="28"/>
          <w:lang w:eastAsia="ru-RU"/>
        </w:rPr>
        <w:t>ы</w:t>
      </w:r>
      <w:r w:rsidR="00047E45" w:rsidRPr="005256AE">
        <w:rPr>
          <w:rFonts w:ascii="Times New Roman" w:eastAsia="Times New Roman" w:hAnsi="Times New Roman" w:cs="Times New Roman"/>
          <w:sz w:val="28"/>
          <w:szCs w:val="28"/>
          <w:lang w:eastAsia="ru-RU"/>
        </w:rPr>
        <w:t xml:space="preserve"> контроля (надзора) в сфере государственного регулирования цен (тарифов), выявления и пресечения нарушений законодательства посредством рассмотрения дел о нарушении законодательства в области государственного регулирования цен (тарифов).</w:t>
      </w:r>
    </w:p>
    <w:p w14:paraId="52B5DD57" w14:textId="56BC25FF"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совокупности указанные положения, распространенные на все сферы регулируемой деятельности</w:t>
      </w:r>
      <w:r w:rsidR="009E212A">
        <w:rPr>
          <w:rFonts w:ascii="Times New Roman" w:eastAsia="Times New Roman" w:hAnsi="Times New Roman" w:cs="Times New Roman"/>
          <w:sz w:val="28"/>
          <w:szCs w:val="28"/>
          <w:lang w:eastAsia="ru-RU"/>
        </w:rPr>
        <w:t>,</w:t>
      </w:r>
      <w:r w:rsidRPr="005256AE">
        <w:rPr>
          <w:rFonts w:ascii="Times New Roman" w:eastAsia="Times New Roman" w:hAnsi="Times New Roman" w:cs="Times New Roman"/>
          <w:sz w:val="28"/>
          <w:szCs w:val="28"/>
          <w:lang w:eastAsia="ru-RU"/>
        </w:rPr>
        <w:t xml:space="preserve"> позволят усовершенствовать модель государственного регулирования, создать стимулы регулируемым субъектам повышать эффективность деятельности и оптимизировать затраты, сделать тарифное регулирование прозрачным и понятным, как для потребителей, так и для регулируемых субъектов и органов регулирования.</w:t>
      </w:r>
    </w:p>
    <w:p w14:paraId="25F92CBF" w14:textId="2E048C42"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что не менее важно, </w:t>
      </w:r>
      <w:r w:rsidR="00047E45" w:rsidRPr="005256AE">
        <w:rPr>
          <w:rFonts w:ascii="Times New Roman" w:eastAsia="Times New Roman" w:hAnsi="Times New Roman" w:cs="Times New Roman"/>
          <w:sz w:val="28"/>
          <w:szCs w:val="28"/>
          <w:lang w:eastAsia="ru-RU"/>
        </w:rPr>
        <w:t xml:space="preserve">проектируемые правила регулирования, путем устранения неопределенностей законодательства в области государственного регулирования цен (тарифов) позволят отказаться от действующего регулирования в «ручном режиме», сократить значение «субъективного усмотрения» при принятии тарифных решений. </w:t>
      </w:r>
    </w:p>
    <w:p w14:paraId="6336629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Указанное позволи</w:t>
      </w:r>
      <w:r>
        <w:rPr>
          <w:rFonts w:ascii="Times New Roman" w:eastAsia="Times New Roman" w:hAnsi="Times New Roman" w:cs="Times New Roman"/>
          <w:sz w:val="28"/>
          <w:szCs w:val="28"/>
          <w:lang w:eastAsia="ru-RU"/>
        </w:rPr>
        <w:t>т снизить количество контрольно-</w:t>
      </w:r>
      <w:r w:rsidRPr="005256AE">
        <w:rPr>
          <w:rFonts w:ascii="Times New Roman" w:eastAsia="Times New Roman" w:hAnsi="Times New Roman" w:cs="Times New Roman"/>
          <w:sz w:val="28"/>
          <w:szCs w:val="28"/>
          <w:lang w:eastAsia="ru-RU"/>
        </w:rPr>
        <w:t>надзорных мероприятий, снизить регуляторную нагрузку на бизнес и повысить инвестиционную привлекательность регулируемых сфер.</w:t>
      </w:r>
    </w:p>
    <w:p w14:paraId="387043F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Согласно </w:t>
      </w:r>
      <w:r w:rsidRPr="00047E45">
        <w:rPr>
          <w:rFonts w:ascii="Times New Roman" w:hAnsi="Times New Roman" w:cs="Times New Roman"/>
          <w:sz w:val="28"/>
          <w:szCs w:val="28"/>
        </w:rPr>
        <w:t>Указу Президента Российской Федерации № 618</w:t>
      </w:r>
      <w:r w:rsidRPr="005256AE">
        <w:rPr>
          <w:rFonts w:ascii="Times New Roman" w:hAnsi="Times New Roman" w:cs="Times New Roman"/>
          <w:color w:val="FF0000"/>
          <w:sz w:val="28"/>
          <w:szCs w:val="28"/>
        </w:rPr>
        <w:t xml:space="preserve"> </w:t>
      </w:r>
      <w:r w:rsidRPr="005256AE">
        <w:rPr>
          <w:rFonts w:ascii="Times New Roman" w:hAnsi="Times New Roman" w:cs="Times New Roman"/>
          <w:sz w:val="28"/>
          <w:szCs w:val="28"/>
        </w:rPr>
        <w:t>в качестве основополагающих принципов государственной политики по развитию конкуренции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w:t>
      </w:r>
    </w:p>
    <w:p w14:paraId="45EB6AA3"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Также в </w:t>
      </w:r>
      <w:r w:rsidRPr="00047E45">
        <w:rPr>
          <w:rFonts w:ascii="Times New Roman" w:hAnsi="Times New Roman" w:cs="Times New Roman"/>
          <w:sz w:val="28"/>
          <w:szCs w:val="28"/>
        </w:rPr>
        <w:t xml:space="preserve">Национальном плане по развитию конкуренции </w:t>
      </w:r>
      <w:r w:rsidRPr="005256AE">
        <w:rPr>
          <w:rFonts w:ascii="Times New Roman" w:hAnsi="Times New Roman" w:cs="Times New Roman"/>
          <w:sz w:val="28"/>
          <w:szCs w:val="28"/>
        </w:rPr>
        <w:t>дано поручение Правительству Российской Федерации обеспечить до 1 января 2019 г. внесение в установленном порядке в Государственную Думу Федерального Собрания Российской Федерации проектов федеральных законов, предусматривающих, в том числе определение основ государственного регулирования цен (тарифов) с использованием в качестве приоритетного метода сопоставимых рынков и долгосрочного (не менее пяти лет) периода регулирования.</w:t>
      </w:r>
    </w:p>
    <w:p w14:paraId="7366D33E" w14:textId="7F859C96"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осуществляется на федеральном и региональном уровнях в зависимости от сферы деятельности. ФАС России осуществляет установление цен на услуги по транспортировке нефти, газа, железнодорожные перевозки дальнего следования, передаче электроэнергии и др. Региональные органы исполнительной власти устанавливают тарифы на услуги ЖКХ, в том числе водоснабжение, водоотведение, теплоснабжение, услуги пригородного железнодорожного транспорта. При этом</w:t>
      </w:r>
      <w:r w:rsidR="009E212A">
        <w:rPr>
          <w:rFonts w:ascii="Times New Roman" w:hAnsi="Times New Roman" w:cs="Times New Roman"/>
          <w:sz w:val="28"/>
          <w:szCs w:val="28"/>
        </w:rPr>
        <w:t>,</w:t>
      </w:r>
      <w:r w:rsidRPr="005256AE">
        <w:rPr>
          <w:rFonts w:ascii="Times New Roman" w:hAnsi="Times New Roman" w:cs="Times New Roman"/>
          <w:sz w:val="28"/>
          <w:szCs w:val="28"/>
        </w:rPr>
        <w:t xml:space="preserve"> на федеральном уровне устанавливаются предельные значения индексов изменения тарифов в целом на услуги ЖКХ в среднем по региону, тем самым ограничивая рост стоимости услуг ЖКХ для населения.</w:t>
      </w:r>
      <w:r w:rsidRPr="005256AE">
        <w:rPr>
          <w:vertAlign w:val="superscript"/>
        </w:rPr>
        <w:footnoteReference w:id="17"/>
      </w:r>
    </w:p>
    <w:p w14:paraId="4AC2DE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было отмечено в Докладе о состоянии конкуренции за 2017 год</w:t>
      </w:r>
      <w:r>
        <w:rPr>
          <w:rFonts w:ascii="Times New Roman" w:hAnsi="Times New Roman" w:cs="Times New Roman"/>
          <w:sz w:val="28"/>
          <w:szCs w:val="28"/>
        </w:rPr>
        <w:t>,</w:t>
      </w:r>
      <w:r w:rsidRPr="005256AE">
        <w:rPr>
          <w:rFonts w:ascii="Times New Roman" w:hAnsi="Times New Roman" w:cs="Times New Roman"/>
          <w:sz w:val="28"/>
          <w:szCs w:val="28"/>
        </w:rPr>
        <w:t xml:space="preserve"> неэффективное тарифное регулирование представляет серьезную угрозу для конкуренции и развития экономики страны в целом, так как приводит к дополнительной нагрузке на потребителей, неизменному росту тарифов субъектов естественных монополий, одновременно с невыполнением программ инвестирования и модернизации в развитие необходимой инфраструктуры, банкротству регулируемых организаций, тариф которых установлен на уровне ниже экономически обоснованного.</w:t>
      </w:r>
    </w:p>
    <w:p w14:paraId="30D2002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До апреля 2018 года в России действовало 10 различных порядков рассмотрения тарифных споров и разногласий, определенных 5 актами Правительства Российской Федерации, что приводило к неопределенности и фрагментарности правового регулирования, наличию пробелов, отсутствию системности, единства и унифицированных принципов законодательства в сфере государственного регулирования тарифов. </w:t>
      </w:r>
    </w:p>
    <w:p w14:paraId="035C743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Для решения указанных проблем ФАС России принимает меры по унификации законодательства в сфере тарифного регулирования, так в 2018 году приняты Федеральный закон от 12.11.2018 № 415-ФЗ «О внесении изменений в статью 333.33 части второй Налогового кодекса Российской Федерации», постановление Правительства Российской Федерации от 30.04.2018 № 533 «Об утверждении правил рассмотрения (урегулирования) споров и разногласий, связанных с установлением и (или) применением цен (тарифов), о внесении изменений в постановление Правительства Российской Федерации от 9 января 2009 г. № 14 и признании утратившими силу некоторых актов Правительства Российской Федерации», приказ ФАС России от 19.06.2018 № 827/18 «Об утверждении регламента деятельности Федеральной антимонопольной службы по рассмотрению (урегулированию) споров и разногласий, связанных с установлением и (или) применением цен (тарифов), форм заявлений и решения о рассмотрении указанных споров», а также разработан проект федерального закона «Об основах государственного регулирования цен (тарифов)» (далее – Законопроект). Законопроект, согласованный с Минэкономразвития России, внесен в Правительство Российской Федерации.</w:t>
      </w:r>
    </w:p>
    <w:p w14:paraId="0CE25318" w14:textId="43D513D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Законопроект определяет правовые, экономические и организационные основы государственного регулирования цен (тарифов), а также полномочия органов государственной власти, органов местного самоуправления по регулированию и контролю в сфере государственного регулирования цен (тарифов), основные права и обязанности потребителей регулируемых услуг и регулируемых субъектов. Также </w:t>
      </w:r>
      <w:r w:rsidR="009E212A">
        <w:rPr>
          <w:rFonts w:ascii="Times New Roman" w:hAnsi="Times New Roman" w:cs="Times New Roman"/>
          <w:sz w:val="28"/>
          <w:szCs w:val="28"/>
        </w:rPr>
        <w:t xml:space="preserve">законопроект </w:t>
      </w:r>
      <w:r w:rsidRPr="005256AE">
        <w:rPr>
          <w:rFonts w:ascii="Times New Roman" w:hAnsi="Times New Roman" w:cs="Times New Roman"/>
          <w:sz w:val="28"/>
          <w:szCs w:val="28"/>
        </w:rPr>
        <w:t>закрепляет цели государственного регулирования цен (тарифов), к числу которых будут отнесены:</w:t>
      </w:r>
    </w:p>
    <w:p w14:paraId="619A8AA5" w14:textId="6065ED00"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защита интересов потребителей товаров (работ, услуг) регулируемых субъектов; </w:t>
      </w:r>
    </w:p>
    <w:p w14:paraId="00C5CE5C" w14:textId="4141FC0E"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доступности товаров (работ, услуг) регулируемых субъектов для потребителей; </w:t>
      </w:r>
    </w:p>
    <w:p w14:paraId="3F8A60E9" w14:textId="1B6F83DF"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достижение оптимального сочетания экономических интересов потребителей и регулируемых субъектов;</w:t>
      </w:r>
    </w:p>
    <w:p w14:paraId="2403CFB1" w14:textId="77777777" w:rsidR="009E212A"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устойчивого развития экономики на основе долгосрочного регулирования цен (тарифов) и роста благосостояния населения; </w:t>
      </w:r>
    </w:p>
    <w:p w14:paraId="3AB49B0B" w14:textId="55DE5B5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условий для развития конкуренции; </w:t>
      </w:r>
    </w:p>
    <w:p w14:paraId="3DACD67A" w14:textId="730E7AB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экономических стимулов, обеспечивающих использование ресурсосберегающих технологий в производственных процессах; </w:t>
      </w:r>
    </w:p>
    <w:p w14:paraId="2AACEC39" w14:textId="0D878B9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создание инвестиционной привлекательности отрасли для обеспечения устойчивого функционирования и развития инфраструктуры.</w:t>
      </w:r>
    </w:p>
    <w:p w14:paraId="46EF21B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Законопроект определяет ключевые понятия, используемые в сфере государственного регулирования цен (тарифов), к числу которых относятся цена (тариф), необходимая валовая выручка, регулируемый субъект, регулируемая деятельность, регулирующие органы и др, а также устанавливает структуру взаимодействия федерального органа исполнительной власти в области государственного регулирования цен (тарифов) с региональными органами регулирования цен (тарифов).</w:t>
      </w:r>
    </w:p>
    <w:p w14:paraId="5EEE6A7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Указанный проект закладывает новые основы тарифообразования, фундаментом которых станет метод формирования цен (тарифов) через сравнительный анализ затрат или эталонный метод. В других случаях, когда невозможно применить эталон, будет использована модель некоего отклонения от него. Сравнительный анализ при формировании тарифов позволит сделать прозрачнее сектор ЖКХ, причем в первую очередь для потребителей, и сохранить инвестиционную привлекательность сферы. </w:t>
      </w:r>
    </w:p>
    <w:p w14:paraId="7B77150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Расчеты ФАС России показали, что в 2/3 регионов тарифы завышены. Их снижение не предполагается, но разницу между текущим тарифом и эталоном регулятор предлагает направлять на инвестиции в той компании, где выявлены отклонения. </w:t>
      </w:r>
    </w:p>
    <w:p w14:paraId="226F4195" w14:textId="4E63EF2D" w:rsidR="00047E45" w:rsidRPr="005256AE" w:rsidRDefault="00047E45" w:rsidP="00EC6D0D">
      <w:pPr>
        <w:spacing w:after="0" w:line="240" w:lineRule="auto"/>
        <w:ind w:firstLine="709"/>
        <w:jc w:val="both"/>
        <w:rPr>
          <w:rFonts w:ascii="Times New Roman" w:hAnsi="Times New Roman" w:cs="Times New Roman"/>
          <w:sz w:val="28"/>
          <w:szCs w:val="28"/>
        </w:rPr>
      </w:pPr>
      <w:r w:rsidRPr="00047E45">
        <w:rPr>
          <w:rFonts w:ascii="Times New Roman" w:hAnsi="Times New Roman" w:cs="Times New Roman"/>
          <w:sz w:val="28"/>
          <w:szCs w:val="28"/>
        </w:rPr>
        <w:t xml:space="preserve">Также для решения задач, поставленных в Указе Президента Российской Федерации № 618, </w:t>
      </w:r>
      <w:r w:rsidRPr="005256AE">
        <w:rPr>
          <w:rFonts w:ascii="Times New Roman" w:hAnsi="Times New Roman" w:cs="Times New Roman"/>
          <w:sz w:val="28"/>
          <w:szCs w:val="28"/>
        </w:rPr>
        <w:t xml:space="preserve">ФАС </w:t>
      </w:r>
      <w:r w:rsidR="009E212A">
        <w:rPr>
          <w:rFonts w:ascii="Times New Roman" w:hAnsi="Times New Roman" w:cs="Times New Roman"/>
          <w:sz w:val="28"/>
          <w:szCs w:val="28"/>
        </w:rPr>
        <w:t xml:space="preserve">России </w:t>
      </w:r>
      <w:r w:rsidRPr="005256AE">
        <w:rPr>
          <w:rFonts w:ascii="Times New Roman" w:hAnsi="Times New Roman" w:cs="Times New Roman"/>
          <w:sz w:val="28"/>
          <w:szCs w:val="28"/>
        </w:rPr>
        <w:t>разрабатывает программное обеспечение, которое будет проводить автоматический анализ ошибок региональных органов при установлении тарифов.</w:t>
      </w:r>
    </w:p>
    <w:p w14:paraId="2133AAE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Президент Российской Федерации по итогам проведения Комиссии по вопросам стратегии развития топливно-энергетического комплекса и экологической безопасности определил принципы совершенствования тарифной политики: введение «эталонного» принципа формирования тарифов, их установление на долгосрочный период (5-10 лет), переход на регуляторные соглашения и ограничение возможностей региональных регуляторов принимать решения об установлении тарифов выше предельных уровней без согласования ФАС России.</w:t>
      </w:r>
    </w:p>
    <w:p w14:paraId="5630151E" w14:textId="3E6B8B22"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Внедрение эталонов - это подход, который способствует справедливому и прозр</w:t>
      </w:r>
      <w:r w:rsidR="00F77B22">
        <w:rPr>
          <w:rFonts w:ascii="Times New Roman" w:hAnsi="Times New Roman" w:cs="Times New Roman"/>
          <w:sz w:val="28"/>
          <w:szCs w:val="28"/>
        </w:rPr>
        <w:t xml:space="preserve">ачному регулированию, а также </w:t>
      </w:r>
      <w:r w:rsidRPr="005256AE">
        <w:rPr>
          <w:rFonts w:ascii="Times New Roman" w:hAnsi="Times New Roman" w:cs="Times New Roman"/>
          <w:sz w:val="28"/>
          <w:szCs w:val="28"/>
        </w:rPr>
        <w:t>повышению эффективности и снижению коррупционной составляющей, в том числе устранения и причины её возникновения.</w:t>
      </w:r>
    </w:p>
    <w:p w14:paraId="0DA6F86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2019 году уже подготовлена база для внедрения эталонов в электросетевом комплексе. С 2020 года планируется запуск пилотных проектов, с 2021 года – внедрение во всех регионах страны.</w:t>
      </w:r>
    </w:p>
    <w:p w14:paraId="5993DBA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Еще одним необходимым принципом является долгосрочность. Антимонопольная служба считает, что тарифы должны устанавливаться на срок от 5 до 10 лет по принципу инфляция минус 0,1%.</w:t>
      </w:r>
    </w:p>
    <w:p w14:paraId="185EB93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Для успешного применения долгосрочного регулирования необходимо сформировать тарифную базу, которая будет содержать в себе только экономически обоснованные расходы на основе эталонных затрат.</w:t>
      </w:r>
    </w:p>
    <w:p w14:paraId="04F520A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Долгосрочность сопряжена с регуляторными соглашениями. Механизм их функционирования заключается в следующем: если регуляторное соглашение не заключено, то тарифы организации должны определяться через эталоны затрат. Однако если такой контракт заключен, то стороны берут на себя обязательства: компании – обязательства по развитию и осуществлению инвестиций, а региональные власти – установление долгосрочного тарифа.</w:t>
      </w:r>
    </w:p>
    <w:p w14:paraId="4AF2185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полагает, что принятие в 2019 году Законопроекта будет способствовать повышени</w:t>
      </w:r>
      <w:r>
        <w:rPr>
          <w:rFonts w:ascii="Times New Roman" w:hAnsi="Times New Roman" w:cs="Times New Roman"/>
          <w:sz w:val="28"/>
          <w:szCs w:val="28"/>
        </w:rPr>
        <w:t>ю</w:t>
      </w:r>
      <w:r w:rsidRPr="005256AE">
        <w:rPr>
          <w:rFonts w:ascii="Times New Roman" w:hAnsi="Times New Roman" w:cs="Times New Roman"/>
          <w:sz w:val="28"/>
          <w:szCs w:val="28"/>
        </w:rPr>
        <w:t xml:space="preserve"> эффективности монополий, снижению издержек экономики и стимулированию конкуренции.</w:t>
      </w:r>
    </w:p>
    <w:p w14:paraId="449D40A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тарифного регулирования в отдельных сферах, то </w:t>
      </w:r>
      <w:r w:rsidRPr="004C21F5">
        <w:rPr>
          <w:rFonts w:ascii="Times New Roman" w:hAnsi="Times New Roman" w:cs="Times New Roman"/>
          <w:sz w:val="28"/>
          <w:szCs w:val="28"/>
        </w:rPr>
        <w:t>в сфере электроэнергетики в</w:t>
      </w:r>
      <w:r w:rsidRPr="005256AE">
        <w:rPr>
          <w:rFonts w:ascii="Times New Roman" w:hAnsi="Times New Roman" w:cs="Times New Roman"/>
          <w:sz w:val="28"/>
          <w:szCs w:val="28"/>
        </w:rPr>
        <w:t xml:space="preserve"> 2018 году было проведено 51 заседание Правления ФАС России (6 заочных и 45 очных).</w:t>
      </w:r>
      <w:r>
        <w:rPr>
          <w:rFonts w:ascii="Times New Roman" w:hAnsi="Times New Roman" w:cs="Times New Roman"/>
          <w:sz w:val="28"/>
          <w:szCs w:val="28"/>
        </w:rPr>
        <w:t xml:space="preserve"> </w:t>
      </w:r>
      <w:r w:rsidRPr="005256AE">
        <w:rPr>
          <w:rFonts w:ascii="Times New Roman" w:hAnsi="Times New Roman" w:cs="Times New Roman"/>
          <w:sz w:val="28"/>
          <w:szCs w:val="28"/>
        </w:rPr>
        <w:t>Принято 12 943 тарифных решений, оформленные 46 приказами ФАС России.</w:t>
      </w:r>
    </w:p>
    <w:p w14:paraId="5FC678E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пределах возложенных полномочий ФАС России также проводит контроль за принятыми на 2018 год тарифными решениями органами исполнительной власти ряда субъектов Российской Федерации в области государственного регулирования цен (тарифов) (далее – органы регулирования) на электрическую энергию.</w:t>
      </w:r>
    </w:p>
    <w:p w14:paraId="5C19D44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результатам данных мероприятий в действиях органов регулирования Федеральной антимонопольной службой выявлены следующие нарушения действующего законодательства в сфере государственного регулирования цен (тарифов):</w:t>
      </w:r>
    </w:p>
    <w:p w14:paraId="65F223E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установление тарифов на электрическую энергию выше и (или) ниже предельных уровней тарифов, утвержденных ФАС России (в отсутствие процедуры согласования);</w:t>
      </w:r>
    </w:p>
    <w:p w14:paraId="15591D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превышение величины установленных индивидуальных тарифов в первом полугодии 2018 года над величиной соответствующих тарифов во втором полугодии 2017 года;</w:t>
      </w:r>
    </w:p>
    <w:p w14:paraId="16C9DE4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придание обратной силы тарифным решениям;</w:t>
      </w:r>
    </w:p>
    <w:p w14:paraId="595FEAF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неустановление в срок единых (котловых) тарифов на услуги по передаче электрической энергии на 2018 год.</w:t>
      </w:r>
    </w:p>
    <w:p w14:paraId="4FC58B33"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результате отменены тарифные решения по 31 субъекту Российской Федерации.</w:t>
      </w:r>
    </w:p>
    <w:p w14:paraId="687A0754" w14:textId="61544AA8"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2018 года внедрен принцип эталонных затрат при расчете сбытовой надбавки гарантирующих поставщиков. Правительством Российской Федерации принято постановление от 21.07.2017 № 863 «О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 1178». ФАС России утверждена методика по расчету сбытовых надбавок гарантирующих поставщиков с использованием метода сравнения аналогов (</w:t>
      </w:r>
      <w:r w:rsidR="00AF491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21.11.2017 № 1554/17 «Об утверждении методических указаний по расчету сбытовых надбавок гарантирующих поставщиков с использованием метода сравнения аналогов»).</w:t>
      </w:r>
    </w:p>
    <w:p w14:paraId="2C781F9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Результатом применения принципа эталонных затрат при расчете сбытовой надбавки гарантирующих поставщиков явилось:</w:t>
      </w:r>
    </w:p>
    <w:p w14:paraId="1761E52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унификация подхода к расчету и как итог прозрачность регулирования;</w:t>
      </w:r>
    </w:p>
    <w:p w14:paraId="21A049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устранение возможности тарифного органа субъективно влиять на формирование сбытовой надбавки;</w:t>
      </w:r>
    </w:p>
    <w:p w14:paraId="1D2CDE8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сокращение разброса в дифференциации уровня сбытовой надбавки по субъектам Российской Федерации почти в 2 раза.</w:t>
      </w:r>
    </w:p>
    <w:p w14:paraId="5D614F9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w:t>
      </w:r>
      <w:r>
        <w:rPr>
          <w:rFonts w:ascii="Times New Roman" w:hAnsi="Times New Roman" w:cs="Times New Roman"/>
          <w:sz w:val="28"/>
          <w:szCs w:val="28"/>
        </w:rPr>
        <w:t xml:space="preserve"> задача метода эталонных затрат состоит в</w:t>
      </w:r>
      <w:r w:rsidRPr="005256AE">
        <w:rPr>
          <w:rFonts w:ascii="Times New Roman" w:hAnsi="Times New Roman" w:cs="Times New Roman"/>
          <w:sz w:val="28"/>
          <w:szCs w:val="28"/>
        </w:rPr>
        <w:t xml:space="preserve"> стимулировани</w:t>
      </w:r>
      <w:r>
        <w:rPr>
          <w:rFonts w:ascii="Times New Roman" w:hAnsi="Times New Roman" w:cs="Times New Roman"/>
          <w:sz w:val="28"/>
          <w:szCs w:val="28"/>
        </w:rPr>
        <w:t>и</w:t>
      </w:r>
      <w:r w:rsidRPr="005256AE">
        <w:rPr>
          <w:rFonts w:ascii="Times New Roman" w:hAnsi="Times New Roman" w:cs="Times New Roman"/>
          <w:sz w:val="28"/>
          <w:szCs w:val="28"/>
        </w:rPr>
        <w:t xml:space="preserve"> энергосбытовых компаний к повышению эффективности деятельности и сокращени</w:t>
      </w:r>
      <w:r>
        <w:rPr>
          <w:rFonts w:ascii="Times New Roman" w:hAnsi="Times New Roman" w:cs="Times New Roman"/>
          <w:sz w:val="28"/>
          <w:szCs w:val="28"/>
        </w:rPr>
        <w:t>и</w:t>
      </w:r>
      <w:r w:rsidRPr="005256AE">
        <w:rPr>
          <w:rFonts w:ascii="Times New Roman" w:hAnsi="Times New Roman" w:cs="Times New Roman"/>
          <w:sz w:val="28"/>
          <w:szCs w:val="28"/>
        </w:rPr>
        <w:t xml:space="preserve"> разброса в дифференциации уровня сбытовых надбавок</w:t>
      </w:r>
    </w:p>
    <w:p w14:paraId="7936FAF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Предусмотрен постепенный переход на метод эталонных затрат (переходный период составляет 3 года).</w:t>
      </w:r>
    </w:p>
    <w:p w14:paraId="4D46CEE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итогам внедрения эталонов в 2018 году:</w:t>
      </w:r>
    </w:p>
    <w:p w14:paraId="307BCFBB" w14:textId="1EC7FA6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дифференциация уровня сбытовых надбавок по субъектам Р</w:t>
      </w:r>
      <w:r w:rsidR="00C85E55">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C85E55">
        <w:rPr>
          <w:rFonts w:ascii="Times New Roman" w:hAnsi="Times New Roman" w:cs="Times New Roman"/>
          <w:sz w:val="28"/>
          <w:szCs w:val="28"/>
        </w:rPr>
        <w:t>едерации</w:t>
      </w:r>
      <w:r w:rsidRPr="005256AE">
        <w:rPr>
          <w:rFonts w:ascii="Times New Roman" w:hAnsi="Times New Roman" w:cs="Times New Roman"/>
          <w:sz w:val="28"/>
          <w:szCs w:val="28"/>
        </w:rPr>
        <w:t xml:space="preserve"> сократилась;</w:t>
      </w:r>
    </w:p>
    <w:p w14:paraId="18DCF6A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заметное снижение уровня сбытовых надбавок гарантирующих поставщиков для представителей малого и среднего бизнеса с июля 2018 года зафиксировано по ряду регионов до 1/3 (в Республике Карелия, Архангельской области, Алтайском крае, Республике Тыва, Томской, Новгородской, Мурманской и Ярославской областях, Республике Хакасия, Ростовской области, Карачаево-Черкесской Республике, Республике Ингушетия);</w:t>
      </w:r>
    </w:p>
    <w:p w14:paraId="6FF0181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ярким примером явилось существенное снижение цен на электрическую энергию для предпринимателей Курганской области в июле 2018 года по сравнению с июнем 2018 года на 44 коп. за 1 кВт-ч. (в конечной цене для прочих потребителей эффект снижения составил около 9 %). Такой эффект был обусловлен именно снижением величины сбытовых надбавок гарантирующего поставщика.</w:t>
      </w:r>
    </w:p>
    <w:p w14:paraId="68D95B5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 по итогам внедрения принципа эталонных затрат уровень сбытовых надбавок гарантирующих поставщиков в среднем по всем категориям потребителей и субъектам Российской Федерации изменился с 1 июля 2018 года на 1 коп. за 1 кВт-ч и составил 21 коп. за 1 кВт-ч.</w:t>
      </w:r>
    </w:p>
    <w:p w14:paraId="7591CD9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ФАС России разработан и находится на стадии обсуждения с ФОИВами и участниками рынка проект методики по определению эталонов затрат в сетях. Принятие методики планируется уже в 2019 году.</w:t>
      </w:r>
    </w:p>
    <w:p w14:paraId="758890B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Приоритетным направлением в долгосрочном тарифном регулировании является внедрения принципа «эталоны в сетях». ФАС России осуществляется подготовка к переходу на эталонное регулирование сетевого комплекса путем выделения тарифного регулирования операционных затрат (OPEX) через внедрение эталонов на федеральном уровне и тарифного регулирования капитальных затрат (CAPEX) на уровне субъектов Российской Федерации.</w:t>
      </w:r>
    </w:p>
    <w:p w14:paraId="13249054" w14:textId="51AA49C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целях урегулирования проблемных вопросов тарифного регулирования децентрализованных источников генерации на основе внедрения возобновляемых источников энергии утвержден </w:t>
      </w:r>
      <w:r w:rsidR="00C85E5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15.03.2018 № 317/18 «О внесении изменений в Методические указания по установлению цен (тарифов) и (или) предельных (минимальных и (или) максимальных) уровней цен (тарифов)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 утвержденные приказом ФАС России от 30.09.2015 № 900/15».</w:t>
      </w:r>
    </w:p>
    <w:p w14:paraId="7CC1A3E1" w14:textId="357D7729"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Также ФАС России в 2018 году подготовлен и внесен в установленном порядке в Правительство Р</w:t>
      </w:r>
      <w:r w:rsidR="00037E74">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037E74">
        <w:rPr>
          <w:rFonts w:ascii="Times New Roman" w:hAnsi="Times New Roman" w:cs="Times New Roman"/>
          <w:sz w:val="28"/>
          <w:szCs w:val="28"/>
        </w:rPr>
        <w:t>едерации</w:t>
      </w:r>
      <w:r w:rsidRPr="005256AE">
        <w:rPr>
          <w:rFonts w:ascii="Times New Roman" w:hAnsi="Times New Roman" w:cs="Times New Roman"/>
          <w:sz w:val="28"/>
          <w:szCs w:val="28"/>
        </w:rPr>
        <w:t xml:space="preserve"> комплексный тарифный пакет изменений в законодательство, принятие которых позволит совершенствовать процедуры в сфере тарифного регулирования электроэнергетической отрасли и повысить эффективность осуществления контрольных функций в данной области:</w:t>
      </w:r>
    </w:p>
    <w:p w14:paraId="2BB8E5E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Федерального закона «О внесении изменений в статью 23.1 Федерального закона «Об электроэнергетике» внесен в Правительство Российской Федерации внесен письмом от ИА/78286-ПР/17, направленный на сдерживание роста региональных тарифов исключение права регулирующего органа субъекта РФ превышать установленные предельные уровни тарифов на передачу электроэнергии без согласования с ФАС России. 04.02.2019 одобрен на заседании Комиссии по законопроектной деятельности;</w:t>
      </w:r>
    </w:p>
    <w:p w14:paraId="6F57950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постановления Правительства Российской Федерации «О внесении изменений в некоторые акты Правительства Российской Федерации» письмом от 28.03.2018 № ИА/21405-ПР/18 внесен и письмом ВК/53160-ПР/18 направлен доработанный проект о снижении тарифов для сетевых компаний и фиксирование размеров перекрестного субсидирования, направленный уточнения механизма определения экономии подконтрольных расходов и направленный на корректировку предельных величин Перекрестного субсидирования. Проект постановления Российской Федерации «О внесении изменений в некоторые акты Правительства Российской Федерации» направлен на введение нового порядка расчета ставки перекрестного субсидирования по уровням напряжения;</w:t>
      </w:r>
    </w:p>
    <w:p w14:paraId="0DFCC81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Методических указаний по расчету величины и ставки перекрестного субсидирования, учитываемых в ценах (тарифах) на услуги по передаче электрической энергии для потребителей, не относящихся к населению или приравненным к нему категориям потребителей, оказываемые территориальными сетевыми организациями и учитываемых органами исполнительной власти субъекта Российской Федерации в области государственного регулирования тарифов при установлении единых (котловых) тарифов на услуги по передаче электрической энергии по электрическим сетям, направленные в Аппарат Правительства РФ письмом ФАС России от 26.12.2018 № ВК/107347/18, предусматривающий справедливый и равномерный рост нагрузки на потребителей в субъектах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w:t>
      </w:r>
    </w:p>
    <w:p w14:paraId="359419B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было разработано постановление Правительства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 xml:space="preserve"> от 30.01.2019 № 64 «О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Правительства Российской Федерации», направленное на введение долгосрочного регулирования в технологически изолированных зонах. Предусматривает сохранение экономии расходов (в том числе связанной со сменой видов топлива, а также с использованием ВИЭ) и установление долгосрочных тарифов для регулируемых организаций до 5 лет.</w:t>
      </w:r>
    </w:p>
    <w:p w14:paraId="0DAAECF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ФАС России проводится работа по внесению изменений в Порядок формирования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утвержденного приказом ФСТ России от 12.04.2012 № 53-э/1 (далее - Порядок). </w:t>
      </w:r>
    </w:p>
    <w:p w14:paraId="715108F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Целью внесения изменений в Порядок является:</w:t>
      </w:r>
    </w:p>
    <w:p w14:paraId="4CD1814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упрощение процедур и повышение прозрачности формирования тарифов в сфере электроэнергетики;</w:t>
      </w:r>
    </w:p>
    <w:p w14:paraId="1C5A998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 цифровизация процесса взаимодействия между регулируемыми организациями, инфраструктурными организациями и органами исполнительной власти Российской Федерации; </w:t>
      </w:r>
    </w:p>
    <w:p w14:paraId="5AC0A41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 повышение точности принимаемых решений при формировании сводного прогнозного баланса; </w:t>
      </w:r>
    </w:p>
    <w:p w14:paraId="2B64BEB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 расширение функционала СПБ при принятии органами исполнительной власти субъектов Российской Федерации в области государственного регулирования тарифов тарифных решений. </w:t>
      </w:r>
    </w:p>
    <w:p w14:paraId="52F5EFBD" w14:textId="55E195A2" w:rsidR="00047E45"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 этом, как результат</w:t>
      </w:r>
      <w:r w:rsidR="008A658E">
        <w:rPr>
          <w:rFonts w:ascii="Times New Roman" w:hAnsi="Times New Roman" w:cs="Times New Roman"/>
          <w:sz w:val="28"/>
          <w:szCs w:val="28"/>
        </w:rPr>
        <w:t>,</w:t>
      </w:r>
      <w:r w:rsidRPr="005256AE">
        <w:rPr>
          <w:rFonts w:ascii="Times New Roman" w:hAnsi="Times New Roman" w:cs="Times New Roman"/>
          <w:sz w:val="28"/>
          <w:szCs w:val="28"/>
        </w:rPr>
        <w:t xml:space="preserve"> будет существенно снижено количество разногласий на согласительных совещаниях в ФАС России.</w:t>
      </w:r>
    </w:p>
    <w:p w14:paraId="3FFAFD6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сфере связи осуществляется </w:t>
      </w:r>
      <w:r w:rsidRPr="009B3A88">
        <w:rPr>
          <w:rFonts w:ascii="Times New Roman" w:hAnsi="Times New Roman" w:cs="Times New Roman"/>
          <w:sz w:val="28"/>
          <w:szCs w:val="28"/>
        </w:rPr>
        <w:t>в</w:t>
      </w:r>
      <w:r w:rsidRPr="005256AE">
        <w:rPr>
          <w:rFonts w:ascii="Times New Roman" w:hAnsi="Times New Roman" w:cs="Times New Roman"/>
          <w:sz w:val="28"/>
          <w:szCs w:val="28"/>
        </w:rPr>
        <w:t>ведение метода предельного ценообразования, обеспечивающего возможность получения прибыли от эффективного управления издержками.</w:t>
      </w:r>
    </w:p>
    <w:p w14:paraId="1AD826CC" w14:textId="740D0B2E"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г</w:t>
      </w:r>
      <w:r w:rsidRPr="005256AE">
        <w:rPr>
          <w:rFonts w:ascii="Times New Roman" w:hAnsi="Times New Roman" w:cs="Times New Roman"/>
          <w:sz w:val="28"/>
          <w:szCs w:val="28"/>
        </w:rPr>
        <w:t>лавн</w:t>
      </w:r>
      <w:r>
        <w:rPr>
          <w:rFonts w:ascii="Times New Roman" w:hAnsi="Times New Roman" w:cs="Times New Roman"/>
          <w:sz w:val="28"/>
          <w:szCs w:val="28"/>
        </w:rPr>
        <w:t>ых</w:t>
      </w:r>
      <w:r w:rsidRPr="005256AE">
        <w:rPr>
          <w:rFonts w:ascii="Times New Roman" w:hAnsi="Times New Roman" w:cs="Times New Roman"/>
          <w:sz w:val="28"/>
          <w:szCs w:val="28"/>
        </w:rPr>
        <w:t xml:space="preserve"> </w:t>
      </w:r>
      <w:r w:rsidR="00C85E55" w:rsidRPr="005256AE">
        <w:rPr>
          <w:rFonts w:ascii="Times New Roman" w:hAnsi="Times New Roman" w:cs="Times New Roman"/>
          <w:sz w:val="28"/>
          <w:szCs w:val="28"/>
        </w:rPr>
        <w:t>задач</w:t>
      </w:r>
      <w:r w:rsidRPr="005256AE">
        <w:rPr>
          <w:rFonts w:ascii="Times New Roman" w:hAnsi="Times New Roman" w:cs="Times New Roman"/>
          <w:sz w:val="28"/>
          <w:szCs w:val="28"/>
        </w:rPr>
        <w:t xml:space="preserve"> реформирования тарифного регулирования в Российской Федерации является совершенствование системы и механизма государственного тарифного регулирования, направленных на создание системы стимулов снижения издержек и проведение рациональной инвестиционной политики.</w:t>
      </w:r>
    </w:p>
    <w:p w14:paraId="7155136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актуальным является переход к регулированию тарифов на услуги общедоступной электросвязи и общедоступной почтовой связи по методу предельного ценообразования, который является более прогрессивным и эффективным, и относится к долгосрочным методам тарифного регулирования.</w:t>
      </w:r>
    </w:p>
    <w:p w14:paraId="67D7736C" w14:textId="20322193"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целях реализации системных мер, направленных на совершенствование системы тарифного регулирования и повышение эффективности деятельности субъектов естественных монополий в сфере связи с учетом лучших практик международного опыта государственного тарифного регулирования сферы связ</w:t>
      </w:r>
      <w:r w:rsidR="008A658E">
        <w:rPr>
          <w:rFonts w:ascii="Times New Roman" w:hAnsi="Times New Roman" w:cs="Times New Roman"/>
          <w:sz w:val="28"/>
          <w:szCs w:val="28"/>
        </w:rPr>
        <w:t>и</w:t>
      </w:r>
      <w:r w:rsidRPr="005256AE">
        <w:rPr>
          <w:rFonts w:ascii="Times New Roman" w:hAnsi="Times New Roman" w:cs="Times New Roman"/>
          <w:sz w:val="28"/>
          <w:szCs w:val="28"/>
        </w:rPr>
        <w:t xml:space="preserve">, тенденций развития сферы связь, а также опыта государственного регулирования данной сферы в Российской Федерации, приказом ФАС России от 05.02.2019 № 126/19 </w:t>
      </w:r>
      <w:r>
        <w:rPr>
          <w:rFonts w:ascii="Times New Roman" w:hAnsi="Times New Roman" w:cs="Times New Roman"/>
          <w:sz w:val="28"/>
          <w:szCs w:val="28"/>
        </w:rPr>
        <w:t xml:space="preserve">утвержден </w:t>
      </w:r>
      <w:r w:rsidRPr="005256AE">
        <w:rPr>
          <w:rFonts w:ascii="Times New Roman" w:hAnsi="Times New Roman" w:cs="Times New Roman"/>
          <w:sz w:val="28"/>
          <w:szCs w:val="28"/>
        </w:rPr>
        <w:t xml:space="preserve">Порядок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путем установления максимального (предельного) значения индекса изменения тарифов (инфляция минус). </w:t>
      </w:r>
      <w:r>
        <w:rPr>
          <w:rFonts w:ascii="Times New Roman" w:hAnsi="Times New Roman" w:cs="Times New Roman"/>
          <w:sz w:val="28"/>
          <w:szCs w:val="28"/>
        </w:rPr>
        <w:t>Указанный Порядок вступил в силу.</w:t>
      </w:r>
    </w:p>
    <w:p w14:paraId="4F73D7DE" w14:textId="5B5882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момента, когда тарифы достигают уровня экономически обоснованных затрат с учетом нормативной прибыли применяется метод предельного ценообразования (Метод предельной цены «price cap»). Его еще называют метод, обеспечивающий возможность получения прибыли от эффективности управления издержками, или «инфляция минус», при котором регулятор устанавливает максимальное (предельное) значение цены или тарифа на услугу регулируемой компании или максимальное (предельное) значение индекса изменения тарифов на группу услуг на очередной период регулирования, исходя из прогнозного уровня инфляции и повышения эффективности деятельности предприятия и экономики в целом, или</w:t>
      </w:r>
      <w:r w:rsidR="00EC6D0D">
        <w:rPr>
          <w:rFonts w:ascii="Times New Roman" w:hAnsi="Times New Roman" w:cs="Times New Roman"/>
          <w:sz w:val="28"/>
          <w:szCs w:val="28"/>
        </w:rPr>
        <w:t>,</w:t>
      </w:r>
      <w:r w:rsidRPr="005256AE">
        <w:rPr>
          <w:rFonts w:ascii="Times New Roman" w:hAnsi="Times New Roman" w:cs="Times New Roman"/>
          <w:sz w:val="28"/>
          <w:szCs w:val="28"/>
        </w:rPr>
        <w:t xml:space="preserve"> другими словами</w:t>
      </w:r>
      <w:r w:rsidR="00EC6D0D">
        <w:rPr>
          <w:rFonts w:ascii="Times New Roman" w:hAnsi="Times New Roman" w:cs="Times New Roman"/>
          <w:sz w:val="28"/>
          <w:szCs w:val="28"/>
        </w:rPr>
        <w:t>,</w:t>
      </w:r>
      <w:r w:rsidRPr="005256AE">
        <w:rPr>
          <w:rFonts w:ascii="Times New Roman" w:hAnsi="Times New Roman" w:cs="Times New Roman"/>
          <w:sz w:val="28"/>
          <w:szCs w:val="28"/>
        </w:rPr>
        <w:t xml:space="preserve"> «инфляция -Х-фактор». </w:t>
      </w:r>
    </w:p>
    <w:p w14:paraId="2A2D2D2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основан на сравнительном анализе производительности (эффективности) деятельности оператора связи и экономики в целом путем сравнения результативных индексов.</w:t>
      </w:r>
    </w:p>
    <w:p w14:paraId="2228F76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 расчета и установления регулирующим органом коэффициента повышения эффективности деятельности оператора связи (Х-фактора) на долгосрочный период для каждого оператора связи и ежегодного расчета оператором связи коэффициента максимального допустимого изменения тарифов по формуле К=1+(ИПЦ-Хфактор).</w:t>
      </w:r>
    </w:p>
    <w:p w14:paraId="18A8B91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Коэффициент максимального допустимого изменения тарифов применяется на набор услуг, определяемый оператором связи самостоятельно в соответствии с перечнем услуг, определенным постановлением Правительства Российской Федерации от 24.10.2005 № 637 «О государственном регулировании тарифов на услуги общедоступной электросвязи и общедоступной почтовой связи». При этом Порядком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предусмотрено ограничение роста тарифов внутри набора услуг - не выше инфляции.</w:t>
      </w:r>
    </w:p>
    <w:p w14:paraId="1BD051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Отправной точкой расчета тарифа в течение периода регулирования является базовый тариф на регулируемые услуги. Базовый тариф включает текущие затраты и нормальную доходность капитала в начальный период регулирования.</w:t>
      </w:r>
    </w:p>
    <w:p w14:paraId="21D6B8D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последующие периоды оператор вправе повышать тарифы на уровень ИПЦ в экономике в целом за вычетом прогнозируемой величины экономии затрат (X–фактора), или «поправки на повышение эффективности». </w:t>
      </w:r>
    </w:p>
    <w:p w14:paraId="457EDA2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 содержательной точки зрения X–фактор является ожидаемым темпом повышения эффективности производства оператора в целом. Х- фактор должен стимулировать оператора к повышению эффективности до некоторого базового уровня по экономике в целом. Иными словами, X–фактор является механизмом бенчмаркинга в том, что касается эффективности использования ресурсов и темпов ее повышения. </w:t>
      </w:r>
    </w:p>
    <w:p w14:paraId="2E845BF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Базовое для предприятия (бенчмаркинговое) значение X–фактора должно устанавливаться на достаточно продолжительный период, как правило 3-5 лет (период регулирования). Частый его пересмотр (например, ежегодный) в значительной степени обессмысливает весь метод, так как по существу означает «подгонку» ожидаемых затрат к фактическим. Поэтому оператор должен иметь перед собой достаточно хорошо прогнозируемую перспективу будущих цен не привязанных к будущим фактическим издержкам на среднесрочную перспективу, чтобы иметь возможность получить выигрыш от повышения эффективности за счет снижения расходов (например, за счет развития новых технологий, оптимизации численности персонала и т.п.) или увеличения доходов (например, за счет увеличения объемов услуг).</w:t>
      </w:r>
    </w:p>
    <w:p w14:paraId="26C9035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п</w:t>
      </w:r>
      <w:r w:rsidRPr="005256AE">
        <w:rPr>
          <w:rFonts w:ascii="Times New Roman" w:hAnsi="Times New Roman" w:cs="Times New Roman"/>
          <w:sz w:val="28"/>
          <w:szCs w:val="28"/>
        </w:rPr>
        <w:t>реимуществ мет</w:t>
      </w:r>
      <w:r>
        <w:rPr>
          <w:rFonts w:ascii="Times New Roman" w:hAnsi="Times New Roman" w:cs="Times New Roman"/>
          <w:sz w:val="28"/>
          <w:szCs w:val="28"/>
        </w:rPr>
        <w:t>ода предельного ценообразования можно выделить следующее.</w:t>
      </w:r>
    </w:p>
    <w:p w14:paraId="0892476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1</w:t>
      </w:r>
      <w:r>
        <w:rPr>
          <w:rFonts w:ascii="Times New Roman" w:hAnsi="Times New Roman" w:cs="Times New Roman"/>
          <w:sz w:val="28"/>
          <w:szCs w:val="28"/>
        </w:rPr>
        <w:t>.</w:t>
      </w:r>
      <w:r w:rsidRPr="005256AE">
        <w:rPr>
          <w:rFonts w:ascii="Times New Roman" w:hAnsi="Times New Roman" w:cs="Times New Roman"/>
          <w:sz w:val="28"/>
          <w:szCs w:val="28"/>
        </w:rPr>
        <w:t xml:space="preserve"> Финансовое стимулирование производителя к повышению эффективности.</w:t>
      </w:r>
    </w:p>
    <w:p w14:paraId="6EC9D44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Выигрыш от снижения затрат не в полном объеме относится к потребителю, а частично направляется оператору в виде дополнительной прибыли.</w:t>
      </w:r>
    </w:p>
    <w:p w14:paraId="4FE12818" w14:textId="708D2B7C"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Данный ме</w:t>
      </w:r>
      <w:r w:rsidR="00EC6D0D">
        <w:rPr>
          <w:rFonts w:ascii="Times New Roman" w:hAnsi="Times New Roman" w:cs="Times New Roman"/>
          <w:sz w:val="28"/>
          <w:szCs w:val="28"/>
        </w:rPr>
        <w:t>ханизм по-</w:t>
      </w:r>
      <w:r w:rsidRPr="005256AE">
        <w:rPr>
          <w:rFonts w:ascii="Times New Roman" w:hAnsi="Times New Roman" w:cs="Times New Roman"/>
          <w:sz w:val="28"/>
          <w:szCs w:val="28"/>
        </w:rPr>
        <w:t>своему «дисциплинирующему» воздействию на производителя аналогичен конкурентному рынку в немонопольных отраслях: на таком рынке производитель, добившийся экономии первоначально получает выигрыш как от самой экономии, так и от возможности привлечь новых клиентов, «поделившись» с ними экономией в виде снижения цен.</w:t>
      </w:r>
    </w:p>
    <w:p w14:paraId="0BCBF01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Цена в каждый последующий период не совпадает с фактическими издержками производства с учетом фиксированной величины доходности капитала. Производителю предоставляется возможность заработать на экономии, поэтому цена не зависит от фактических издержек.</w:t>
      </w:r>
    </w:p>
    <w:p w14:paraId="29C5A3B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2</w:t>
      </w:r>
      <w:r>
        <w:rPr>
          <w:rFonts w:ascii="Times New Roman" w:hAnsi="Times New Roman" w:cs="Times New Roman"/>
          <w:sz w:val="28"/>
          <w:szCs w:val="28"/>
        </w:rPr>
        <w:t>.</w:t>
      </w:r>
      <w:r w:rsidRPr="005256AE">
        <w:rPr>
          <w:rFonts w:ascii="Times New Roman" w:hAnsi="Times New Roman" w:cs="Times New Roman"/>
          <w:sz w:val="28"/>
          <w:szCs w:val="28"/>
        </w:rPr>
        <w:t xml:space="preserve"> Ограничение цены сверху, а не жестко фиксированный тариф.</w:t>
      </w:r>
    </w:p>
    <w:p w14:paraId="1E26F17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Оператор имеет право предлагать потребителям более выгодные условия, чем первоначально предполагалось регулятором. Таким образом, создаются условия для ценообразования в регулируемом сегменте присущего ценообразованию на конкурентных рынках. Именно поэтому метод предельной цены часто рассматривается как переходный метод регулирования при движении от монопольного регулируемого рынка к конкурентному.</w:t>
      </w:r>
    </w:p>
    <w:p w14:paraId="5709FC0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3</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расчета предельной цены в течение периода регулирования.</w:t>
      </w:r>
    </w:p>
    <w:p w14:paraId="35159EC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После установления начальной предельной цены в период регулирования, в последующие годы не требуется сложное регуляторное администрирование путем применения ежегодного контроля издержек производителя. Даже в мультипродуктовом сегменте, когда регулируемые операторы действуют одновременно на регулируемых и на конкурентных рынках, расчет предельной цены требует сравнительно небольшой модификации.</w:t>
      </w:r>
    </w:p>
    <w:p w14:paraId="1979587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4</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основной идеи метода. </w:t>
      </w:r>
    </w:p>
    <w:p w14:paraId="5F449A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и в случае метода «издержки плюс», идея метода предельной цены достаточно проста для понимания участниками рынка.</w:t>
      </w:r>
    </w:p>
    <w:p w14:paraId="65EB4AE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Принципы расчета тарифов по методу предельного ценообразования</w:t>
      </w:r>
      <w:r>
        <w:rPr>
          <w:rFonts w:ascii="Times New Roman" w:hAnsi="Times New Roman" w:cs="Times New Roman"/>
          <w:sz w:val="28"/>
          <w:szCs w:val="28"/>
        </w:rPr>
        <w:t>.</w:t>
      </w:r>
    </w:p>
    <w:p w14:paraId="0EA554A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w:t>
      </w:r>
    </w:p>
    <w:p w14:paraId="77ADC1F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 - установления регулирующим органом коэффициента повышения эффективности деятельности оператора связи (Х-фактора) на долгосрочный период 3-5 лет,</w:t>
      </w:r>
    </w:p>
    <w:p w14:paraId="5FF61FA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ежегодного расчета оператором связи коэффициента максимально допустимого изменения тарифов (Kt).</w:t>
      </w:r>
    </w:p>
    <w:p w14:paraId="00283EA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рамках применения методики предельного ценообразования Х-фактор рассчитывается в целях оценки и сравнения результатов деятельности организаций и экономики в целом. И применяется при расчете максимально допустимого изменения тарифов на очередной период регулирования.</w:t>
      </w:r>
    </w:p>
    <w:p w14:paraId="22F94ED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этой целью регулирующим органом проводится факторный анализ, то есть производится отбор факторов, которые определяют динамику результативных показателей (рентабельности активов, рентабельности продаж, производительности труда, и т.д.).</w:t>
      </w:r>
    </w:p>
    <w:p w14:paraId="515329D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Применяемые подходы к расчету Х-фактора.</w:t>
      </w:r>
    </w:p>
    <w:p w14:paraId="7E79C04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Х-фактор рассчитывается по данным предприятия в целом с целью получения сопоставимых данных. Данные оператора сравниваются с данными экономики в целом. Экономика выступает в роли эталона и сравнивать регулируемую деятельность с экономикой в целом некорректно. Эффективность деятельности оператора определяется как разница между производительностью труда и индексом изменения факторов производства (закупочных цен, роста зарплаты, роста цен на услуги и т.д.).</w:t>
      </w:r>
    </w:p>
    <w:p w14:paraId="1FD2381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Чем эффективность оператора выше эффективности экономики, тем ниже Х-фактор и, соответственно, выше коэффициент максимально допустимого повышения тарифов.</w:t>
      </w:r>
    </w:p>
    <w:p w14:paraId="5EBE8B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Данный метод тарифного регулирования содержит регуляторный механизм, отвечающий требованиям конкурентного рынка, который не ограничивает операторов фиксированной связи на конкурентном рынке при формировании тарифной политики в части установления индексов изменения тарифов по соответствующим услугам. Операторам связи предоставлено право самостоятельно определять индексы изменения тарифов внутри набора услуг. </w:t>
      </w:r>
    </w:p>
    <w:p w14:paraId="4EEDCF0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 мотивация регулирования с помощью ценовых ограничений – это, с одной стороны, стимулирование сокращения затрат, приводящее к росту прибыли, остающейся в распоряжении оператора связи, с другой стороны - сдерживание роста тарифов для потребителей.</w:t>
      </w:r>
    </w:p>
    <w:p w14:paraId="142C3AA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инфляция - Х-фактор может быть применен не только в сфере связи, но и в других регулируемых сферах.</w:t>
      </w:r>
    </w:p>
    <w:p w14:paraId="7FD2DCD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047E45">
        <w:rPr>
          <w:rFonts w:ascii="Times New Roman" w:hAnsi="Times New Roman" w:cs="Times New Roman"/>
          <w:sz w:val="28"/>
          <w:szCs w:val="28"/>
        </w:rPr>
        <w:t xml:space="preserve">Указом Президента Российской Федерации № 618 одним </w:t>
      </w:r>
      <w:r w:rsidRPr="005256AE">
        <w:rPr>
          <w:rFonts w:ascii="Times New Roman" w:hAnsi="Times New Roman" w:cs="Times New Roman"/>
          <w:sz w:val="28"/>
          <w:szCs w:val="28"/>
        </w:rPr>
        <w:t>из ожидаемых результатов развития конкуренции закреплено «дерегулирование цен по транспортировке нефтепродуктов по магистральным нефтепродуктопроводам».</w:t>
      </w:r>
    </w:p>
    <w:p w14:paraId="576F7C4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рамках исполнения </w:t>
      </w:r>
      <w:r w:rsidRPr="00047E45">
        <w:rPr>
          <w:rFonts w:ascii="Times New Roman" w:hAnsi="Times New Roman" w:cs="Times New Roman"/>
          <w:sz w:val="28"/>
          <w:szCs w:val="28"/>
        </w:rPr>
        <w:t xml:space="preserve">данного пункта Указа </w:t>
      </w:r>
      <w:r w:rsidRPr="005256AE">
        <w:rPr>
          <w:rFonts w:ascii="Times New Roman" w:hAnsi="Times New Roman" w:cs="Times New Roman"/>
          <w:sz w:val="28"/>
          <w:szCs w:val="28"/>
        </w:rPr>
        <w:t>ФАС России намечено выполнение следующих мероприятий:</w:t>
      </w:r>
    </w:p>
    <w:p w14:paraId="6AFF649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а) проведение анализа услуг по транспортировке нефтепродуктов с целью определения наличия оснований и возможности отмены ценового регулирования деятельности субъектов естественной монополии в сфере транспортировки нефтепродуктов по магистральным трубопроводам;</w:t>
      </w:r>
    </w:p>
    <w:p w14:paraId="62C3DD6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б) подготовка проекта приказа ФАС России об изменении государственного регулирования в отношении лиц, осуществляющих деятельность по транспортировке нефтепродуктов по магистральным трубопроводам и его рассмотрение на Методическом совете по тарифному регулированию;</w:t>
      </w:r>
    </w:p>
    <w:p w14:paraId="0F11E11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рассмотрение проекта приказа ФАС России об изменении государственного регулирования в отношении лиц, осуществляющих деятельность по транспортировке нефтепродуктов по магистральным трубопроводам на заседании Правления ФАС России (коллегиальный орган для принятия решений об определении (установлении) цен (тарифов);</w:t>
      </w:r>
    </w:p>
    <w:p w14:paraId="3BF4B79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г) введение постоянного ценового мониторинга в отношении лиц, осуществляющих деятельность по транспортировке нефтепродуктов по магистральным трубопроводам.</w:t>
      </w:r>
    </w:p>
    <w:p w14:paraId="363441AC" w14:textId="77777777" w:rsidR="00047E45" w:rsidRPr="005256AE" w:rsidRDefault="00047E45" w:rsidP="00EC6D0D">
      <w:pPr>
        <w:spacing w:after="0" w:line="240" w:lineRule="auto"/>
        <w:ind w:firstLine="709"/>
        <w:jc w:val="both"/>
        <w:rPr>
          <w:rFonts w:ascii="Times New Roman" w:hAnsi="Times New Roman"/>
          <w:sz w:val="28"/>
          <w:szCs w:val="28"/>
        </w:rPr>
      </w:pPr>
      <w:r w:rsidRPr="005256AE">
        <w:rPr>
          <w:rFonts w:ascii="Times New Roman" w:hAnsi="Times New Roman"/>
          <w:sz w:val="28"/>
          <w:szCs w:val="28"/>
        </w:rPr>
        <w:t>Также, дерегулирование цен по транспортировке нефтепродуктов по магистральным нефтепродуктопроводам предусмотрено распоряжением Правительства Российской Федерации от 18.08.2018 № 1697-р «Об утверждении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0DC83C34" w14:textId="77777777" w:rsidR="00047E45" w:rsidRPr="005256AE" w:rsidRDefault="00047E45" w:rsidP="00EC6D0D">
      <w:pPr>
        <w:spacing w:after="0" w:line="240" w:lineRule="auto"/>
        <w:ind w:firstLine="709"/>
        <w:jc w:val="both"/>
        <w:rPr>
          <w:rFonts w:ascii="Times New Roman" w:hAnsi="Times New Roman"/>
          <w:sz w:val="28"/>
          <w:szCs w:val="28"/>
        </w:rPr>
      </w:pPr>
      <w:r w:rsidRPr="005256AE">
        <w:rPr>
          <w:rFonts w:ascii="Times New Roman" w:hAnsi="Times New Roman"/>
          <w:sz w:val="28"/>
          <w:szCs w:val="28"/>
        </w:rPr>
        <w:t>Следует отметить, что государство регулирует данную деятельность на основании пункта 1 статьи 4 Закона о естественных монополиях, в соответствии с которым транспортировка нефтепродуктов по магистральным трубопроводам отнесена к сфере деятельности субъектов естественных монополий, а потому подлежит государственному регулированию в соответствии с законодательством о естественных монополиях.</w:t>
      </w:r>
    </w:p>
    <w:p w14:paraId="55BA4CC3" w14:textId="77777777" w:rsidR="00047E45" w:rsidRPr="005256AE" w:rsidRDefault="00047E45" w:rsidP="00EC6D0D">
      <w:pPr>
        <w:spacing w:after="0" w:line="240" w:lineRule="auto"/>
        <w:ind w:firstLine="709"/>
        <w:jc w:val="both"/>
        <w:rPr>
          <w:rFonts w:ascii="Times New Roman" w:hAnsi="Times New Roman"/>
          <w:sz w:val="28"/>
          <w:szCs w:val="28"/>
        </w:rPr>
      </w:pPr>
      <w:r w:rsidRPr="005256AE">
        <w:rPr>
          <w:rFonts w:ascii="Times New Roman" w:hAnsi="Times New Roman"/>
          <w:sz w:val="28"/>
          <w:szCs w:val="28"/>
        </w:rPr>
        <w:t>Ценовое (тарифное) регулирование данной сферы услуг осуществляется в соответствии с постановлением Правительства Российской Федерации от 29.12.2007 № 980 «О государственном регулировании тарифов на услуги субъектов естественных монополий по транспортировке нефти и нефтепродуктов».</w:t>
      </w:r>
    </w:p>
    <w:p w14:paraId="671FC5AE" w14:textId="77777777" w:rsidR="00047E45" w:rsidRPr="005256AE" w:rsidRDefault="00047E45" w:rsidP="00EC6D0D">
      <w:pPr>
        <w:spacing w:after="0" w:line="240" w:lineRule="auto"/>
        <w:ind w:firstLine="709"/>
        <w:jc w:val="both"/>
        <w:rPr>
          <w:rFonts w:ascii="Times New Roman" w:hAnsi="Times New Roman"/>
          <w:sz w:val="28"/>
          <w:szCs w:val="28"/>
        </w:rPr>
      </w:pPr>
      <w:r w:rsidRPr="005256AE">
        <w:rPr>
          <w:rFonts w:ascii="Times New Roman" w:hAnsi="Times New Roman"/>
          <w:sz w:val="28"/>
          <w:szCs w:val="28"/>
        </w:rPr>
        <w:t>В настоящее время тарифы на вышеуказанные услуги устанавливаются ФАС России.</w:t>
      </w:r>
    </w:p>
    <w:p w14:paraId="48EF932E" w14:textId="77777777" w:rsidR="00047E45" w:rsidRPr="005256AE" w:rsidRDefault="00047E45" w:rsidP="00EC6D0D">
      <w:pPr>
        <w:spacing w:after="0" w:line="240" w:lineRule="auto"/>
        <w:ind w:firstLine="709"/>
        <w:jc w:val="both"/>
        <w:rPr>
          <w:rFonts w:ascii="Times New Roman" w:hAnsi="Times New Roman"/>
          <w:i/>
          <w:sz w:val="28"/>
          <w:szCs w:val="28"/>
        </w:rPr>
      </w:pPr>
      <w:r w:rsidRPr="005256AE">
        <w:rPr>
          <w:rFonts w:ascii="Times New Roman" w:hAnsi="Times New Roman"/>
          <w:sz w:val="28"/>
          <w:szCs w:val="28"/>
        </w:rPr>
        <w:t>Необходимо отметить, что в целях совершенствования методов государственного регулирования деятельности субъектов естественных монополий в сфере транспортировки нефтепродуктов по магистральным трубопроводам и стимулирования экономически оправданного перехода соответствующего товарного рынка из состояния естественной монополии в состояние конкурентного рынка, тарифы на услуги ПАО «Транснефть» с 2000 года являются предельн</w:t>
      </w:r>
      <w:r w:rsidRPr="004E7F97">
        <w:rPr>
          <w:rFonts w:ascii="Times New Roman" w:hAnsi="Times New Roman"/>
          <w:sz w:val="28"/>
          <w:szCs w:val="28"/>
        </w:rPr>
        <w:t>о</w:t>
      </w:r>
      <w:r w:rsidRPr="005256AE">
        <w:rPr>
          <w:rFonts w:ascii="Times New Roman" w:hAnsi="Times New Roman"/>
          <w:sz w:val="28"/>
          <w:szCs w:val="28"/>
        </w:rPr>
        <w:t xml:space="preserve"> максимальными</w:t>
      </w:r>
      <w:r w:rsidRPr="005256AE">
        <w:rPr>
          <w:rFonts w:ascii="Times New Roman" w:hAnsi="Times New Roman"/>
          <w:b/>
          <w:i/>
          <w:sz w:val="28"/>
          <w:szCs w:val="28"/>
        </w:rPr>
        <w:t xml:space="preserve"> </w:t>
      </w:r>
      <w:r w:rsidRPr="005256AE">
        <w:rPr>
          <w:rFonts w:ascii="Times New Roman" w:hAnsi="Times New Roman"/>
          <w:sz w:val="28"/>
          <w:szCs w:val="28"/>
        </w:rPr>
        <w:t>(постановления Федеральной энергетической комиссии Российской Ф</w:t>
      </w:r>
      <w:r>
        <w:rPr>
          <w:rFonts w:ascii="Times New Roman" w:hAnsi="Times New Roman"/>
          <w:sz w:val="28"/>
          <w:szCs w:val="28"/>
        </w:rPr>
        <w:t>едерации от 10.12.1999 № 56/6 «</w:t>
      </w:r>
      <w:r w:rsidRPr="005256AE">
        <w:rPr>
          <w:rFonts w:ascii="Times New Roman" w:hAnsi="Times New Roman"/>
          <w:sz w:val="28"/>
          <w:szCs w:val="28"/>
        </w:rPr>
        <w:t>Об утверждении тарифов на транспортировку нефтепродуктов по системе магистральных нефтепродуктопроводов АК «Транснефтепродукт» и от 25.09.2000 № 52/1 «О тарифах (тарифных ставках) на перекачку нефтепродуктов по системе магистральных нефтепродуктопроводов ОАО «Рязаньтранснефтепродукт»).</w:t>
      </w:r>
    </w:p>
    <w:p w14:paraId="29EE25ED"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D78DA">
        <w:rPr>
          <w:rFonts w:ascii="Times New Roman" w:hAnsi="Times New Roman" w:cs="Times New Roman"/>
          <w:sz w:val="28"/>
          <w:szCs w:val="28"/>
        </w:rPr>
        <w:t>В сфере пассажирских перевозок в</w:t>
      </w:r>
      <w:r w:rsidRPr="005256AE">
        <w:rPr>
          <w:rFonts w:ascii="Times New Roman" w:hAnsi="Times New Roman" w:cs="Times New Roman"/>
          <w:sz w:val="28"/>
          <w:szCs w:val="28"/>
        </w:rPr>
        <w:t xml:space="preserve"> 2018 году индексация тарифов на проезд пассажиров в общих и плацкартных вагон</w:t>
      </w:r>
      <w:r>
        <w:rPr>
          <w:rFonts w:ascii="Times New Roman" w:hAnsi="Times New Roman" w:cs="Times New Roman"/>
          <w:sz w:val="28"/>
          <w:szCs w:val="28"/>
        </w:rPr>
        <w:t>ах</w:t>
      </w:r>
      <w:r w:rsidRPr="005256AE">
        <w:rPr>
          <w:rFonts w:ascii="Times New Roman" w:hAnsi="Times New Roman" w:cs="Times New Roman"/>
          <w:sz w:val="28"/>
          <w:szCs w:val="28"/>
        </w:rPr>
        <w:t xml:space="preserve"> поездов дальнего следования, а также индексация тарифов на услуги инфраструктуры для пассажирских железнодорожных перевозок (дальнее следование и пригородные перевозки) не проводились. Конечная цена проездного документа (билета) для пассажиров общих и плацкартных вагонов осталась на уровне 2017 года.</w:t>
      </w:r>
    </w:p>
    <w:p w14:paraId="3031C34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нормативным правовым актом ФАС России утверждена методика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w:t>
      </w:r>
    </w:p>
    <w:p w14:paraId="001C330A"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Методика предусматривает выравнивание платы за пользование подвижным составом и капитальный ремонт для всех регионов. Ставки за техническое обслуживание и текущий ремонт учитывают особенности экономики ОАО «РЖД» и дифференцированы по регионам.</w:t>
      </w:r>
    </w:p>
    <w:p w14:paraId="54DEB05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Применение Методики позволит пригородным пассажирским компаниям выбирать поставщика услуг по использованию, управлению и эксплуатации, техническому обслуживанию, текущему и капитальному ремонтам. Это приведет к демонополизации рынка аренды подвижного состава и создаст условия для развития конкуренции в этой сфере, условия для обновления подвижного состава и повышения качества обслуживания в сфере перевозок пассажиров железнодорожным транспортом общего пользования в пригородном сообщении.</w:t>
      </w:r>
    </w:p>
    <w:p w14:paraId="7E20E6A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вступила в действие утвержденная ФАС России методика расчета экономически обоснованного уровня тарифов за услуги субъектов естественных монополий в сфере перевозок пассажиров железнодорожного транспорта общего пользования в пригородном сообщении.</w:t>
      </w:r>
    </w:p>
    <w:p w14:paraId="4F3DA175"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olor w:val="000000"/>
          <w:sz w:val="28"/>
          <w:szCs w:val="28"/>
        </w:rPr>
      </w:pPr>
      <w:r w:rsidRPr="005256AE">
        <w:rPr>
          <w:rFonts w:ascii="Times New Roman" w:hAnsi="Times New Roman" w:cs="Times New Roman"/>
          <w:sz w:val="28"/>
          <w:szCs w:val="28"/>
        </w:rPr>
        <w:t xml:space="preserve">Методикой предусмотрено решение актуальных задач пригородного пассажирского железнодорожного комплекса, в том числе необходимость учета </w:t>
      </w:r>
      <w:r w:rsidRPr="005256AE">
        <w:rPr>
          <w:rFonts w:ascii="Times New Roman" w:hAnsi="Times New Roman"/>
          <w:color w:val="000000"/>
          <w:sz w:val="28"/>
          <w:szCs w:val="28"/>
        </w:rPr>
        <w:t xml:space="preserve">платежеспособного спроса населения, увеличения транспортной мобильности населения, развития железнодорожных перевозок, привлечения инвестиций, улучшения качества услуг, оптимальной загрузки инфраструктуры, </w:t>
      </w:r>
      <w:r w:rsidRPr="005256AE">
        <w:rPr>
          <w:rFonts w:ascii="Times New Roman" w:hAnsi="Times New Roman"/>
          <w:sz w:val="28"/>
          <w:szCs w:val="28"/>
        </w:rPr>
        <w:t>стимулирование субъекта регулирования за сокращение затрат,</w:t>
      </w:r>
      <w:r w:rsidRPr="005256AE">
        <w:rPr>
          <w:rFonts w:ascii="Times New Roman" w:hAnsi="Times New Roman"/>
          <w:color w:val="000000"/>
          <w:sz w:val="28"/>
          <w:szCs w:val="28"/>
        </w:rPr>
        <w:t xml:space="preserve"> дифференциации тарифов для населения, скорректирован механизм прямого отнесения затрат на субъект Российской Федерации, решены другие актуальные вопросы.</w:t>
      </w:r>
    </w:p>
    <w:p w14:paraId="0A67EB0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частности, определены существенные параметры при прогнозировании объемных и качественных показателей, а также условия подтверждения изменения объёмных показателей, при соблюдении которых корректируются основные экономические показатели; предусмотрены дополнительные меры контроля роста затрат в прогнозируемом периоде, и так далее.</w:t>
      </w:r>
    </w:p>
    <w:p w14:paraId="4FB0707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16F17">
        <w:rPr>
          <w:rFonts w:ascii="Times New Roman" w:hAnsi="Times New Roman" w:cs="Times New Roman"/>
          <w:sz w:val="28"/>
          <w:szCs w:val="28"/>
        </w:rPr>
        <w:t>Что касается сферы г</w:t>
      </w:r>
      <w:r w:rsidRPr="005256AE">
        <w:rPr>
          <w:rFonts w:ascii="Times New Roman" w:hAnsi="Times New Roman" w:cs="Times New Roman"/>
          <w:sz w:val="28"/>
          <w:szCs w:val="28"/>
        </w:rPr>
        <w:t>рузовы</w:t>
      </w:r>
      <w:r w:rsidRPr="00816F17">
        <w:rPr>
          <w:rFonts w:ascii="Times New Roman" w:hAnsi="Times New Roman" w:cs="Times New Roman"/>
          <w:sz w:val="28"/>
          <w:szCs w:val="28"/>
        </w:rPr>
        <w:t>х</w:t>
      </w:r>
      <w:r w:rsidRPr="005256AE">
        <w:rPr>
          <w:rFonts w:ascii="Times New Roman" w:hAnsi="Times New Roman" w:cs="Times New Roman"/>
          <w:sz w:val="28"/>
          <w:szCs w:val="28"/>
        </w:rPr>
        <w:t xml:space="preserve"> перевоз</w:t>
      </w:r>
      <w:r w:rsidRPr="00816F17">
        <w:rPr>
          <w:rFonts w:ascii="Times New Roman" w:hAnsi="Times New Roman" w:cs="Times New Roman"/>
          <w:sz w:val="28"/>
          <w:szCs w:val="28"/>
        </w:rPr>
        <w:t>о</w:t>
      </w:r>
      <w:r w:rsidRPr="005256AE">
        <w:rPr>
          <w:rFonts w:ascii="Times New Roman" w:hAnsi="Times New Roman" w:cs="Times New Roman"/>
          <w:sz w:val="28"/>
          <w:szCs w:val="28"/>
        </w:rPr>
        <w:t>к</w:t>
      </w:r>
      <w:r w:rsidRPr="00816F17">
        <w:rPr>
          <w:rFonts w:ascii="Times New Roman" w:hAnsi="Times New Roman" w:cs="Times New Roman"/>
          <w:sz w:val="28"/>
          <w:szCs w:val="28"/>
        </w:rPr>
        <w:t>, то н</w:t>
      </w:r>
      <w:r w:rsidRPr="005256AE">
        <w:rPr>
          <w:rFonts w:ascii="Times New Roman" w:hAnsi="Times New Roman" w:cs="Times New Roman"/>
          <w:sz w:val="28"/>
          <w:szCs w:val="28"/>
        </w:rPr>
        <w:t>а 2018 год уровень индексации тарифов на перевозку грузов железнодорожным транспортом и услуги инфраструктуры для грузовых железнодорожных перевозок составил 3,9 % к уровню тарифов 2017 года.</w:t>
      </w:r>
    </w:p>
    <w:p w14:paraId="3ED767E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Дополнительно в 2018 году для грузовых железнодорожных перевозок по решению Правительства Российской Федерации на долгосрочный период обеспечено сохранение дополнительной целевой надбавки в размере 2 % на выполнение капитального ремонта инфраструктуры железнодорожного транспорта общего пользования с возможной корректировкой целевого характера указанной надбавки, а также обеспечено применение дополнительной целевой надбавки, направленной на компенсацию расходов, связанных с корректировкой налогового законодательства, в размере 1,5 % дополнительной индексации тарифов на перевозку грузов железнодорожным транспортом и услуги инфраструктуры.</w:t>
      </w:r>
    </w:p>
    <w:p w14:paraId="68BA37F3"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Нормативными правовыми актами ФАС России о тарифных решениях на 2018 год и долгосрочную перспективу по установлению регулируемых государством тарифов и «ценовых пределов» к ним в сфере железнодорожных перевозок грузов, принятыми в соответствии с перечнем поручений у Председателя Правительства Российской Федерации Д.А. Медведева 5 декабря 2017 года № ДМ-П9-8220 по итогам совещания о тарифном регулировании железнодорожных перевозок на 2018 год и долгосрочную перспективу, предусмотрено:</w:t>
      </w:r>
    </w:p>
    <w:p w14:paraId="4B014B1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снижение предельного максимального размера повышающих коэффициентов в рамках ценовых пределов на 2 процентных пункта с установлением его на уровне 1,08 на 2018 год, а с 2019 года – снижение на 8 процентных пунктов и установление его на уровне 1,00;</w:t>
      </w:r>
    </w:p>
    <w:p w14:paraId="0BAB1EE2"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увеличение срока установлении повышающих и понижающих коэффициентов, стимулирующих увеличение грузовой базы и обеспечивающих максимальное задействование имеющихся пропускных и провозных способностей инфраструктуры железнодорожного транспорта общего пользования до 10 лет;</w:t>
      </w:r>
    </w:p>
    <w:p w14:paraId="3ECC6FEF"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сдерживание в долгосрочной перспективе (до 2025 года включительно) роста тарифов на услуги по перевозке грузов и услуги по использованию инфраструктуры железнодорожного транспорта общего пользования при перевозках грузов на уровне инфляции минус 0,1 процентный пункт.</w:t>
      </w:r>
    </w:p>
    <w:p w14:paraId="43EF07A1"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с 2018 года нормативным правовым актом ФАС России предусмотрено установление единого тарифа при осуществлении перевозок грузов по инфраструктурам ОАО «АК «Железные дороги Якутии» (ОАО «АК «ЖДЯ») и ОАО «РЖД».</w:t>
      </w:r>
    </w:p>
    <w:p w14:paraId="4404833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части не подлежащих государственному тарифному регулированию услуг по обеспечению грузовых железнодорожных перевозок подвижным составом сообщается.</w:t>
      </w:r>
    </w:p>
    <w:p w14:paraId="7C2B3CC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47E45">
        <w:rPr>
          <w:rFonts w:ascii="Times New Roman" w:hAnsi="Times New Roman" w:cs="Times New Roman"/>
          <w:sz w:val="28"/>
          <w:szCs w:val="28"/>
        </w:rPr>
        <w:t xml:space="preserve">Во исполнение пункта 5 поручения Президента Российской Федерации от 31.10.2018г № Пр-2014 </w:t>
      </w:r>
      <w:r w:rsidRPr="005256AE">
        <w:rPr>
          <w:rFonts w:ascii="Times New Roman" w:hAnsi="Times New Roman" w:cs="Times New Roman"/>
          <w:sz w:val="28"/>
          <w:szCs w:val="28"/>
        </w:rPr>
        <w:t>по результатам мониторинга цен на грузовые вагоны и услуги по их предоставлению для перевозки грузов в целях недопущения их необоснованного роста ФАС России отмечает почти двукратный рост цен в октябре 2018 года по отношению к началу 2017 года на услуги по обеспечению грузовых железнодорожных перевозок подвижным составом, рост цен на грузовые вагоны, а также наличие длинной цепочки посредников от производителей вагонов, лизинговых компаний до конечных потребителей услуг по предоставлению вагонов в составе услуги по перевозке грузов железнодорожным транспортом. ФАС России предписала меры по сокращению цепочки посредников, проводится анализ обстоятельств роста цен.</w:t>
      </w:r>
    </w:p>
    <w:p w14:paraId="21C8AAE4"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С учетом поручений Правительства Российской Федерации,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2A50B0A4" w14:textId="4F2430F3" w:rsidR="00047E45" w:rsidRPr="005256AE" w:rsidRDefault="00EC6D0D" w:rsidP="00EC6D0D">
      <w:pPr>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047E45" w:rsidRPr="005F07E7">
        <w:rPr>
          <w:rFonts w:ascii="Times New Roman" w:hAnsi="Times New Roman" w:cs="Times New Roman"/>
          <w:sz w:val="28"/>
          <w:szCs w:val="28"/>
        </w:rPr>
        <w:t xml:space="preserve"> сфере в</w:t>
      </w:r>
      <w:r w:rsidR="00047E45" w:rsidRPr="005256AE">
        <w:rPr>
          <w:rFonts w:ascii="Times New Roman" w:hAnsi="Times New Roman" w:cs="Times New Roman"/>
          <w:sz w:val="28"/>
          <w:szCs w:val="28"/>
        </w:rPr>
        <w:t>оздушн</w:t>
      </w:r>
      <w:r w:rsidR="00047E45" w:rsidRPr="005F07E7">
        <w:rPr>
          <w:rFonts w:ascii="Times New Roman" w:hAnsi="Times New Roman" w:cs="Times New Roman"/>
          <w:sz w:val="28"/>
          <w:szCs w:val="28"/>
        </w:rPr>
        <w:t>ого</w:t>
      </w:r>
      <w:r w:rsidR="00047E45" w:rsidRPr="005256AE">
        <w:rPr>
          <w:rFonts w:ascii="Times New Roman" w:hAnsi="Times New Roman" w:cs="Times New Roman"/>
          <w:sz w:val="28"/>
          <w:szCs w:val="28"/>
        </w:rPr>
        <w:t xml:space="preserve"> транспорт</w:t>
      </w:r>
      <w:r w:rsidR="00047E45" w:rsidRPr="005F07E7">
        <w:rPr>
          <w:rFonts w:ascii="Times New Roman" w:hAnsi="Times New Roman" w:cs="Times New Roman"/>
          <w:sz w:val="28"/>
          <w:szCs w:val="28"/>
        </w:rPr>
        <w:t>а в</w:t>
      </w:r>
      <w:r w:rsidR="00047E45" w:rsidRPr="005256AE">
        <w:rPr>
          <w:rFonts w:ascii="Times New Roman" w:hAnsi="Times New Roman" w:cs="Times New Roman"/>
          <w:sz w:val="28"/>
          <w:szCs w:val="28"/>
        </w:rPr>
        <w:t xml:space="preserve"> рамках проведенной работы по долгосрочному регулированию тарифов в соответствии с постановлением Правительства Российской Федерации от 23.04.2008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в 2018 г. ФАС России утверждены приказы от 20.04.2018 № 513/18 «Об утверждении тарифов (сборов) на услуги в аэропорту г. Саратов, оказываемые АО «СарАэро-Инвест» (тарифы на 5 лет) и от 14.05.2018 № 627/18 «Об утверждении тарифов (сборов) на услуги в аэропорту г. Калининград, оказываемые АО «Аэропорт Храброво» (на 4 года), что позволит авиаперевозчикам заблаговременно планировать свои расходы на аэропортовое обслуживание.</w:t>
      </w:r>
    </w:p>
    <w:p w14:paraId="749545D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приняты решения ФАС России по установлению предельных максимальных аэропортовых сборов и тарифов за обслуживание воздушных судов в отношении 22 аэропортов Российской Федерации.</w:t>
      </w:r>
    </w:p>
    <w:p w14:paraId="1DA42C48" w14:textId="77777777" w:rsidR="0072563D"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Продолжается работа по регулированию услуг, оказываемых организациями по наземному обслуживанию и топливно-заправочных комплексов осуществляющих свою деятельность в аэропортах на конкурентной основе.</w:t>
      </w:r>
    </w:p>
    <w:p w14:paraId="3E439967" w14:textId="77777777" w:rsidR="00302670" w:rsidRDefault="00302670" w:rsidP="00302670">
      <w:pPr>
        <w:spacing w:after="0"/>
        <w:ind w:firstLine="709"/>
        <w:jc w:val="both"/>
        <w:rPr>
          <w:rFonts w:ascii="Times New Roman" w:hAnsi="Times New Roman" w:cs="Times New Roman"/>
          <w:sz w:val="28"/>
          <w:szCs w:val="28"/>
        </w:rPr>
      </w:pPr>
    </w:p>
    <w:p w14:paraId="4F52FC35" w14:textId="77777777" w:rsidR="00F576A7" w:rsidRDefault="00F576A7" w:rsidP="0091064D">
      <w:pPr>
        <w:spacing w:after="0" w:line="240" w:lineRule="auto"/>
        <w:ind w:firstLine="709"/>
        <w:jc w:val="both"/>
        <w:rPr>
          <w:rFonts w:ascii="Times New Roman" w:hAnsi="Times New Roman" w:cs="Times New Roman"/>
          <w:b/>
          <w:sz w:val="28"/>
          <w:szCs w:val="28"/>
        </w:rPr>
      </w:pPr>
    </w:p>
    <w:p w14:paraId="4A09FB2F" w14:textId="77777777" w:rsidR="0032727A" w:rsidRPr="0032727A" w:rsidRDefault="0032727A" w:rsidP="0032727A"/>
    <w:p w14:paraId="7BF61FE6" w14:textId="22905F7A" w:rsidR="00883C8E" w:rsidRDefault="00883C8E" w:rsidP="00F6030C">
      <w:pPr>
        <w:pStyle w:val="1"/>
        <w:numPr>
          <w:ilvl w:val="1"/>
          <w:numId w:val="60"/>
        </w:numPr>
        <w:jc w:val="both"/>
      </w:pPr>
      <w:bookmarkStart w:id="31" w:name="_Toc7447933"/>
      <w:r w:rsidRPr="00542D4B">
        <w:t>Развитие законодательства и правоприменительной практики в сфере конкуренции в Российской Федерации</w:t>
      </w:r>
      <w:bookmarkEnd w:id="31"/>
    </w:p>
    <w:p w14:paraId="41AA30F8" w14:textId="77777777" w:rsidR="003C41BD" w:rsidRPr="003C41BD" w:rsidRDefault="003C41BD" w:rsidP="003C41BD">
      <w:pPr>
        <w:rPr>
          <w:lang w:eastAsia="ru-RU"/>
        </w:rPr>
      </w:pPr>
    </w:p>
    <w:p w14:paraId="73204F5A" w14:textId="77777777" w:rsidR="00D42AEE" w:rsidRPr="00D00E9D" w:rsidRDefault="00D42AEE" w:rsidP="00D00E9D">
      <w:pPr>
        <w:keepNext/>
        <w:keepLines/>
        <w:spacing w:before="40" w:after="0"/>
        <w:outlineLvl w:val="2"/>
        <w:rPr>
          <w:rFonts w:ascii="Times New Roman" w:eastAsiaTheme="majorEastAsia" w:hAnsi="Times New Roman" w:cs="Times New Roman"/>
          <w:vanish/>
          <w:sz w:val="28"/>
          <w:szCs w:val="24"/>
        </w:rPr>
      </w:pPr>
    </w:p>
    <w:p w14:paraId="090B21ED" w14:textId="77777777" w:rsidR="00725D80" w:rsidRPr="00725D80" w:rsidRDefault="00725D80" w:rsidP="00725D80">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32" w:name="_Toc1061865"/>
      <w:bookmarkStart w:id="33" w:name="_Toc1061981"/>
      <w:bookmarkStart w:id="34" w:name="_Toc1062103"/>
      <w:bookmarkStart w:id="35" w:name="_Toc1062216"/>
      <w:bookmarkStart w:id="36" w:name="_Toc2589709"/>
      <w:bookmarkStart w:id="37" w:name="_Toc2589842"/>
      <w:bookmarkStart w:id="38" w:name="_Toc2589981"/>
      <w:bookmarkStart w:id="39" w:name="_Toc3393175"/>
      <w:bookmarkStart w:id="40" w:name="_Toc3399184"/>
      <w:bookmarkStart w:id="41" w:name="_Toc3399334"/>
      <w:bookmarkStart w:id="42" w:name="_Toc3399482"/>
      <w:bookmarkStart w:id="43" w:name="_Toc7189739"/>
      <w:bookmarkStart w:id="44" w:name="_Toc7189969"/>
      <w:bookmarkStart w:id="45" w:name="_Toc7190323"/>
      <w:bookmarkStart w:id="46" w:name="_Toc7190774"/>
      <w:bookmarkStart w:id="47" w:name="_Toc7191504"/>
      <w:bookmarkStart w:id="48" w:name="_Toc7447129"/>
      <w:bookmarkStart w:id="49" w:name="_Toc744793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13BCBF25" w14:textId="77777777" w:rsidR="00725D80" w:rsidRPr="00725D80" w:rsidRDefault="00725D80" w:rsidP="00DA3F05">
      <w:pPr>
        <w:pStyle w:val="a5"/>
        <w:keepNext/>
        <w:keepLines/>
        <w:spacing w:after="0" w:line="240" w:lineRule="auto"/>
        <w:ind w:left="792"/>
        <w:contextualSpacing w:val="0"/>
        <w:jc w:val="both"/>
        <w:outlineLvl w:val="2"/>
        <w:rPr>
          <w:rFonts w:ascii="Times New Roman" w:eastAsia="Times New Roman" w:hAnsi="Times New Roman" w:cs="Times New Roman"/>
          <w:b/>
          <w:vanish/>
          <w:sz w:val="28"/>
          <w:szCs w:val="28"/>
          <w:lang w:eastAsia="ru-RU"/>
        </w:rPr>
      </w:pPr>
    </w:p>
    <w:p w14:paraId="3991258F" w14:textId="0B213361" w:rsidR="00883C8E" w:rsidRPr="00977266" w:rsidRDefault="00883C8E" w:rsidP="00DA3F05">
      <w:pPr>
        <w:pStyle w:val="3"/>
      </w:pPr>
      <w:bookmarkStart w:id="50" w:name="_Toc7447935"/>
      <w:r w:rsidRPr="004F3A4E">
        <w:t>Развитие законодательства в сфере конкуренции</w:t>
      </w:r>
      <w:bookmarkEnd w:id="50"/>
      <w:r w:rsidRPr="004F3A4E">
        <w:t xml:space="preserve"> </w:t>
      </w:r>
      <w:bookmarkStart w:id="51" w:name="_Toc6834318"/>
      <w:bookmarkStart w:id="52" w:name="_Toc6834605"/>
      <w:bookmarkStart w:id="53" w:name="_Toc6834808"/>
      <w:bookmarkEnd w:id="51"/>
      <w:bookmarkEnd w:id="52"/>
      <w:bookmarkEnd w:id="53"/>
    </w:p>
    <w:p w14:paraId="105AAE27" w14:textId="77777777" w:rsidR="00413EDD" w:rsidRDefault="00413EDD" w:rsidP="00C262F0">
      <w:pPr>
        <w:autoSpaceDE w:val="0"/>
        <w:autoSpaceDN w:val="0"/>
        <w:adjustRightInd w:val="0"/>
        <w:spacing w:after="0" w:line="240" w:lineRule="auto"/>
        <w:ind w:firstLine="540"/>
        <w:jc w:val="both"/>
        <w:rPr>
          <w:rFonts w:ascii="Times New Roman" w:hAnsi="Times New Roman"/>
          <w:b/>
          <w:bCs/>
          <w:i/>
          <w:sz w:val="28"/>
          <w:szCs w:val="28"/>
        </w:rPr>
      </w:pPr>
    </w:p>
    <w:p w14:paraId="3AA3F083" w14:textId="6A3160CF" w:rsidR="008055C6" w:rsidRPr="005C1740" w:rsidRDefault="008055C6" w:rsidP="00F6030C">
      <w:pPr>
        <w:pStyle w:val="a5"/>
        <w:numPr>
          <w:ilvl w:val="0"/>
          <w:numId w:val="53"/>
        </w:numPr>
        <w:spacing w:after="0" w:line="240" w:lineRule="auto"/>
        <w:ind w:left="0" w:firstLine="709"/>
        <w:jc w:val="both"/>
        <w:rPr>
          <w:rFonts w:ascii="Times New Roman" w:eastAsia="Times New Roman" w:hAnsi="Times New Roman"/>
          <w:sz w:val="28"/>
          <w:szCs w:val="28"/>
          <w:lang w:eastAsia="ru-RU"/>
        </w:rPr>
      </w:pPr>
      <w:r w:rsidRPr="005C1740">
        <w:rPr>
          <w:rFonts w:ascii="Times New Roman" w:eastAsia="Times New Roman" w:hAnsi="Times New Roman"/>
          <w:sz w:val="28"/>
          <w:szCs w:val="28"/>
          <w:lang w:eastAsia="ru-RU"/>
        </w:rPr>
        <w:t>21 декабря 2017 года Президентом России подписан Указ № 618 «Об основных направлениях государственной политики по развитию конкуренции».</w:t>
      </w:r>
    </w:p>
    <w:p w14:paraId="3E4E9E77" w14:textId="77777777" w:rsidR="008055C6" w:rsidRPr="005C3B1D" w:rsidRDefault="008055C6" w:rsidP="005C1740">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Положениями Указа утверждены ключевые цели и задачи политики по развитию конкуренции в России.</w:t>
      </w:r>
    </w:p>
    <w:p w14:paraId="69222301" w14:textId="77777777" w:rsidR="008055C6" w:rsidRPr="005C3B1D" w:rsidRDefault="008055C6" w:rsidP="008055C6">
      <w:pPr>
        <w:pStyle w:val="Textbody"/>
        <w:spacing w:after="0"/>
        <w:ind w:firstLine="709"/>
        <w:jc w:val="both"/>
        <w:rPr>
          <w:rFonts w:eastAsia="Times New Roman" w:cs="Times New Roman"/>
          <w:sz w:val="28"/>
          <w:szCs w:val="28"/>
          <w:lang w:eastAsia="ru-RU"/>
        </w:rPr>
      </w:pPr>
      <w:r w:rsidRPr="005C3B1D">
        <w:rPr>
          <w:rFonts w:cs="Times New Roman"/>
          <w:sz w:val="28"/>
          <w:szCs w:val="28"/>
        </w:rPr>
        <w:t>Подписание Президентом Росси</w:t>
      </w:r>
      <w:r>
        <w:rPr>
          <w:rFonts w:cs="Times New Roman"/>
          <w:sz w:val="28"/>
          <w:szCs w:val="28"/>
        </w:rPr>
        <w:t>и</w:t>
      </w:r>
      <w:r w:rsidRPr="005C3B1D">
        <w:rPr>
          <w:rFonts w:cs="Times New Roman"/>
          <w:sz w:val="28"/>
          <w:szCs w:val="28"/>
        </w:rPr>
        <w:t xml:space="preserve"> Указа </w:t>
      </w:r>
      <w:r>
        <w:rPr>
          <w:rFonts w:cs="Times New Roman"/>
          <w:sz w:val="28"/>
          <w:szCs w:val="28"/>
        </w:rPr>
        <w:t xml:space="preserve">- </w:t>
      </w:r>
      <w:r w:rsidRPr="005C3B1D">
        <w:rPr>
          <w:rFonts w:eastAsia="Times New Roman" w:cs="Times New Roman"/>
          <w:sz w:val="28"/>
          <w:szCs w:val="28"/>
          <w:lang w:eastAsia="ru-RU"/>
        </w:rPr>
        <w:t>это, по сути, новая веха не только антимонопольного регулирования</w:t>
      </w:r>
      <w:r>
        <w:rPr>
          <w:rFonts w:eastAsia="Times New Roman" w:cs="Times New Roman"/>
          <w:sz w:val="28"/>
          <w:szCs w:val="28"/>
          <w:lang w:eastAsia="ru-RU"/>
        </w:rPr>
        <w:t xml:space="preserve"> в России</w:t>
      </w:r>
      <w:r w:rsidRPr="005C3B1D">
        <w:rPr>
          <w:rFonts w:eastAsia="Times New Roman" w:cs="Times New Roman"/>
          <w:sz w:val="28"/>
          <w:szCs w:val="28"/>
          <w:lang w:eastAsia="ru-RU"/>
        </w:rPr>
        <w:t>, но и экономической политики государства в целом.</w:t>
      </w:r>
    </w:p>
    <w:p w14:paraId="5DA5CD28"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Указ Президента является прямым продолжением статей 8 и 34 Конституции</w:t>
      </w:r>
      <w:r>
        <w:rPr>
          <w:rFonts w:ascii="Times New Roman" w:eastAsia="Times New Roman" w:hAnsi="Times New Roman"/>
          <w:sz w:val="28"/>
          <w:szCs w:val="28"/>
          <w:lang w:eastAsia="ru-RU"/>
        </w:rPr>
        <w:t xml:space="preserve"> России, </w:t>
      </w:r>
      <w:r w:rsidRPr="005C3B1D">
        <w:rPr>
          <w:rFonts w:ascii="Times New Roman" w:hAnsi="Times New Roman"/>
          <w:sz w:val="28"/>
          <w:szCs w:val="28"/>
        </w:rPr>
        <w:t>гарантирую</w:t>
      </w:r>
      <w:r>
        <w:rPr>
          <w:rFonts w:ascii="Times New Roman" w:hAnsi="Times New Roman"/>
          <w:sz w:val="28"/>
          <w:szCs w:val="28"/>
        </w:rPr>
        <w:t>щих</w:t>
      </w:r>
      <w:r w:rsidRPr="005C3B1D">
        <w:rPr>
          <w:rFonts w:ascii="Times New Roman" w:hAnsi="Times New Roman"/>
          <w:sz w:val="28"/>
          <w:szCs w:val="28"/>
        </w:rPr>
        <w:t xml:space="preserve"> поддержк</w:t>
      </w:r>
      <w:r>
        <w:rPr>
          <w:rFonts w:ascii="Times New Roman" w:hAnsi="Times New Roman"/>
          <w:sz w:val="28"/>
          <w:szCs w:val="28"/>
        </w:rPr>
        <w:t>у</w:t>
      </w:r>
      <w:r w:rsidRPr="005C3B1D">
        <w:rPr>
          <w:rFonts w:ascii="Times New Roman" w:hAnsi="Times New Roman"/>
          <w:sz w:val="28"/>
          <w:szCs w:val="28"/>
        </w:rPr>
        <w:t xml:space="preserve"> конкуренции</w:t>
      </w:r>
      <w:r>
        <w:rPr>
          <w:rFonts w:ascii="Times New Roman" w:hAnsi="Times New Roman"/>
          <w:sz w:val="28"/>
          <w:szCs w:val="28"/>
        </w:rPr>
        <w:t xml:space="preserve"> и запрет </w:t>
      </w:r>
      <w:r w:rsidRPr="005C3B1D">
        <w:rPr>
          <w:rFonts w:ascii="Times New Roman" w:hAnsi="Times New Roman"/>
          <w:sz w:val="28"/>
          <w:szCs w:val="28"/>
        </w:rPr>
        <w:t>экономическ</w:t>
      </w:r>
      <w:r>
        <w:rPr>
          <w:rFonts w:ascii="Times New Roman" w:hAnsi="Times New Roman"/>
          <w:sz w:val="28"/>
          <w:szCs w:val="28"/>
        </w:rPr>
        <w:t>ой деятельности</w:t>
      </w:r>
      <w:r w:rsidRPr="005C3B1D">
        <w:rPr>
          <w:rFonts w:ascii="Times New Roman" w:hAnsi="Times New Roman"/>
          <w:sz w:val="28"/>
          <w:szCs w:val="28"/>
        </w:rPr>
        <w:t>, направленную на монополизацию и недобросовестную конкуренцию.</w:t>
      </w:r>
    </w:p>
    <w:p w14:paraId="3CBC51AC" w14:textId="77777777" w:rsidR="008055C6" w:rsidRPr="005C3B1D" w:rsidRDefault="008055C6" w:rsidP="008055C6">
      <w:pPr>
        <w:pStyle w:val="Standard"/>
        <w:ind w:firstLine="709"/>
        <w:jc w:val="both"/>
        <w:rPr>
          <w:rFonts w:cs="Times New Roman"/>
          <w:sz w:val="28"/>
          <w:szCs w:val="28"/>
        </w:rPr>
      </w:pPr>
      <w:r w:rsidRPr="005C3B1D">
        <w:rPr>
          <w:rFonts w:cs="Times New Roman"/>
          <w:sz w:val="28"/>
          <w:szCs w:val="28"/>
        </w:rPr>
        <w:t xml:space="preserve">Таким образом, конкуренция выступает признанной </w:t>
      </w:r>
      <w:r>
        <w:rPr>
          <w:rFonts w:cs="Times New Roman"/>
          <w:sz w:val="28"/>
          <w:szCs w:val="28"/>
        </w:rPr>
        <w:t xml:space="preserve">конституционной ценностью, </w:t>
      </w:r>
      <w:r w:rsidRPr="005C3B1D">
        <w:rPr>
          <w:rFonts w:cs="Times New Roman"/>
          <w:sz w:val="28"/>
          <w:szCs w:val="28"/>
        </w:rPr>
        <w:t>ключевой основой гражданско-правовых отношений, функционирования товарных рынков и рыночной экономики.</w:t>
      </w:r>
    </w:p>
    <w:p w14:paraId="1F95FAAB" w14:textId="77777777" w:rsidR="008055C6" w:rsidRPr="005C3B1D" w:rsidRDefault="008055C6" w:rsidP="008055C6">
      <w:pPr>
        <w:pStyle w:val="ConsPlusNormal0"/>
        <w:ind w:firstLine="709"/>
        <w:jc w:val="both"/>
        <w:rPr>
          <w:rFonts w:ascii="Times New Roman" w:hAnsi="Times New Roman" w:cs="Times New Roman"/>
          <w:sz w:val="28"/>
          <w:szCs w:val="28"/>
        </w:rPr>
      </w:pPr>
      <w:r w:rsidRPr="005C3B1D">
        <w:rPr>
          <w:rFonts w:ascii="Times New Roman" w:hAnsi="Times New Roman" w:cs="Times New Roman"/>
          <w:sz w:val="28"/>
          <w:szCs w:val="28"/>
        </w:rPr>
        <w:t>Развитие и обеспечение конкуренции это и вопросы национальной безопасности.</w:t>
      </w:r>
      <w:r>
        <w:rPr>
          <w:rFonts w:ascii="Times New Roman" w:hAnsi="Times New Roman" w:cs="Times New Roman"/>
          <w:sz w:val="28"/>
          <w:szCs w:val="28"/>
        </w:rPr>
        <w:t xml:space="preserve"> </w:t>
      </w:r>
      <w:r w:rsidRPr="005C3B1D">
        <w:rPr>
          <w:rFonts w:ascii="Times New Roman" w:hAnsi="Times New Roman" w:cs="Times New Roman"/>
          <w:sz w:val="28"/>
          <w:szCs w:val="28"/>
        </w:rPr>
        <w:t>Только в условиях обеспечения и развития добросовестной экономической конкуренции возможен экономический рост, отвечающий темпам изменений потребностей граждан, общества и государства.</w:t>
      </w:r>
    </w:p>
    <w:p w14:paraId="57BE3B06" w14:textId="77777777" w:rsidR="008055C6" w:rsidRPr="005C3B1D" w:rsidRDefault="008055C6" w:rsidP="008055C6">
      <w:pPr>
        <w:pStyle w:val="Standard"/>
        <w:ind w:firstLine="709"/>
        <w:jc w:val="both"/>
        <w:rPr>
          <w:rFonts w:eastAsia="Times New Roman" w:cs="Times New Roman"/>
          <w:sz w:val="28"/>
          <w:szCs w:val="28"/>
          <w:lang w:eastAsia="ru-RU"/>
        </w:rPr>
      </w:pPr>
      <w:r w:rsidRPr="005C3B1D">
        <w:rPr>
          <w:rFonts w:cs="Times New Roman"/>
          <w:sz w:val="28"/>
          <w:szCs w:val="28"/>
        </w:rPr>
        <w:t>Вот почему важно не только надлежащим образом обеспечить систему правового регулирования защиты конкуренции, но и необходимо на постоянной основе заниматься ее развитием.</w:t>
      </w:r>
    </w:p>
    <w:p w14:paraId="37EB4B44" w14:textId="77777777" w:rsidR="008055C6" w:rsidRPr="005C3B1D"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hAnsi="Times New Roman"/>
          <w:sz w:val="28"/>
          <w:szCs w:val="28"/>
        </w:rPr>
        <w:t xml:space="preserve">Указ Президента </w:t>
      </w:r>
      <w:r w:rsidRPr="005C3B1D">
        <w:rPr>
          <w:rFonts w:ascii="Times New Roman" w:eastAsia="Times New Roman" w:hAnsi="Times New Roman"/>
          <w:sz w:val="28"/>
          <w:szCs w:val="28"/>
          <w:lang w:eastAsia="ru-RU"/>
        </w:rPr>
        <w:t>это не только план мероприятий по развитию конкуренции на краткосрочную перспективу.</w:t>
      </w:r>
      <w:r>
        <w:rPr>
          <w:rFonts w:ascii="Times New Roman" w:eastAsia="Times New Roman" w:hAnsi="Times New Roman"/>
          <w:sz w:val="28"/>
          <w:szCs w:val="28"/>
          <w:lang w:eastAsia="ru-RU"/>
        </w:rPr>
        <w:t xml:space="preserve"> </w:t>
      </w:r>
      <w:r w:rsidRPr="005C3B1D">
        <w:rPr>
          <w:rFonts w:ascii="Times New Roman" w:eastAsia="Times New Roman" w:hAnsi="Times New Roman"/>
          <w:sz w:val="28"/>
          <w:szCs w:val="28"/>
          <w:lang w:eastAsia="ru-RU"/>
        </w:rPr>
        <w:t>Указ определяет базовые и ключевые элементы государственной политики.</w:t>
      </w:r>
    </w:p>
    <w:p w14:paraId="58B353BB"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 xml:space="preserve">Принципиально важным является положение Указа, определяющее, что </w:t>
      </w:r>
      <w:r w:rsidRPr="005C3B1D">
        <w:rPr>
          <w:rFonts w:ascii="Times New Roman" w:hAnsi="Times New Roman"/>
          <w:sz w:val="28"/>
          <w:szCs w:val="28"/>
        </w:rPr>
        <w:t>активное содействие развитию конкуренции в Российской Федерации является приоритетным направлением деятельности Президента Росси</w:t>
      </w:r>
      <w:r>
        <w:rPr>
          <w:rFonts w:ascii="Times New Roman" w:hAnsi="Times New Roman"/>
          <w:sz w:val="28"/>
          <w:szCs w:val="28"/>
        </w:rPr>
        <w:t>и</w:t>
      </w:r>
      <w:r w:rsidRPr="005C3B1D">
        <w:rPr>
          <w:rFonts w:ascii="Times New Roman" w:hAnsi="Times New Roman"/>
          <w:sz w:val="28"/>
          <w:szCs w:val="28"/>
        </w:rPr>
        <w:t>, Правительства России, иных органов государственной власти и органов местного самоуправления, а также считать недопустимым введение и (или) сохранение ограничений, создающих дискриминационные условия в отношении отдельных видов экономической деятельности, производства и оборота отдельных видов товаров, оказания отдельных видов услуг, за исключением случаев, предусмотренных федеральными законами, правовыми актами Президента России, правовыми актами Пр</w:t>
      </w:r>
      <w:r>
        <w:rPr>
          <w:rFonts w:ascii="Times New Roman" w:hAnsi="Times New Roman"/>
          <w:sz w:val="28"/>
          <w:szCs w:val="28"/>
        </w:rPr>
        <w:t>авительства России</w:t>
      </w:r>
      <w:r w:rsidRPr="005C3B1D">
        <w:rPr>
          <w:rFonts w:ascii="Times New Roman" w:hAnsi="Times New Roman"/>
          <w:sz w:val="28"/>
          <w:szCs w:val="28"/>
        </w:rPr>
        <w:t>.</w:t>
      </w:r>
    </w:p>
    <w:p w14:paraId="72A01994"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Установление такого базового принципа дает основани</w:t>
      </w:r>
      <w:r>
        <w:rPr>
          <w:rFonts w:ascii="Times New Roman" w:hAnsi="Times New Roman"/>
          <w:sz w:val="28"/>
          <w:szCs w:val="28"/>
        </w:rPr>
        <w:t xml:space="preserve">я для соответствующей оценки </w:t>
      </w:r>
      <w:r w:rsidRPr="005C3B1D">
        <w:rPr>
          <w:rFonts w:ascii="Times New Roman" w:hAnsi="Times New Roman"/>
          <w:sz w:val="28"/>
          <w:szCs w:val="28"/>
        </w:rPr>
        <w:t xml:space="preserve">деятельности </w:t>
      </w:r>
      <w:r>
        <w:rPr>
          <w:rFonts w:ascii="Times New Roman" w:hAnsi="Times New Roman"/>
          <w:sz w:val="28"/>
          <w:szCs w:val="28"/>
        </w:rPr>
        <w:t xml:space="preserve">органов власти </w:t>
      </w:r>
      <w:r w:rsidRPr="005C3B1D">
        <w:rPr>
          <w:rFonts w:ascii="Times New Roman" w:hAnsi="Times New Roman"/>
          <w:sz w:val="28"/>
          <w:szCs w:val="28"/>
        </w:rPr>
        <w:t>и принимаемых ими решений, в том числе нормативно-правовых актов, на предмет их соответствия целям, задачам и принципам конкурентной политики.</w:t>
      </w:r>
    </w:p>
    <w:p w14:paraId="03022B25"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Не соответствие этому базовому принципу может и должно расцениваться как прямое противоречие государственным интересам.</w:t>
      </w:r>
    </w:p>
    <w:p w14:paraId="053DDEF8"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Это постановка новых задач и перед Правительством России и перед Федеральной антимонопольной службой, четкое и прямое указание на то, что в экономической политике страны должно уделяться особое внимание не только вопросам защиты конкуренции, но, в первую очередь, ее развитию.</w:t>
      </w:r>
    </w:p>
    <w:p w14:paraId="319F903C" w14:textId="28936EA3"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Есть все основания говорить о том, что политика по развитию конкуренции, как часть государственной экономической политики, в настоящее время представляет собой комплекс мер, направленных на развитие конкуренции, как приоритетного направления деятельности государственных органов, включающей в себя как меры, направленные на защиту конкуренции, пресечение и недопущение монополистической деятельности, недобросовестной конкуренции и ограничение конкуренции со стороны органов власти, так и меры, направленные на обеспечение условий для развития конкуренции на товарных рынках.</w:t>
      </w:r>
    </w:p>
    <w:p w14:paraId="516D2AD9"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Не менее важно определение в пункте 2 Указа</w:t>
      </w:r>
      <w:r>
        <w:rPr>
          <w:rFonts w:ascii="Times New Roman" w:hAnsi="Times New Roman"/>
          <w:sz w:val="28"/>
          <w:szCs w:val="28"/>
        </w:rPr>
        <w:t xml:space="preserve"> </w:t>
      </w:r>
      <w:r w:rsidRPr="005C3B1D">
        <w:rPr>
          <w:rFonts w:ascii="Times New Roman" w:hAnsi="Times New Roman"/>
          <w:sz w:val="28"/>
          <w:szCs w:val="28"/>
        </w:rPr>
        <w:t>целей совершенствования государственной политики по развитию конкуренции, к которым отнесены:</w:t>
      </w:r>
    </w:p>
    <w:p w14:paraId="6411A859"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а) повышение удовлетворенности потребителей за счет расширения ассортимента товаров, работ, услуг, повышения их качества и снижения цен;</w:t>
      </w:r>
    </w:p>
    <w:p w14:paraId="14745ADE" w14:textId="77777777" w:rsidR="008055C6"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б) повышение экономической эффективности и конкурентоспособности хозяйствующих субъектов</w:t>
      </w:r>
      <w:r>
        <w:rPr>
          <w:rFonts w:ascii="Times New Roman" w:hAnsi="Times New Roman"/>
          <w:sz w:val="28"/>
          <w:szCs w:val="28"/>
          <w:lang w:eastAsia="ru-RU"/>
        </w:rPr>
        <w:t>;</w:t>
      </w:r>
    </w:p>
    <w:p w14:paraId="4ECEA5C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68BAA6CC"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Значение конкуренции в ее экономическом, правовом и идеологическом аспекте заключается в том, что обеспечение добросовестных конкурентных условий товарных рынков и равенства конкурентной борьбы хозяйствующих субъектов имеет смысл и значение тогда, когда могут быть удовлетворены интересы всех сторон участников таких отношений: потребителей, экономических субъектов и государства.</w:t>
      </w:r>
    </w:p>
    <w:p w14:paraId="5B9DC25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Именно взаимосвязь и баланс таких интересов обеспечивается добросовестной экономической конкуренций, и при этом обеспечивает и саму возможность существования и развития конкуренции.</w:t>
      </w:r>
    </w:p>
    <w:p w14:paraId="4E35627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Такой своеобразный «замкнутый круг» лежит в основе поступательного экономического развития рыночных отношений.</w:t>
      </w:r>
    </w:p>
    <w:p w14:paraId="710F476B"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Реализация описанных принципов и целей государственной политики по развитию конкуренции, определенных в Указе, должна стать общей задачей всех органов власти и институтов гражданского общества.</w:t>
      </w:r>
    </w:p>
    <w:p w14:paraId="7233CC0E" w14:textId="77777777" w:rsidR="008055C6"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Утвержденный Указом на 2018-2020 годы Национальный план развития конкуренции это лишь первый этап мероприятий, предусматривающих реализацию основ государственной политики по развитию конкуренции для всех отраслей экономики России, дающих возможность выхода ее на новый качественно лучший уровень, повышения и развития экономической безопасности и конкурентоспособности страны на международном уровне, но в первую очередь, повышения качества жизни российских граждан.</w:t>
      </w:r>
    </w:p>
    <w:p w14:paraId="48281C69" w14:textId="77777777" w:rsidR="008055C6" w:rsidRPr="005C3B1D"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Консолидация деятельности всех участников экономических отношений должна стать залогом эффективности государственной п</w:t>
      </w:r>
      <w:r>
        <w:rPr>
          <w:rFonts w:ascii="Times New Roman" w:eastAsia="Times New Roman" w:hAnsi="Times New Roman"/>
          <w:sz w:val="28"/>
          <w:szCs w:val="28"/>
          <w:lang w:eastAsia="ru-RU"/>
        </w:rPr>
        <w:t>олитики по развитию конкуренции и экономического роста в современных условиях.</w:t>
      </w:r>
    </w:p>
    <w:p w14:paraId="14CF30BF" w14:textId="77777777" w:rsidR="00413EDD" w:rsidRDefault="00413EDD" w:rsidP="00C262F0">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5B443784" w14:textId="4299977F" w:rsidR="001471DB" w:rsidRPr="007014DB" w:rsidRDefault="005C1740" w:rsidP="00F6030C">
      <w:pPr>
        <w:pStyle w:val="ab"/>
        <w:numPr>
          <w:ilvl w:val="0"/>
          <w:numId w:val="53"/>
        </w:numPr>
        <w:spacing w:before="0" w:beforeAutospacing="0" w:after="0"/>
        <w:ind w:left="0" w:firstLine="709"/>
        <w:jc w:val="both"/>
        <w:rPr>
          <w:sz w:val="28"/>
          <w:szCs w:val="28"/>
        </w:rPr>
      </w:pPr>
      <w:r>
        <w:rPr>
          <w:sz w:val="28"/>
          <w:szCs w:val="28"/>
        </w:rPr>
        <w:t xml:space="preserve">05 июля </w:t>
      </w:r>
      <w:r w:rsidR="001471DB" w:rsidRPr="007014DB">
        <w:rPr>
          <w:sz w:val="28"/>
          <w:szCs w:val="28"/>
        </w:rPr>
        <w:t>2018</w:t>
      </w:r>
      <w:r>
        <w:rPr>
          <w:sz w:val="28"/>
          <w:szCs w:val="28"/>
        </w:rPr>
        <w:t xml:space="preserve"> года</w:t>
      </w:r>
      <w:r w:rsidR="001471DB" w:rsidRPr="007014DB">
        <w:rPr>
          <w:sz w:val="28"/>
          <w:szCs w:val="28"/>
        </w:rPr>
        <w:t xml:space="preserve"> принято постановление Правительства Российской Федерации № 787, разработчиком которого являлась ФАС России.</w:t>
      </w:r>
    </w:p>
    <w:p w14:paraId="6312A58F" w14:textId="77777777" w:rsidR="001471DB" w:rsidRPr="007014DB" w:rsidRDefault="001471DB" w:rsidP="001471DB">
      <w:pPr>
        <w:pStyle w:val="ab"/>
        <w:spacing w:before="0" w:beforeAutospacing="0" w:after="0"/>
        <w:ind w:firstLine="709"/>
        <w:jc w:val="both"/>
        <w:rPr>
          <w:sz w:val="28"/>
          <w:szCs w:val="28"/>
        </w:rPr>
      </w:pPr>
      <w:r w:rsidRPr="007014DB">
        <w:rPr>
          <w:sz w:val="28"/>
          <w:szCs w:val="28"/>
        </w:rPr>
        <w:t>Указанным постановлением утверждены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а также Правила недискриминационного доступа к услугам по передаче тепловой энергии, теплоносителя.</w:t>
      </w:r>
    </w:p>
    <w:p w14:paraId="5D663A49"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Постановление предусматривает упрощение действующей процедуры подключения к системам теплоснабжения, повышение открытости и прозрачности формирования платы за подключение, урегулирование отношений со смежными организациями.</w:t>
      </w:r>
    </w:p>
    <w:p w14:paraId="35D6EC78"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целях урегулирования правовых пробелов и упрощения правоприменительной практики постановлением усовершенствованы понятия «точки подключения» и «точки присоединения» объектов капитального строительства к системе теплоснабжения.</w:t>
      </w:r>
    </w:p>
    <w:p w14:paraId="113A8B4B"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этого, документ предусматривает возможность пересмотра органами регулирования платы за подключение к системе теплоснабжения, установленной в индивидуальном порядке, в случае, например, изменения подключаемой нагрузки или точек подключения.</w:t>
      </w:r>
    </w:p>
    <w:p w14:paraId="0DFE6B9B" w14:textId="77777777" w:rsidR="001471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Таким образом, благодаря принятию этого постановления, участники рынка смогут преодолеть возникающие проблемы в процессе подключения к системам теплоснабжения, такие как долгое ожидание технологического присоединения, отсутствие гарантии результата, избыточные требования документов.</w:t>
      </w:r>
    </w:p>
    <w:p w14:paraId="7472C4FD" w14:textId="77777777" w:rsidR="000E6D3C" w:rsidRPr="007014DB" w:rsidRDefault="000E6D3C" w:rsidP="001471DB">
      <w:pPr>
        <w:spacing w:after="0" w:line="240" w:lineRule="auto"/>
        <w:ind w:firstLine="709"/>
        <w:jc w:val="both"/>
        <w:rPr>
          <w:rFonts w:ascii="Times New Roman" w:eastAsia="Times New Roman" w:hAnsi="Times New Roman" w:cs="Times New Roman"/>
          <w:sz w:val="28"/>
          <w:szCs w:val="28"/>
          <w:lang w:eastAsia="ru-RU"/>
        </w:rPr>
      </w:pPr>
    </w:p>
    <w:p w14:paraId="71FC1A23" w14:textId="3396B6E0" w:rsidR="000E6D3C" w:rsidRPr="008055C6" w:rsidRDefault="000E6D3C" w:rsidP="00F6030C">
      <w:pPr>
        <w:pStyle w:val="a5"/>
        <w:numPr>
          <w:ilvl w:val="0"/>
          <w:numId w:val="53"/>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В 2018 году в полном объеме заработал механизм административного обжалования в сфере строительства. Застройщики вправе обжаловать в ФАС России незаконные действия органов власти и сетевых организаций в сферах строительства при прохождении процедур исчерпывающих перечней.</w:t>
      </w:r>
    </w:p>
    <w:p w14:paraId="6F83B735" w14:textId="77777777" w:rsidR="000E6D3C" w:rsidRPr="000E6D3C" w:rsidRDefault="000E6D3C" w:rsidP="000E6D3C">
      <w:pPr>
        <w:spacing w:after="0"/>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2016 и 2017 году действия органов власти можно было обжаловать лишь по двум основаниям: </w:t>
      </w:r>
    </w:p>
    <w:p w14:paraId="2B186E42" w14:textId="77777777" w:rsidR="000E6D3C" w:rsidRPr="000E6D3C" w:rsidRDefault="000E6D3C" w:rsidP="000E6D3C">
      <w:pPr>
        <w:spacing w:after="0"/>
        <w:ind w:firstLine="709"/>
        <w:jc w:val="both"/>
        <w:rPr>
          <w:rFonts w:ascii="Times New Roman" w:hAnsi="Times New Roman" w:cs="Times New Roman"/>
          <w:sz w:val="28"/>
          <w:szCs w:val="28"/>
        </w:rPr>
      </w:pPr>
      <w:r w:rsidRPr="000E6D3C">
        <w:rPr>
          <w:rFonts w:ascii="Times New Roman" w:hAnsi="Times New Roman" w:cs="Times New Roman"/>
          <w:sz w:val="28"/>
          <w:szCs w:val="28"/>
        </w:rPr>
        <w:t>нарушение установленных сроков осуществления процедуры, включенной в исчерпывающий перечень процедур в соответствующей сфере строительства;</w:t>
      </w:r>
    </w:p>
    <w:p w14:paraId="634A9325" w14:textId="77777777" w:rsidR="000E6D3C" w:rsidRPr="000E6D3C" w:rsidRDefault="000E6D3C" w:rsidP="000E6D3C">
      <w:pPr>
        <w:spacing w:after="0"/>
        <w:ind w:firstLine="709"/>
        <w:jc w:val="both"/>
        <w:rPr>
          <w:rFonts w:ascii="Times New Roman" w:hAnsi="Times New Roman" w:cs="Times New Roman"/>
          <w:sz w:val="28"/>
          <w:szCs w:val="28"/>
        </w:rPr>
      </w:pPr>
      <w:r w:rsidRPr="000E6D3C">
        <w:rPr>
          <w:rFonts w:ascii="Times New Roman" w:hAnsi="Times New Roman" w:cs="Times New Roman"/>
          <w:sz w:val="28"/>
          <w:szCs w:val="28"/>
        </w:rPr>
        <w:t>предъявление требования осуществить процедуру, не включенную в исчерпывающий перечень процедур в соответствующей сфере строительства.</w:t>
      </w:r>
    </w:p>
    <w:p w14:paraId="3EFBE2FC" w14:textId="77777777" w:rsidR="000E6D3C" w:rsidRPr="000E6D3C" w:rsidRDefault="000E6D3C" w:rsidP="000E6D3C">
      <w:pPr>
        <w:spacing w:after="0"/>
        <w:ind w:firstLine="709"/>
        <w:jc w:val="both"/>
        <w:rPr>
          <w:rFonts w:ascii="Times New Roman" w:hAnsi="Times New Roman" w:cs="Times New Roman"/>
          <w:sz w:val="28"/>
          <w:szCs w:val="28"/>
        </w:rPr>
      </w:pPr>
      <w:r w:rsidRPr="000E6D3C">
        <w:rPr>
          <w:rFonts w:ascii="Times New Roman" w:hAnsi="Times New Roman" w:cs="Times New Roman"/>
          <w:sz w:val="28"/>
          <w:szCs w:val="28"/>
        </w:rPr>
        <w:t>С целью расширения перечня оснований для обжалования актов и (или) действий (бездействия) органов власти в сфере градостроительных отношений в части незаконного отказа в приеме документов и предъявления не предусмотренных федеральными законами, иными нормативными правовыми актами требований к документам и заявителю, ФАС России в соответствии с пунктом 57 плана законопроектной деятельности Правительства Российской Федерации на 2017 год, утвержденного распоряжением Правительства Российской Федерации от 26.12.2016 № 2831-р, разработан проект федерального закона «О внесении изменений в статью 18¹ Федерального закона «О защите конкуренции». В соответствии с Федеральным законом от 29.07.2018 № 259-ФЗ «О внесении изменений в статью 18.1 Федерального закона «О защите конкуренции» указанные изменения вступили в законную силу.</w:t>
      </w:r>
    </w:p>
    <w:p w14:paraId="603FB0A4" w14:textId="77777777" w:rsidR="000E6D3C" w:rsidRPr="000E6D3C" w:rsidRDefault="000E6D3C" w:rsidP="000E6D3C">
      <w:pPr>
        <w:spacing w:after="0"/>
        <w:ind w:firstLine="709"/>
        <w:jc w:val="both"/>
        <w:rPr>
          <w:rFonts w:ascii="Times New Roman" w:hAnsi="Times New Roman" w:cs="Times New Roman"/>
          <w:sz w:val="28"/>
          <w:szCs w:val="28"/>
        </w:rPr>
      </w:pPr>
      <w:r w:rsidRPr="000E6D3C">
        <w:rPr>
          <w:rFonts w:ascii="Times New Roman" w:hAnsi="Times New Roman" w:cs="Times New Roman"/>
          <w:sz w:val="28"/>
          <w:szCs w:val="28"/>
        </w:rPr>
        <w:t>Таким образом, теперь действия органов власти и сетевых организаций можно обжаловать по четырем основаниям, в части:</w:t>
      </w:r>
    </w:p>
    <w:p w14:paraId="06686E48" w14:textId="77777777" w:rsidR="000E6D3C" w:rsidRPr="000E6D3C" w:rsidRDefault="000E6D3C" w:rsidP="000E6D3C">
      <w:pPr>
        <w:spacing w:after="0"/>
        <w:ind w:firstLine="709"/>
        <w:jc w:val="both"/>
        <w:rPr>
          <w:rFonts w:ascii="Times New Roman" w:hAnsi="Times New Roman" w:cs="Times New Roman"/>
          <w:sz w:val="28"/>
          <w:szCs w:val="28"/>
        </w:rPr>
      </w:pPr>
      <w:r w:rsidRPr="000E6D3C">
        <w:rPr>
          <w:rFonts w:ascii="Times New Roman" w:hAnsi="Times New Roman" w:cs="Times New Roman"/>
          <w:sz w:val="28"/>
          <w:szCs w:val="28"/>
        </w:rPr>
        <w:t>а) нарушения установленных сроков осуществления процедуры, включенной в исчерпывающий перечень процедур в соответствующей сфере строительства;</w:t>
      </w:r>
    </w:p>
    <w:p w14:paraId="6F5B6671" w14:textId="77777777" w:rsidR="000E6D3C" w:rsidRPr="000E6D3C" w:rsidRDefault="000E6D3C" w:rsidP="000E6D3C">
      <w:pPr>
        <w:spacing w:after="0"/>
        <w:ind w:firstLine="709"/>
        <w:jc w:val="both"/>
        <w:rPr>
          <w:rFonts w:ascii="Times New Roman" w:hAnsi="Times New Roman" w:cs="Times New Roman"/>
          <w:sz w:val="28"/>
          <w:szCs w:val="28"/>
        </w:rPr>
      </w:pPr>
      <w:r w:rsidRPr="000E6D3C">
        <w:rPr>
          <w:rFonts w:ascii="Times New Roman" w:hAnsi="Times New Roman" w:cs="Times New Roman"/>
          <w:sz w:val="28"/>
          <w:szCs w:val="28"/>
        </w:rPr>
        <w:t>б) предъявления требования осуществить процедуру, не включенную в исчерпывающий перечень процедур в соответствующей сфере строительства;</w:t>
      </w:r>
    </w:p>
    <w:p w14:paraId="2075F649" w14:textId="77777777" w:rsidR="000E6D3C" w:rsidRPr="000E6D3C" w:rsidRDefault="000E6D3C" w:rsidP="000E6D3C">
      <w:pPr>
        <w:spacing w:after="0"/>
        <w:ind w:firstLine="709"/>
        <w:jc w:val="both"/>
        <w:rPr>
          <w:rFonts w:ascii="Times New Roman" w:hAnsi="Times New Roman" w:cs="Times New Roman"/>
          <w:sz w:val="28"/>
          <w:szCs w:val="28"/>
        </w:rPr>
      </w:pPr>
      <w:r w:rsidRPr="000E6D3C">
        <w:rPr>
          <w:rFonts w:ascii="Times New Roman" w:hAnsi="Times New Roman" w:cs="Times New Roman"/>
          <w:sz w:val="28"/>
          <w:szCs w:val="28"/>
        </w:rPr>
        <w:t>в) незаконного отказа в приеме документов, заявлений;</w:t>
      </w:r>
    </w:p>
    <w:p w14:paraId="68762476" w14:textId="77777777" w:rsidR="000E6D3C" w:rsidRPr="000E6D3C" w:rsidRDefault="000E6D3C" w:rsidP="000E6D3C">
      <w:pPr>
        <w:spacing w:after="0"/>
        <w:ind w:firstLine="709"/>
        <w:jc w:val="both"/>
        <w:rPr>
          <w:rFonts w:ascii="Times New Roman" w:hAnsi="Times New Roman" w:cs="Times New Roman"/>
          <w:sz w:val="28"/>
          <w:szCs w:val="28"/>
        </w:rPr>
      </w:pPr>
      <w:r w:rsidRPr="000E6D3C">
        <w:rPr>
          <w:rFonts w:ascii="Times New Roman" w:hAnsi="Times New Roman" w:cs="Times New Roman"/>
          <w:sz w:val="28"/>
          <w:szCs w:val="28"/>
        </w:rPr>
        <w:t>г) предъявления к лицу, подавшему жалобу, документам 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если предусмотренная указанными актами процедура включена в исчерпывающий перечень процедур в соответствующей сфере строительства;</w:t>
      </w:r>
    </w:p>
    <w:p w14:paraId="1761A9D2" w14:textId="77777777" w:rsidR="000E6D3C" w:rsidRPr="000E6D3C" w:rsidRDefault="000E6D3C" w:rsidP="000E6D3C">
      <w:pPr>
        <w:spacing w:after="0"/>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За 2016-2018 гг. в территориальные органы ФАС России и ФАС России поступило 120 жалоб на действия (бездействие) органов власти и сетевых организаций. Наибольшее количество жалоб было подано в Крымское УФАС России (12 жалоб), Чувашское УФАС России (8 жалоб), Московское областное УФАС России (6 жалоб) и ФАС России (7 жалоб). </w:t>
      </w:r>
    </w:p>
    <w:p w14:paraId="18BCA6CC" w14:textId="77777777" w:rsidR="00DA71E7" w:rsidRDefault="000E6D3C" w:rsidP="000E6D3C">
      <w:pPr>
        <w:spacing w:after="0"/>
        <w:ind w:firstLine="709"/>
        <w:jc w:val="both"/>
        <w:rPr>
          <w:rFonts w:ascii="Times New Roman" w:hAnsi="Times New Roman" w:cs="Times New Roman"/>
          <w:sz w:val="28"/>
          <w:szCs w:val="28"/>
        </w:rPr>
      </w:pPr>
      <w:r w:rsidRPr="000E6D3C">
        <w:rPr>
          <w:rFonts w:ascii="Times New Roman" w:hAnsi="Times New Roman" w:cs="Times New Roman"/>
          <w:sz w:val="28"/>
          <w:szCs w:val="28"/>
        </w:rPr>
        <w:t>Ежегодно количество жалоб, признанных обоснованными, увеличивается. Кроме того, формируется положительная судебная практика по решениям и предписаниям антимонопольных органов.</w:t>
      </w:r>
    </w:p>
    <w:p w14:paraId="18579ADB" w14:textId="77777777" w:rsidR="0072228E" w:rsidRDefault="0072228E" w:rsidP="0072228E">
      <w:pPr>
        <w:spacing w:after="0" w:line="240" w:lineRule="auto"/>
        <w:ind w:firstLine="709"/>
        <w:jc w:val="both"/>
        <w:rPr>
          <w:rFonts w:ascii="Times New Roman" w:hAnsi="Times New Roman" w:cs="Times New Roman"/>
          <w:sz w:val="28"/>
          <w:szCs w:val="28"/>
        </w:rPr>
      </w:pPr>
    </w:p>
    <w:p w14:paraId="20963628" w14:textId="7F498553" w:rsidR="003C41BD" w:rsidRPr="003C41BD" w:rsidRDefault="003C41BD" w:rsidP="00F6030C">
      <w:pPr>
        <w:pStyle w:val="a5"/>
        <w:numPr>
          <w:ilvl w:val="0"/>
          <w:numId w:val="53"/>
        </w:numPr>
        <w:spacing w:after="0"/>
        <w:ind w:left="0" w:firstLine="709"/>
        <w:jc w:val="both"/>
        <w:rPr>
          <w:rFonts w:ascii="Times New Roman" w:hAnsi="Times New Roman" w:cs="Times New Roman"/>
          <w:sz w:val="28"/>
          <w:szCs w:val="28"/>
        </w:rPr>
      </w:pPr>
      <w:r w:rsidRPr="003C41BD">
        <w:rPr>
          <w:rFonts w:ascii="Times New Roman" w:hAnsi="Times New Roman" w:cs="Times New Roman"/>
          <w:sz w:val="28"/>
          <w:szCs w:val="28"/>
        </w:rPr>
        <w:t xml:space="preserve">ФАС России разработаны и утверждены постановлением Правительства Российской Федерации от 22.12.2018 № 1640 Правила недискриминационного доступа на товарный рынок услуг общедоступной почтовой связи. </w:t>
      </w:r>
    </w:p>
    <w:p w14:paraId="3DA86C8E" w14:textId="77777777" w:rsidR="003C41BD" w:rsidRPr="00FE16EA" w:rsidRDefault="003C41BD" w:rsidP="003C41BD">
      <w:pPr>
        <w:spacing w:after="0"/>
        <w:ind w:firstLine="709"/>
        <w:jc w:val="both"/>
        <w:rPr>
          <w:rFonts w:ascii="Times New Roman" w:hAnsi="Times New Roman" w:cs="Times New Roman"/>
          <w:sz w:val="28"/>
          <w:szCs w:val="28"/>
        </w:rPr>
      </w:pPr>
      <w:r w:rsidRPr="00FE16EA">
        <w:rPr>
          <w:rFonts w:ascii="Times New Roman" w:hAnsi="Times New Roman" w:cs="Times New Roman"/>
          <w:sz w:val="28"/>
          <w:szCs w:val="28"/>
        </w:rPr>
        <w:t>Указанные Правила направлены на развитие эффективной и добросовестной конкуренции на рынках услуг почтовой связи на территории Российской Федерации, а также способствуют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01595D21" w14:textId="77777777" w:rsidR="003C41BD" w:rsidRPr="006F6BFB" w:rsidRDefault="003C41BD" w:rsidP="003C41BD">
      <w:pPr>
        <w:spacing w:after="0"/>
        <w:ind w:firstLine="709"/>
        <w:jc w:val="both"/>
        <w:rPr>
          <w:rFonts w:ascii="Times New Roman" w:hAnsi="Times New Roman" w:cs="Times New Roman"/>
          <w:sz w:val="28"/>
          <w:szCs w:val="28"/>
        </w:rPr>
      </w:pPr>
      <w:r w:rsidRPr="006F6BFB">
        <w:rPr>
          <w:rFonts w:ascii="Times New Roman" w:hAnsi="Times New Roman" w:cs="Times New Roman"/>
          <w:sz w:val="28"/>
          <w:szCs w:val="28"/>
        </w:rPr>
        <w:t>В связи с особенностями территориально-географического расселения в Российской Федерации инфраструктура почтовой связи, находящаяся в собственности и (или) распоряжении одного юридического лица, является уникальной и создание дублирующей инфраструктуры является нецелесообразным. Вместе с этим, доступ к инфраструктуре является необходимым условием для ведения деятельности в области почтовой связи на территории Российской Федерации, то есть, для развития конкуренции на рынках услуг почтовой связи. Услуги почтовой связи являются социально ориентированными услугами, в связи с чем издержки на создание дублирующей инфраструктуры не покроются доходами от оказания услуг почтовой связи.</w:t>
      </w:r>
    </w:p>
    <w:p w14:paraId="5C5670C9" w14:textId="77777777" w:rsidR="003C41BD" w:rsidRPr="006F6BFB" w:rsidRDefault="003C41BD" w:rsidP="003C41BD">
      <w:pPr>
        <w:spacing w:after="0"/>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устанавливаю</w:t>
      </w:r>
      <w:r w:rsidRPr="006F6BFB">
        <w:rPr>
          <w:rFonts w:ascii="Times New Roman" w:hAnsi="Times New Roman" w:cs="Times New Roman"/>
          <w:sz w:val="28"/>
          <w:szCs w:val="28"/>
        </w:rPr>
        <w:t>т положения, направленные на предотвращение нарушения антимонопольного законодательства и содержит положения, касающиеся субъектов естественных монополий, осуществляющих свою деятельность в сфере общедоступной почтовой связи.</w:t>
      </w:r>
    </w:p>
    <w:p w14:paraId="7B31B8E4" w14:textId="77777777" w:rsidR="003C41BD" w:rsidRPr="006F6BFB" w:rsidRDefault="003C41BD" w:rsidP="003C41BD">
      <w:pPr>
        <w:spacing w:after="0"/>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определяю</w:t>
      </w:r>
      <w:r w:rsidRPr="006F6BFB">
        <w:rPr>
          <w:rFonts w:ascii="Times New Roman" w:hAnsi="Times New Roman" w:cs="Times New Roman"/>
          <w:sz w:val="28"/>
          <w:szCs w:val="28"/>
        </w:rPr>
        <w:t>т обязательные для всех субъектов естественных монополий в сфере почтовой связи условия обеспечения недискриминационного доступа операторов почтовой связи к услугам, оказываемым с использованием инфраструктуры общедоступной почтовой связи – производственно–технологическому комплексу, включающему в себя здания, сооружения, нежилые помещения, устройства и оборудование, почтовые маршруты, необходимые при оказании услуг общедоступной почтовой связи.</w:t>
      </w:r>
    </w:p>
    <w:p w14:paraId="3D8F0162" w14:textId="77777777" w:rsidR="003C41BD" w:rsidRPr="006F6BFB" w:rsidRDefault="003C41BD" w:rsidP="003C41BD">
      <w:pPr>
        <w:spacing w:after="0"/>
        <w:ind w:firstLine="709"/>
        <w:jc w:val="both"/>
        <w:rPr>
          <w:rFonts w:ascii="Times New Roman" w:hAnsi="Times New Roman" w:cs="Times New Roman"/>
          <w:sz w:val="28"/>
          <w:szCs w:val="28"/>
        </w:rPr>
      </w:pPr>
      <w:r w:rsidRPr="006F6BFB">
        <w:rPr>
          <w:rFonts w:ascii="Times New Roman" w:hAnsi="Times New Roman" w:cs="Times New Roman"/>
          <w:sz w:val="28"/>
          <w:szCs w:val="28"/>
        </w:rPr>
        <w:t>На субъектов естественных монополий в сфере почтовой связи Правил</w:t>
      </w:r>
      <w:r>
        <w:rPr>
          <w:rFonts w:ascii="Times New Roman" w:hAnsi="Times New Roman" w:cs="Times New Roman"/>
          <w:sz w:val="28"/>
          <w:szCs w:val="28"/>
        </w:rPr>
        <w:t>ами</w:t>
      </w:r>
      <w:r w:rsidRPr="006F6BFB">
        <w:rPr>
          <w:rFonts w:ascii="Times New Roman" w:hAnsi="Times New Roman" w:cs="Times New Roman"/>
          <w:sz w:val="28"/>
          <w:szCs w:val="28"/>
        </w:rPr>
        <w:t xml:space="preserve"> возлагаются обязанности:</w:t>
      </w:r>
    </w:p>
    <w:p w14:paraId="3234DE80" w14:textId="77777777" w:rsidR="003C41BD" w:rsidRPr="006F6BFB" w:rsidRDefault="003C41BD" w:rsidP="003C41BD">
      <w:pPr>
        <w:spacing w:after="0"/>
        <w:ind w:firstLine="709"/>
        <w:jc w:val="both"/>
        <w:rPr>
          <w:rFonts w:ascii="Times New Roman" w:hAnsi="Times New Roman" w:cs="Times New Roman"/>
          <w:sz w:val="28"/>
          <w:szCs w:val="28"/>
        </w:rPr>
      </w:pPr>
      <w:r w:rsidRPr="006F6BFB">
        <w:rPr>
          <w:rFonts w:ascii="Times New Roman" w:hAnsi="Times New Roman" w:cs="Times New Roman"/>
          <w:sz w:val="28"/>
          <w:szCs w:val="28"/>
        </w:rPr>
        <w:t>- обеспечить равные условия доступа к услугам, оказываемым с использованием объектов инфраструктуры для операторов почтовой связи, получающих такой доступ в сопоставимых условиях;</w:t>
      </w:r>
    </w:p>
    <w:p w14:paraId="31489C6F" w14:textId="77777777" w:rsidR="003C41BD" w:rsidRPr="006F6BFB" w:rsidRDefault="003C41BD" w:rsidP="003C41BD">
      <w:pPr>
        <w:spacing w:after="0"/>
        <w:ind w:firstLine="709"/>
        <w:jc w:val="both"/>
        <w:rPr>
          <w:rFonts w:ascii="Times New Roman" w:hAnsi="Times New Roman" w:cs="Times New Roman"/>
          <w:sz w:val="28"/>
          <w:szCs w:val="28"/>
        </w:rPr>
      </w:pPr>
      <w:r w:rsidRPr="006F6BFB">
        <w:rPr>
          <w:rFonts w:ascii="Times New Roman" w:hAnsi="Times New Roman" w:cs="Times New Roman"/>
          <w:sz w:val="28"/>
          <w:szCs w:val="28"/>
        </w:rPr>
        <w:t>- раскрывать информацию об услугах, оказываемым с использованием объектов инфраструктуры, об объектах инфраструктуры, нормах и требованиях, цене и порядке расчетов.</w:t>
      </w:r>
    </w:p>
    <w:p w14:paraId="49A61030" w14:textId="77777777" w:rsidR="003C41BD" w:rsidRPr="006F6BFB" w:rsidRDefault="003C41BD" w:rsidP="003C41BD">
      <w:pPr>
        <w:spacing w:after="0"/>
        <w:ind w:firstLine="709"/>
        <w:jc w:val="both"/>
        <w:rPr>
          <w:rFonts w:ascii="Times New Roman" w:hAnsi="Times New Roman" w:cs="Times New Roman"/>
          <w:sz w:val="28"/>
          <w:szCs w:val="28"/>
        </w:rPr>
      </w:pPr>
      <w:r w:rsidRPr="006F6BFB">
        <w:rPr>
          <w:rFonts w:ascii="Times New Roman" w:hAnsi="Times New Roman" w:cs="Times New Roman"/>
          <w:sz w:val="28"/>
          <w:szCs w:val="28"/>
        </w:rPr>
        <w:t>Перечень конкретных объектов инфраструктуры, к которым предоставляется доступ (к услугам, оказываемым с их использованием), составляется субъектом естественной монополии в сфере общедоступной почтовой связи с учетом технологической или экономической возможности предоставить такой доступ.</w:t>
      </w:r>
    </w:p>
    <w:p w14:paraId="02C7CE51" w14:textId="77777777" w:rsidR="003C41BD" w:rsidRDefault="003C41BD" w:rsidP="003C41BD">
      <w:pPr>
        <w:spacing w:after="0"/>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w:t>
      </w:r>
      <w:r w:rsidRPr="006F6BFB">
        <w:rPr>
          <w:rFonts w:ascii="Times New Roman" w:hAnsi="Times New Roman" w:cs="Times New Roman"/>
          <w:sz w:val="28"/>
          <w:szCs w:val="28"/>
        </w:rPr>
        <w:t xml:space="preserve"> создает необходимые условия для развития эффективной и добросовестной конкуренции на рынках услуг почтовой связи на территории Российской Федерации, способствует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4CE70A2C" w14:textId="77777777" w:rsidR="005C1740" w:rsidRDefault="005C1740" w:rsidP="003C41BD">
      <w:pPr>
        <w:pStyle w:val="a5"/>
        <w:spacing w:after="0" w:line="240" w:lineRule="auto"/>
        <w:ind w:left="709"/>
        <w:jc w:val="both"/>
        <w:rPr>
          <w:rFonts w:ascii="Times New Roman" w:hAnsi="Times New Roman" w:cs="Times New Roman"/>
          <w:sz w:val="28"/>
          <w:szCs w:val="28"/>
        </w:rPr>
      </w:pPr>
    </w:p>
    <w:p w14:paraId="73DC869E" w14:textId="613ECF79" w:rsidR="0072228E" w:rsidRPr="008055C6" w:rsidRDefault="008055C6" w:rsidP="00F6030C">
      <w:pPr>
        <w:pStyle w:val="a5"/>
        <w:numPr>
          <w:ilvl w:val="0"/>
          <w:numId w:val="53"/>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Совершенствование</w:t>
      </w:r>
      <w:r w:rsidR="0072228E" w:rsidRPr="008055C6">
        <w:rPr>
          <w:rFonts w:ascii="Times New Roman" w:hAnsi="Times New Roman" w:cs="Times New Roman"/>
          <w:sz w:val="28"/>
          <w:szCs w:val="28"/>
        </w:rPr>
        <w:t xml:space="preserve"> законодательства о концессионных соглашениях</w:t>
      </w:r>
      <w:r w:rsidR="003C41BD">
        <w:rPr>
          <w:rFonts w:ascii="Times New Roman" w:hAnsi="Times New Roman" w:cs="Times New Roman"/>
          <w:sz w:val="28"/>
          <w:szCs w:val="28"/>
        </w:rPr>
        <w:t>.</w:t>
      </w:r>
    </w:p>
    <w:p w14:paraId="27BCB1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настоящее время в условиях ограниченности бюджетных ассигнований в развитие государственной (муниципальной) инфраструктуры и социально значимых для общества и государства объектов, передача которых в собственность бизнеса нецелесообразна и (или) напрямую запрещена законом, механизм заключения концессионных соглашений приобретает новое значение и должен стать одним из основных механизмов решения острых социальных задач.</w:t>
      </w:r>
    </w:p>
    <w:p w14:paraId="0CEC80C5"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необходимо отметить, что перечень объектов, в отношении которых могут быть заключены концессионные соглашения, постоянно расширяется. Так, в 2018 году Федеральным законом от 29.06.2018 № 173-ФЗ «О внесении изменений в отдельные законодательные акты Российской Федерации» перечень объектов концессионных соглашений был дополнен объектами информационных технологий, что в существенной степени расширило границы применения механизма концессионных соглашений, и в дальнейшем создаст предпосылки для создания новых рынков, роста и развития существующих.</w:t>
      </w:r>
    </w:p>
    <w:p w14:paraId="6814CC72"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 внесением указанных поправок в законодательство о концессиях была создана возможность для передачи государственных информационных систем частным инвесторам с целью их развития, модернизации и поддержания работы таких систем в надлежащем состоянии.</w:t>
      </w:r>
    </w:p>
    <w:p w14:paraId="00F42B2D"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несмотря на всю привлекательность данного способа создания и использования объектов государственной (муниципальной) собственности заключение и реализация концессионных соглашений вызывает ряд вопросов при применении данного механизма.</w:t>
      </w:r>
    </w:p>
    <w:p w14:paraId="32291732"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Так, одним из первоначальных вопросов, возникающих перед органом власти – собственником имущества (существующего или планируемого к созданию), при принятии решения о применении механизма концессии при реализации отдельного проекта, это наличие достаточного объема бюджетных денежных средств для реализации такого проекта с заданными параметрами.</w:t>
      </w:r>
    </w:p>
    <w:p w14:paraId="6D6B9555"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Согласно положениям Федерального закона от 21.07.2005№ 115-ФЗ «О концессионных соглашениях» (далее – Закон о концессиях) концессионное соглашение может содержать не противоречащие законодательству Российской Федерации условия, в том числе обязательства органа власти по финансированию части расходов на создание и (или) реконструкцию объекта концессионного соглашения.</w:t>
      </w:r>
    </w:p>
    <w:p w14:paraId="534CBDC0"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в практике ФАС России встречаются случаи, когда поводом для заключения концессионных соглашений является возможность уклонения органа власти от проведения конкурентных процедур, предусмотренных законодательством о контрактной системе, и объединение в рамках одного договора нескольких видов работ. При этом финансирование проекта осуществляется в полном объеме за счет бюджетных средств на протяжении длительного периода времени, хотя законодательством о концессионных соглашениях в настоящее время предусмотрено только частичное софинансирование проекта концедентом.</w:t>
      </w:r>
    </w:p>
    <w:p w14:paraId="42184524"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Одним из аргументов органов власти – собственников имущества в пользу установления возможности осуществления в рамках концессионных соглашений возможности финансирования проекта в полном объеме за счет бюджетных средств является невозможность извлечения прибыли в рамках реализации проекта концессионером и покрытия его расходов за счет эксплуатации и использования объекта соглашения.</w:t>
      </w:r>
    </w:p>
    <w:p w14:paraId="3821607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простое установление возможности возмещения расходов концессионера за счет бюджетных средств в полном объеме приводит к смешению механизмов государственных закупок и концессионных соглашений.</w:t>
      </w:r>
    </w:p>
    <w:p w14:paraId="737EFF76"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В связи с указанными опасениями ФАС России выступила с предложениями по внесению изменений в Закон о концессиях в части необходимости установления возможности реализации механизма «инфраструктурной ипотеки». При этом ФАС России предлагается разграничить случаи применения законодательства о контрактной системе и Закона о концессиях путем установления зависимости между началом реализации проекта и началом финансирования указанного проекта из бюджета, предусмотрев в рамках Закона о концессиях осуществление возмещения затрат концессионера на создание (реконструкцию) объекта концессионного соглашения только на этапе эксплуатации такого объекта по истечении определенного периода времени, в случае, если финансовая модель проекта не предполагает иных источников дохода концессионера для возврата его инвестиций в проект. </w:t>
      </w:r>
    </w:p>
    <w:p w14:paraId="6A1B353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Кроме того, по мнению ФАС России, повсеместное использование механизма «инфраструктурной ипотеки» стоит ограничить применением его только в отношении крупномасштабных проектов создания инфраструктурных объектов федерального значения стоимостью более 10 млрд. рублей, имеющих низкую инвестиционную привлекательность.</w:t>
      </w:r>
    </w:p>
    <w:p w14:paraId="30D5A027"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Вторым и не менее важным вопросом, подлежащим решению собственником имущества при выборе механизма реализации отдельного социально значимого проекта с привлечением субъектов частного предпринимательства, является понятность процедуры заключения соглашения с использованием того или иного механизма.</w:t>
      </w:r>
    </w:p>
    <w:p w14:paraId="0E6DC6D9"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И если механизм заключения государственных контрактов в большинстве случаев имеет длительную историю, прозрачные процедуру и критерии отбора поставщика работ и услуг, а также в большинстве случаев у обоих сторон такого контракта имеется опыт участия в таких закупочных процедурах, то механизм заключения концессионных соглашений до настоящего времени не приобрел повсеместного характера и применяется значительно реже. </w:t>
      </w:r>
    </w:p>
    <w:p w14:paraId="24721BA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у органов власти, равно как и заинтересованных в участии в проектах инвесторов, возникают вопросы, связанные с организацией проведения конкурсных процедур, а также с заключением концессионных соглашений в инициативном порядке на основании предложений инвесторов.</w:t>
      </w:r>
    </w:p>
    <w:p w14:paraId="489C48B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Кроме того, механизм заключения концессионных соглашений, по мнению ФАС России, в настоящее время является в недостаточной степени прозрачным и позволяет концедентам предъявлять к участникам конкурсного отбора необоснованные ограничивающие конкуренцию требования в целях заключения концессионного соглашения по итогам конкурса с определенным лицом. </w:t>
      </w:r>
    </w:p>
    <w:p w14:paraId="2E9F376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Данные проблемы объясняются отсутствием в настоящее время в Законе о концессиях исчерпывающего перечня требований к участникам торгов на право заключения концессионного соглашения, понятных, экономически целесообразных, администрируемых критериев конкурса и их коэффициентов значимости, возможности проведения аукционов, когда основным критерием выбора концессионера является объем финансирования проекта из внебюджетных источников. </w:t>
      </w:r>
    </w:p>
    <w:p w14:paraId="2D1E36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Более того, проведение конкурсов на право заключения концессионных соглашений осуществляется в «бумажной» форме, что дополнительно затрудняет участие в конкурсных процедурах заинтересованных лиц в связи с территориальной удаленностью отдельных субъектов Российской Федерации.</w:t>
      </w:r>
    </w:p>
    <w:p w14:paraId="7B17E7CB"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Указанные факторы в значительной степени снижают прозрачность процедуры заключения концессионного соглашения и, соответственно, повышают риск обжалования результатов конкурсных процедур.</w:t>
      </w:r>
    </w:p>
    <w:p w14:paraId="5F24536D"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Учитывая изложенное, решение указанных проблем и совершенствование процедуры проведения торгов на право заключения концессионных соглашений ФАС России планируется осуществить в рамках реализации мероприятия по внесению изменений в Закон о концессиях в части установления электронной формы проведения торгов, предусмотренного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утвержденным распоряжением Правительства Российской Федерации от 16.08.2018 № 1697-р.</w:t>
      </w:r>
    </w:p>
    <w:p w14:paraId="0FA1600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По мнению ФАС России, внесение необходимых изменений в Закон о концессиях предотвратит распространение негативной практики правоприменения и будет способствовать расширению круга участников торгов.</w:t>
      </w:r>
    </w:p>
    <w:p w14:paraId="3CEDC7C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2019 году ФАС России планируется продолжить работу в сфере совершенствования концессионного законодательства по созданию прозрачного, понятного конкурентного механизма существования партнерских отношений органов власти и бизнеса в отношении объектов государственной (муниципальной) собственности.</w:t>
      </w:r>
    </w:p>
    <w:p w14:paraId="09170CD2" w14:textId="77777777" w:rsidR="0072228E" w:rsidRDefault="0072228E" w:rsidP="000E6D3C">
      <w:pPr>
        <w:spacing w:after="0"/>
        <w:ind w:firstLine="709"/>
        <w:jc w:val="both"/>
        <w:rPr>
          <w:rFonts w:ascii="Times New Roman" w:hAnsi="Times New Roman" w:cs="Times New Roman"/>
          <w:sz w:val="28"/>
          <w:szCs w:val="28"/>
        </w:rPr>
      </w:pPr>
    </w:p>
    <w:p w14:paraId="284D146F" w14:textId="77777777" w:rsidR="008055C6" w:rsidRPr="000E6D3C" w:rsidRDefault="008055C6" w:rsidP="000E6D3C">
      <w:pPr>
        <w:spacing w:after="0"/>
        <w:ind w:firstLine="709"/>
        <w:jc w:val="both"/>
        <w:rPr>
          <w:rFonts w:ascii="Times New Roman" w:hAnsi="Times New Roman" w:cs="Times New Roman"/>
          <w:sz w:val="28"/>
          <w:szCs w:val="28"/>
        </w:rPr>
      </w:pPr>
    </w:p>
    <w:p w14:paraId="545385BE" w14:textId="77777777" w:rsidR="00DA71E7" w:rsidRPr="004F3A4E" w:rsidRDefault="00DA71E7" w:rsidP="004F3A4E">
      <w:pPr>
        <w:spacing w:after="0" w:line="240" w:lineRule="auto"/>
        <w:jc w:val="both"/>
        <w:rPr>
          <w:rFonts w:ascii="Times New Roman" w:hAnsi="Times New Roman" w:cs="Times New Roman"/>
          <w:vanish/>
          <w:sz w:val="28"/>
          <w:szCs w:val="28"/>
        </w:rPr>
      </w:pPr>
    </w:p>
    <w:p w14:paraId="6DE2608C" w14:textId="77777777" w:rsidR="00725D80" w:rsidRPr="00725D80" w:rsidRDefault="00725D80" w:rsidP="00725D80">
      <w:pPr>
        <w:pStyle w:val="a5"/>
        <w:keepNext/>
        <w:keepLines/>
        <w:numPr>
          <w:ilvl w:val="0"/>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54" w:name="_Toc7190776"/>
      <w:bookmarkStart w:id="55" w:name="_Toc7191506"/>
      <w:bookmarkStart w:id="56" w:name="_Toc7447131"/>
      <w:bookmarkStart w:id="57" w:name="_Toc7447936"/>
      <w:bookmarkEnd w:id="54"/>
      <w:bookmarkEnd w:id="55"/>
      <w:bookmarkEnd w:id="56"/>
      <w:bookmarkEnd w:id="57"/>
    </w:p>
    <w:p w14:paraId="08C84C41" w14:textId="77777777" w:rsidR="00725D80" w:rsidRPr="00725D80" w:rsidRDefault="00725D80" w:rsidP="00725D80">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58" w:name="_Toc7190777"/>
      <w:bookmarkStart w:id="59" w:name="_Toc7191507"/>
      <w:bookmarkStart w:id="60" w:name="_Toc7447132"/>
      <w:bookmarkStart w:id="61" w:name="_Toc7447937"/>
      <w:bookmarkEnd w:id="58"/>
      <w:bookmarkEnd w:id="59"/>
      <w:bookmarkEnd w:id="60"/>
      <w:bookmarkEnd w:id="61"/>
    </w:p>
    <w:p w14:paraId="1CB6A133" w14:textId="77777777" w:rsidR="00725D80" w:rsidRPr="00725D80" w:rsidRDefault="00725D80" w:rsidP="00725D80">
      <w:pPr>
        <w:pStyle w:val="a5"/>
        <w:keepNext/>
        <w:keepLines/>
        <w:numPr>
          <w:ilvl w:val="2"/>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62" w:name="_Toc7190778"/>
      <w:bookmarkStart w:id="63" w:name="_Toc7191508"/>
      <w:bookmarkStart w:id="64" w:name="_Toc7447133"/>
      <w:bookmarkStart w:id="65" w:name="_Toc7447938"/>
      <w:bookmarkEnd w:id="62"/>
      <w:bookmarkEnd w:id="63"/>
      <w:bookmarkEnd w:id="64"/>
      <w:bookmarkEnd w:id="65"/>
    </w:p>
    <w:p w14:paraId="233E9F5E" w14:textId="38F7FD21" w:rsidR="004B46A4" w:rsidRPr="00542D4B" w:rsidRDefault="00883C8E" w:rsidP="00DA3F05">
      <w:pPr>
        <w:pStyle w:val="3"/>
      </w:pPr>
      <w:bookmarkStart w:id="66" w:name="_Toc7447939"/>
      <w:r w:rsidRPr="00587AB9">
        <w:t>Развитие</w:t>
      </w:r>
      <w:r w:rsidRPr="00542D4B">
        <w:t xml:space="preserve"> биржевой торговли</w:t>
      </w:r>
      <w:bookmarkEnd w:id="66"/>
      <w:r w:rsidRPr="00542D4B">
        <w:t xml:space="preserve"> </w:t>
      </w:r>
      <w:bookmarkStart w:id="67" w:name="_Toc6834319"/>
      <w:bookmarkStart w:id="68" w:name="_Toc6834606"/>
      <w:bookmarkStart w:id="69" w:name="_Toc6834809"/>
      <w:bookmarkEnd w:id="67"/>
      <w:bookmarkEnd w:id="68"/>
      <w:bookmarkEnd w:id="69"/>
    </w:p>
    <w:p w14:paraId="3474AEB8" w14:textId="77777777" w:rsidR="004B46A4" w:rsidRPr="00647DE6" w:rsidRDefault="004B46A4" w:rsidP="00647DE6">
      <w:pPr>
        <w:spacing w:after="0" w:line="240" w:lineRule="auto"/>
        <w:ind w:firstLine="709"/>
        <w:jc w:val="both"/>
        <w:rPr>
          <w:rFonts w:ascii="Times New Roman" w:hAnsi="Times New Roman" w:cs="Times New Roman"/>
          <w:sz w:val="28"/>
          <w:szCs w:val="28"/>
        </w:rPr>
      </w:pPr>
    </w:p>
    <w:p w14:paraId="7B5F8CF3" w14:textId="113C4438" w:rsidR="00647DE6" w:rsidRPr="00647DE6" w:rsidRDefault="00647DE6" w:rsidP="002D25A7">
      <w:pPr>
        <w:spacing w:after="0" w:line="240" w:lineRule="auto"/>
        <w:ind w:firstLine="709"/>
        <w:jc w:val="both"/>
        <w:rPr>
          <w:rFonts w:ascii="Times New Roman" w:hAnsi="Times New Roman" w:cs="Times New Roman"/>
          <w:sz w:val="28"/>
          <w:szCs w:val="28"/>
        </w:rPr>
      </w:pPr>
      <w:r w:rsidRPr="00647DE6">
        <w:rPr>
          <w:rFonts w:ascii="Times New Roman" w:hAnsi="Times New Roman" w:cs="Times New Roman"/>
          <w:sz w:val="28"/>
          <w:szCs w:val="28"/>
        </w:rPr>
        <w:t xml:space="preserve">В соответствии с Указом </w:t>
      </w:r>
      <w:r w:rsidR="00885800">
        <w:rPr>
          <w:rFonts w:ascii="Times New Roman" w:hAnsi="Times New Roman" w:cs="Times New Roman"/>
          <w:sz w:val="28"/>
          <w:szCs w:val="28"/>
        </w:rPr>
        <w:t>№ 618</w:t>
      </w:r>
      <w:r w:rsidRPr="00647DE6">
        <w:rPr>
          <w:rFonts w:ascii="Times New Roman" w:hAnsi="Times New Roman" w:cs="Times New Roman"/>
          <w:sz w:val="28"/>
          <w:szCs w:val="28"/>
        </w:rPr>
        <w:t xml:space="preserve"> одним из основополагающих принципов государственной политики по развитию конкуренции в Российской Федерации является развитие биржевой торговли.</w:t>
      </w:r>
    </w:p>
    <w:p w14:paraId="1BAF4AC1" w14:textId="5CB87A89" w:rsidR="00647DE6" w:rsidRPr="00647DE6" w:rsidRDefault="00647DE6" w:rsidP="002D25A7">
      <w:pPr>
        <w:spacing w:after="0" w:line="240" w:lineRule="auto"/>
        <w:ind w:firstLine="709"/>
        <w:jc w:val="both"/>
        <w:rPr>
          <w:rFonts w:ascii="Times New Roman" w:hAnsi="Times New Roman" w:cs="Times New Roman"/>
          <w:sz w:val="28"/>
          <w:szCs w:val="28"/>
        </w:rPr>
      </w:pPr>
      <w:r w:rsidRPr="00647DE6">
        <w:rPr>
          <w:rFonts w:ascii="Times New Roman" w:hAnsi="Times New Roman" w:cs="Times New Roman"/>
          <w:sz w:val="28"/>
          <w:szCs w:val="28"/>
        </w:rPr>
        <w:t xml:space="preserve">В этой связи, </w:t>
      </w:r>
      <w:r w:rsidR="0025356A">
        <w:rPr>
          <w:rFonts w:ascii="Times New Roman" w:hAnsi="Times New Roman" w:cs="Times New Roman"/>
          <w:sz w:val="28"/>
          <w:szCs w:val="28"/>
        </w:rPr>
        <w:t>ФАС</w:t>
      </w:r>
      <w:r w:rsidRPr="00647DE6">
        <w:rPr>
          <w:rFonts w:ascii="Times New Roman" w:hAnsi="Times New Roman" w:cs="Times New Roman"/>
          <w:sz w:val="28"/>
          <w:szCs w:val="28"/>
        </w:rPr>
        <w:t xml:space="preserve"> России в 2018 году выступила с предложением стимулировать развитие биржевой торговли с помощью налоговых и таможенных преференций. </w:t>
      </w:r>
    </w:p>
    <w:p w14:paraId="6AE1110D" w14:textId="08E4BE96"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Согласно Национальному плану, принятому Указом № 618</w:t>
      </w:r>
      <w:r>
        <w:rPr>
          <w:rFonts w:eastAsiaTheme="minorHAnsi"/>
          <w:sz w:val="28"/>
          <w:szCs w:val="28"/>
          <w:lang w:eastAsia="en-US"/>
        </w:rPr>
        <w:t>,</w:t>
      </w:r>
      <w:r w:rsidRPr="002D25A7">
        <w:rPr>
          <w:rFonts w:eastAsiaTheme="minorHAnsi"/>
          <w:sz w:val="28"/>
          <w:szCs w:val="28"/>
          <w:lang w:eastAsia="en-US"/>
        </w:rPr>
        <w:t xml:space="preserve"> основными направлениями конкурентной политики, согласно данному документу, в Российской Федерации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 а также развитие рыночных механизмов ценообразования путем развития организованных торгов нефтью на экспорт и формирование эталона (бенчмарк) на российскую нефть, развитие срочного биржевого рынка на нефтепродукты.</w:t>
      </w:r>
    </w:p>
    <w:p w14:paraId="5758043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целом, представляется, что развитие биржевых торгов и механизма прозрачного ценообразования позволит обеспечить формирование справедливой рыночной цены на товары, возможность хеджирования валютных рисков, а также возможность осуществления долгосрочного финансового планирования для хозяйствующих субъектов. </w:t>
      </w:r>
    </w:p>
    <w:p w14:paraId="66A608B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0AA86B49"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нефтью и нефтепродуктами</w:t>
      </w:r>
    </w:p>
    <w:p w14:paraId="7A28821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 Кроме того, формируются репрезентативные рыночные индикаторы цен биржевого и внебиржевого сегментов рынка. </w:t>
      </w:r>
    </w:p>
    <w:p w14:paraId="7F13C3D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целях усовершенствования биржевых торгов и реализации части 5 статьи 6 Закона о защите конкуренции» ФАС России в 2017 году был разработан и в 2018 году подписан совместно с Минэнерго России приказ ФАС России и Минэнерго России </w:t>
      </w:r>
    </w:p>
    <w:p w14:paraId="344DB38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 января 2015 года № 3/15/3», предусматривающий изменения в части дополнения сделок, которые не учитываются при определении соответствия объемов минимальной величине продаваемых на бирже нефтепродуктов, а также отдельных категорий товаров, выработанных из нефти и газа, сделками, заключенными внутри группы лиц хозяйствующего субъекта, занимающего доминирующее положение, а также между хозяйствующими субъектами, занимающими доминирующее положение и являющимися производителями соответствующих видов нефтепродуктов.</w:t>
      </w:r>
    </w:p>
    <w:p w14:paraId="23EDFFF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результате указанных изменений новшеством также стал рост нормативов биржевых продаж по бензинам с 10% до 15% (от объема производства), а дизельного топлива - с 5% до 7,5% (ранее нефтяные компании, занимающие доминирующее положение на рынке, с целью формирования ликвидного биржевого рынка должны были продавать на бирже 10% от производимых бензинов).</w:t>
      </w:r>
    </w:p>
    <w:p w14:paraId="7C81751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Данные изменения позволят удовлетворить спрос независимых участников рынка на моторное топливо, сбалансировать спрос и предложение и, как следствие, будут способствовать стабилизации цен на оптовом рынке нефтепродуктов.</w:t>
      </w:r>
    </w:p>
    <w:p w14:paraId="0D76668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Следует также отметить роль работы Биржевого комитета по нефти и нефтепродуктам, в рамках которого на регулярной основе велась работа, в том числе по проекту экспортного бенчмарка. </w:t>
      </w:r>
    </w:p>
    <w:p w14:paraId="1247005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Важным шагом в развитии международного сотрудничества в области биржевой торговли на рынке нефти и газа стало подписание 23 января 2018 года меморандума о взаимопонимании между СПбМТСБ и Шанхайской нефтегазовой биржей в области развития биржевой торговли.</w:t>
      </w:r>
    </w:p>
    <w:p w14:paraId="48E3BF4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 начала 2018 года была отмечена положительная динамика биржевых торгов на рынке нефти. Уже в январе 2018 года были увеличены поставки отечественного бензина за рубеж более чем в полтора раза, или на 56% по сравнению с декабрем 2017 года.</w:t>
      </w:r>
    </w:p>
    <w:p w14:paraId="642EB65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Примечательно, что одним из наиболее значимых факторов сдерживания роста цен на топливо в июне – сентябре 2018 года стала биржевая торговля. Биржевые котировки были примерно на 10% ниже NetBack за счет поставок на рынок дополнительных объемов топлива (+3% к аналогичному периоду 2017 года), возможность которых вытекала из добровольных обязательств нефтяных компаний по 4-х сторонним соглашениям. </w:t>
      </w:r>
    </w:p>
    <w:p w14:paraId="6F1587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При этом в 2018 году было отмечено снижение цены на бирже ниже цен сопоставимых зарубежных рынков на 10-15 %, что происходило за счет того, что нефтяные компании торговали на бирже в объемах, достаточных для удовлетворения платежеспособного спроса.</w:t>
      </w:r>
    </w:p>
    <w:p w14:paraId="2803363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новелл 2018 года в области биржевой торговли топливом следует отметить инициативу ФАС России с предложением авиаперевозчикам покупать топливо через биржевые торги для снижения затрат и страхования от волатильности нефтяных котировок.</w:t>
      </w:r>
    </w:p>
    <w:p w14:paraId="1E44B12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запущены биржевые торги поставочными (фьючерсными) контрактами на нефтепродукты на ст. Аллагуват.</w:t>
      </w:r>
    </w:p>
    <w:p w14:paraId="4C4C193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данным АО «СПбМТСБ» в 2018 году по сравнению с 2017 годом объем торгов нефтепродуктами, а также отдельными категориями товаров, выработанных из нефти и газа, увеличился на 6,7%, объем реализации сжиженных углеводородных газов – на 46,1%.</w:t>
      </w:r>
    </w:p>
    <w:p w14:paraId="1E6FAE0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целом состояние рынка топлива на бирже за 2018 год можно оценить, как устойчивое, чему способствовала достаточность предложения топлива и на биржевых торгах и во внебиржевом сегменте, а также созданные значительные запасы топлива по дизелю и по бензинам, которые превысили на 20-30% запасы, существовавшие на период 2017 года.</w:t>
      </w:r>
    </w:p>
    <w:p w14:paraId="3D74A0C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E48E8C1"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газом</w:t>
      </w:r>
    </w:p>
    <w:p w14:paraId="0E1614A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Ожидаемым результатом от развития конкуренции на рынке газоснабжения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w:t>
      </w:r>
    </w:p>
    <w:p w14:paraId="0021EFC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состоянию на 24 декабря 2018 года общий объем проданного на биржевых торгах газа достиг отметки 60,4 млрд кубометров газа, а количество заключенных договоров – 26 482 единиц (за весь период торгов с 24.10.2014).</w:t>
      </w:r>
    </w:p>
    <w:p w14:paraId="30F975B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Общий объем проданного газа на биржевых торгах с поставкой </w:t>
      </w:r>
    </w:p>
    <w:p w14:paraId="6D26036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следующий месяц» составил 53,42 млрд кубометров (за весь период торгов), а количество покупателей увеличилось с 16 (максимальное значение в декабре 2014 г.) до 67 (максимальное значение в августе 2018 г.).</w:t>
      </w:r>
    </w:p>
    <w:p w14:paraId="665DCD2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На рынке биржевой торговли газом в 2018 важным новшеством стало достижение договоренности между ФАС России и Минэнерго об увеличении квоты «Газпрома» на продажу газа на бирже до 35 млрд куб. м в год, что в два раза превышает прежнюю квоту. </w:t>
      </w:r>
    </w:p>
    <w:p w14:paraId="379339B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Однако, в целом, биржевая торговля газом остается слабо востребованной в сравнении с другими биржевыми рынками. Основным продавцом газа на бирже СПбМТСБ является «Газпром», чьи продажи не должны превышать объем продаж независимых производителей газа. Тем не менее, независимые производители все больше сокращают свои продажи.</w:t>
      </w:r>
    </w:p>
    <w:p w14:paraId="261ADDD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ФАС России предполагает, что увеличение квоты «Газпрома» на продажу газа на бирже даст возможность Российской Федерации выйти на ликвидный параметр торгов.</w:t>
      </w:r>
    </w:p>
    <w:p w14:paraId="6FBCE38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C70D5BB"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угля</w:t>
      </w:r>
    </w:p>
    <w:p w14:paraId="4FC4492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целях создания условий для эффективного функционирования рынка угля и (или) угольной продукции проводится систематическая работа по развитию возможностей использования внебиржевых индикаторов цен угля и (или) угольной продукции для формирования начальной (максимальной) цены при проведении закупочных процедур, контролю соблюдения антимонопольного законодательства и тарифного регулирования, созданию механизмов, необходимых для реализации угля и (или) угольной продукции на бирже, в 2017 году был создан подкомитет по углю Биржевого комитета ФАС России (далее – Подкомитет). </w:t>
      </w:r>
    </w:p>
    <w:p w14:paraId="3837AF1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в рамках Подкомитета была проведена работа по ряду направлений.</w:t>
      </w:r>
    </w:p>
    <w:p w14:paraId="4B45EA1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 была доработана Методика формирования внебиржевых индикаторов цен угля в части формирования индикаторов цен угля на тонну условного топлива при поставках на внутренний рынок Российской Федерации, разрабатывается Методика формирования внебиржевых индикаторов цен угля в части формирования индикаторов цен угля на тонну условного топлива при поставках на экспорт и прорабатывается вопрос формирования и публикации индексов цен по маркам угля по поставкам на экспорт, а также вопрос о применении внебиржевых индикаторов цен на уголь при осуществлении тарифного регулирования, при формировании начальных закупочных цен для государственных нужд.</w:t>
      </w:r>
    </w:p>
    <w:p w14:paraId="5432462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 октября 2018 года на сайте АО «СПбМТСБ» на регулярной основе публикуются территориальные индексы цен по маркам угля на тонну условного топлива. </w:t>
      </w:r>
    </w:p>
    <w:p w14:paraId="27BB13A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подготовлены 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угля (указанное позволит осуществить сбор данных для формирования индекса цены транспорта).</w:t>
      </w:r>
    </w:p>
    <w:p w14:paraId="4EEE99D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основе проведенной экспертной оценки была подготовлена основа для осуществления пилотного проекта реализации длиннопламенного угля на организованных торгах и осуществляется работа по формированию индикаторов цен на уголь для запуска пилотного проекта торговли производными инструментами на уголь в апреле 2019 года.</w:t>
      </w:r>
    </w:p>
    <w:p w14:paraId="32904CE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За 2017-2018 гг. АО «СПбМТСБ» проведено обучение более 70 компаний по практическим вопросам регистрации внебиржевых сделок (договоров) по поставкам угля.</w:t>
      </w:r>
    </w:p>
    <w:p w14:paraId="64E23F0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Важно отметить, что за рассматриваемый период количество производителей угля, осуществляющих регистрацию внебиржевых договоров на поставку угля, увеличилось с 60 до 108. Указанное позволяет повысить репрезентативность внебиржевых индексов цен угля.</w:t>
      </w:r>
    </w:p>
    <w:p w14:paraId="56991A4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Наконец, по результатам практических вопросов регистрации внебиржевых договоров на поставку угля в рамках Подкомитета ФАС России совместно с угольными компаниями АО «СПбМТСБ» были разработаны и утверждены Рекомендации по предоставлению информации о внебиржевых договорах.</w:t>
      </w:r>
    </w:p>
    <w:p w14:paraId="4A92FA9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03A4BEB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FE3BC38" w14:textId="2D77AB52"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химической</w:t>
      </w:r>
      <w:r>
        <w:rPr>
          <w:rFonts w:eastAsiaTheme="minorHAnsi"/>
          <w:b/>
          <w:sz w:val="28"/>
          <w:szCs w:val="28"/>
          <w:lang w:eastAsia="en-US"/>
        </w:rPr>
        <w:t xml:space="preserve"> и нефтехимической продукции</w:t>
      </w:r>
    </w:p>
    <w:p w14:paraId="6EB89F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Важнейшей новеллой 2018 года стало создание Биржевого комитета ФАС России по химической и нефтехимической продукции.</w:t>
      </w:r>
    </w:p>
    <w:p w14:paraId="3BD2F9A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Биржевого комитета ФАС России анализируется текущая ситуация на соответствующих рынках, предпринимаются все меры по развитию и совершенствованию биржевой торговли указанными товарами, в том числе по открытию и времени работы торговых сессий, проводятся мероприятия по адвокатированию конкуренции, а также разрабатываются рекомендации по применению нормативной правовой базы.</w:t>
      </w:r>
    </w:p>
    <w:p w14:paraId="27BF757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Также в 2018 году получила развитие биржевая торговля химической и нефтехимической продукцией: 2-этилгексанол (реализуется на бирже с 2018 г.), аммиак безводный сжиженный, марка Б (рост объемов реализации на бирже по сравнению с 2017 годом — 533 %), кислота серная (рост объемов реализации на бирже по сравнению с 2017 годом — 33 %), ортоксилол нефтяной (рост объемов реализации на бирже по сравнению с 2017 годом — 330 %).</w:t>
      </w:r>
    </w:p>
    <w:p w14:paraId="770A709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ФАС России при участии производителей минеральных удобрений, ассоциаций и союзов аграрной продукции на регулярной основе проводит заседания Биржевого комитета ФАС России по минеральным удобрениям (далее — Комитет).</w:t>
      </w:r>
    </w:p>
    <w:p w14:paraId="668DE4D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Комитета разработан План мероприятий по запуску биржевых торгов минеральными удобрениями в секции «Минеральное сырье и химическая продукция» АО «СПбМТСБ». В рамках реализации плана: определен перечень и региональные базисы поставок минеральных удобрений, сформированы биржевые договоры по минеральным удобрениям, на АО «СПбМТСБ» сформирован совет секции «Минеральные удобрения и химическая продукция», запущены биржевые торги: карбамидом марки Б, аммиачной селитрой, аммофосом.</w:t>
      </w:r>
    </w:p>
    <w:p w14:paraId="6C91B8F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настоящее время все производители указанных минеральных удобрений прошли аккредитацию в секции «Минеральные удобрения» АО «СПбМТСБ». АО «СПбМТСБ» проводится работа по  информированию и обучению покупателей минеральных удобрений использования организованной торговли как одного из способов приобретения минеральных удобрений.</w:t>
      </w:r>
    </w:p>
    <w:p w14:paraId="2D70DA6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Вместе с тем, анализ данных, представленных АО «СПбМТСБ», показал, что производители минеральных удобрений, как правило, предлагают цену по прямым договорам на минеральные удобрения ниже, чем цена, установленная в этот же период на минеральные удобрения на бирже. Как представляется, вышеуказанное связано с проводимыми совещаниями в отраслевых министерствах по вопросу создания для сельхозтоваропроизводителей режима наибольшего благоприятствования, мероприятиями по сдерживанию роста цен на удобрения, а также предоставлением сельхозпроизводителям скидок. При этом, применительно к продаже товара на бирже данные факторы отсутствуют. </w:t>
      </w:r>
    </w:p>
    <w:p w14:paraId="5D778E2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E94C40F"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агропродукцией</w:t>
      </w:r>
    </w:p>
    <w:p w14:paraId="3C324A2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Одним из ожидаемых результатов реализации Национального плана в агропромышленном комплексе является расширение географии поставок и номенклатуры сельскохозяйственных товаров, реализуемых на организованных торгах.</w:t>
      </w:r>
    </w:p>
    <w:p w14:paraId="705326F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Работа по организации биржевой торговли сельскохозяйственной продукцией, сырьем и продовольствием ведется ФАС России в рамках подкомитета по развитию организованных торгов агропродукцией при Биржевом комитете ФАС России (далее – Подкомитет), в состав которого вошли представители ФАС России, Банка России, Федеральной налоговой службы, Минсельхоза России и Группы «Московская Биржа».</w:t>
      </w:r>
    </w:p>
    <w:p w14:paraId="410B7E9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Системные меры, направленные на расширение видов сельскохозяйственной продукции, сырья и продовольствия, реализуемых на организованных торгах, включены в раздел III Агропромышленный комплекс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7103659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настоящее время ПАО «Московская Биржа» запущена новая платформа биржевого рынка, на базе которой осуществляется торговля продовольственными товарами, в частности,  зерном и сахаром, и которая включает в себя торгово-клиринговую систему «УРОЖАЙ», позволяющую совершать сделки с поставочными ПФИ с гибкими сроками расчета, услуги клиринговой организации, центрального контрагента и оператора товарных поставок, роль которых выполняет Банк «Национальный Клиринговый Центр» (НКЦ), и услуги экспедитора.</w:t>
      </w:r>
    </w:p>
    <w:p w14:paraId="2A5DB87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Одной из задач биржевой торговли сельскохозяйственной продукцией является обеспечение формирования объективных ценовых индикаторов, характеризующих ценовую ситуацию на рынках сельхозпродукции, сырья и продовольствия, что невозможно реализовать без обеспечения ликвидности таких торгов.</w:t>
      </w:r>
    </w:p>
    <w:p w14:paraId="687B4A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Кроме выполнения функций индикатора и стабилизатора цен на зерно, биржа способна обеспечивать устойчивое состояние участников рынка, предлагать возможности по снижению коммерческих рисков, развивать товарооборот. </w:t>
      </w:r>
    </w:p>
    <w:p w14:paraId="5CE53DE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выполнения поставленной задачи, в целях стимулирования биржевой торговли сельскохозяйственной продукцией, сырьем и продовольствием ФАС России подготовила и направила в Минсельхоз России предложения по внесению изменений в Государственную программу развития сельского хозяйства и регулирования рынков сельскохозяйственной продукции, сырья и продовольствия на 2013 - 2020 годы, утвержденную постановлением Правительства Российской Федерации от 14.07.2012 № 717 (далее - Госпрограмма), по дополнению ее направлением  расширение географии поставок и номенклатуры сельскохозяйственных товаров, реализуемых на организованных торгах. Целью реализации данного направления к 2020 году, по мнению ФАС России, может стать показатель «реализация не менее 10% сельскохозяйственной продукции, сырья и продовольствия, признанных биржевым товаром, посредством биржевых торгов».</w:t>
      </w:r>
    </w:p>
    <w:p w14:paraId="6185A6D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привлечения сельхозтоваропроизводителей, повышения их заинтересованности в реализации продукции на биржевых торгах, ФАС России предложила Минсельхозу России разработать механизмы субсидирования участников биржевых торгов, в части перевозки продукции, приобретенной на биржевых торгах, а также субсидирования процентной ставки по сделкам «своп», заключенным на организованных торгах, базисными активами которых является сельскохозяйственная продукция.</w:t>
      </w:r>
    </w:p>
    <w:p w14:paraId="5F5EFFC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был осуществлен комплекс мер, направленных на реализацию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23.07.2013 № 623, в отношении пшеницы 3-го и 4-го классов.</w:t>
      </w:r>
    </w:p>
    <w:p w14:paraId="5A86E4B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Объем биржевой торговли агропродукцией растет.  Например, на биржевых торгах сахаром (запуск торгов сахаром, стартовавший 6 марта 2017 года, показал, что интерес у производителей этого продукта большой, данные по объему торгов это наглядно демонстрируют) в сентябре 2018 года был зафиксирован рекордный объем с момента запуска торгов сахаром в 2017 году. В сентябре 2018 года объем торгов поставочными форвардными договорами на сахар на Национальной товарной бирже составил 19 300 тонн или 590,2 млн рублей. Для сравнения: с марта 2017 года (момента запуска торгов сахаром) по август 2018 года объем торгов поставочными форвардными договорами на сахар составил 18 300 тонн или 508,2 млн рублей.</w:t>
      </w:r>
    </w:p>
    <w:p w14:paraId="0401D4A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Однако объемы сахара, которые торговались на бирже в 2018 году, составили менее 1% от общего объёма производства сахара в стране, что недостаточно для обеспечения ликвидности проводимых торгов, и, как следствие, признания репрезентативности формируемой на бирже цены.</w:t>
      </w:r>
    </w:p>
    <w:p w14:paraId="55486BD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2018 года стал пилотным для биржевого рынка соевых бобов. Так, 23 мая 2018 года в Российской Федерации начинались биржевые торги соевыми бобами. Масложировой союз России при участии аграриев Амурской области выступили инициаторами запуска торгов соей на бирже.</w:t>
      </w:r>
    </w:p>
    <w:p w14:paraId="565D7756"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Помимо соевых бобов расширение товаров, которые торговались на бирже в 2018 году, коснулось также и подсолнечника.</w:t>
      </w:r>
    </w:p>
    <w:p w14:paraId="5AB7F7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 декабря 2018 года на Московской бирже были запущены первые торги подсолнечником, что в перспективе должно поддержать увеличение экспорта масложировой продукции.</w:t>
      </w:r>
    </w:p>
    <w:p w14:paraId="5E9E105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информации ПАО «Московская Биржа» по итогам 2018 года объем биржевых торгов составил:</w:t>
      </w:r>
    </w:p>
    <w:p w14:paraId="70E5873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зерном -  34,8 млрд. руб.;</w:t>
      </w:r>
    </w:p>
    <w:p w14:paraId="3081FA6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зерном — 119 тыс.тонн/1,4 млрд. руб.;</w:t>
      </w:r>
    </w:p>
    <w:p w14:paraId="056F8FE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сахаром — 58 тыс. тонн/1,937 млрд. руб.</w:t>
      </w:r>
    </w:p>
    <w:p w14:paraId="23EFF53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соей - 2,1 млрд. руб., форварды с соей - 6,6 тыс. тонн/0,2 млрд. руб.</w:t>
      </w:r>
    </w:p>
    <w:p w14:paraId="479E511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рынке зерна объем торгов на АО «НТБ» по инструментам своп и форвард по итогам 2018 года увеличился в 7 раз в сравнении с 2017 годом, на рынке сахара объем торгов в 2018 году вырос более чем в 8 раз, количество клиентов выросло в 2 раза до 300 ед., объем торгов с соей составил 2,3 млрд. руб. с начала торгов в мае 2018 на одном аккредитованном базисе, увеличилось количества аккредитованных элеваторов и сахарных складов до 76 базисов (49 базисов в 2017).</w:t>
      </w:r>
    </w:p>
    <w:p w14:paraId="1F989AB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Проделанная работа за 2018 год позволит сформировать более репрезентативные биржевые индексы цен, характеризующие ситуацию на соответствующих товарных рынках, которыми могут пользоваться как сельхозтоваропроизводители при планировании своей деятельности, так и органы государственной власти при принятии решений по регулированию отрасли. </w:t>
      </w:r>
    </w:p>
    <w:p w14:paraId="3C75534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7C078B20"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лесом и лесоматериалами</w:t>
      </w:r>
    </w:p>
    <w:p w14:paraId="4871326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важнейших мероприятий 2018 года на рынке леса и лесоматериалами следует прежде всего отметить запуск биржевых торгов лесными ресурсами в Удмуртской Республике, Красноярском крае, Приморском крае и Республике Бурятия.</w:t>
      </w:r>
    </w:p>
    <w:p w14:paraId="39A762E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24 мая 2018 года на Петербургском международном экономическом форуме было подписано трехстороннее соглашение о сотрудничестве по развитию биржевых торгов лесоматериалами в Дальневосточном федеральном округе между президентом Санкт-Петербургской Международной Товарно-сырьевой Биржи, директором Агентства Дальнего Востока по привлечению инвестиций и поддержке экспорта и врио губернатора Приморского края. Данное соглашение направлено на развитие организованной торговли на рынке лесоматериалов, использование высокотехнологичных биржевых инструментов предприятиями региона.</w:t>
      </w:r>
    </w:p>
    <w:p w14:paraId="658AD8D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года в области биржевой торговли лесоматериалами была отмечена положительная динамика: объем торгов лесоматериалами на Санкт-Петербургской международной товарно-сырьевой бирже (СПбМТСБ) составил 1,388 млн м3, а объем реализации пиломатериалов составил 19,032 тыс. м3 (136 млн руб.), что в 12,8 раза больше показателя 2017 года.</w:t>
      </w:r>
    </w:p>
    <w:p w14:paraId="1AAD998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Биржевая торговля на рынках наличного товара может указывать на неэффективность ценообразования на непрозрачных рынках. Например, лес и пиломатериалы зачастую продаются дешевле, чем стоят на рынке, за счёт этого теряют и те, кто заготавливают лес, производят пиломатериалы и бюджет. Так, торговля лесом на бирже в 2018 году привела к росту цен от 50 до 400% по сравнению с ценами во внебиржевом сегменте в 2017 году.</w:t>
      </w:r>
    </w:p>
    <w:p w14:paraId="2E78A61E" w14:textId="77777777" w:rsidR="00992EDF" w:rsidRDefault="00992EDF" w:rsidP="004A10F7">
      <w:pPr>
        <w:pStyle w:val="ab"/>
        <w:spacing w:before="0" w:beforeAutospacing="0" w:after="0"/>
        <w:ind w:firstLine="828"/>
        <w:jc w:val="both"/>
        <w:rPr>
          <w:sz w:val="28"/>
          <w:szCs w:val="28"/>
        </w:rPr>
      </w:pPr>
    </w:p>
    <w:p w14:paraId="6589955A" w14:textId="77777777" w:rsidR="004B46A4" w:rsidRDefault="004B46A4" w:rsidP="00883C8E">
      <w:pPr>
        <w:spacing w:after="0" w:line="360" w:lineRule="auto"/>
        <w:jc w:val="both"/>
        <w:rPr>
          <w:rFonts w:ascii="Times New Roman" w:hAnsi="Times New Roman" w:cs="Times New Roman"/>
        </w:rPr>
      </w:pPr>
    </w:p>
    <w:p w14:paraId="6A339055" w14:textId="77777777" w:rsidR="00883C8E" w:rsidRDefault="00883C8E" w:rsidP="00DA3F05">
      <w:pPr>
        <w:pStyle w:val="3"/>
      </w:pPr>
      <w:bookmarkStart w:id="70" w:name="_Toc7447940"/>
      <w:r w:rsidRPr="00542D4B">
        <w:t>Информация о мерах по организации и функционированию антимонопольного комплаенса в федеральных органах исполнительной власти</w:t>
      </w:r>
      <w:bookmarkEnd w:id="70"/>
      <w:r w:rsidRPr="00542D4B">
        <w:t xml:space="preserve"> </w:t>
      </w:r>
      <w:bookmarkStart w:id="71" w:name="_Toc6834320"/>
      <w:bookmarkStart w:id="72" w:name="_Toc6834607"/>
      <w:bookmarkStart w:id="73" w:name="_Toc6834810"/>
      <w:bookmarkEnd w:id="71"/>
      <w:bookmarkEnd w:id="72"/>
      <w:bookmarkEnd w:id="73"/>
    </w:p>
    <w:p w14:paraId="573509A2" w14:textId="77777777" w:rsidR="00A66A45" w:rsidRDefault="00A66A45" w:rsidP="00A66A45">
      <w:pPr>
        <w:spacing w:after="0" w:line="240" w:lineRule="auto"/>
        <w:ind w:firstLine="709"/>
        <w:rPr>
          <w:lang w:eastAsia="ru-RU"/>
        </w:rPr>
      </w:pPr>
    </w:p>
    <w:p w14:paraId="28BF7640"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соответствии с абзацем девятнадцатым подпункта «а» пункта 2 Национального плана развития конкуренции в Российск</w:t>
      </w:r>
      <w:r w:rsidR="000F0BE3">
        <w:rPr>
          <w:rFonts w:ascii="Times New Roman" w:hAnsi="Times New Roman" w:cs="Times New Roman"/>
          <w:sz w:val="28"/>
          <w:szCs w:val="28"/>
        </w:rPr>
        <w:t>ой Федерации на 2018-2020 годы</w:t>
      </w:r>
      <w:r w:rsidRPr="00A51A4D">
        <w:rPr>
          <w:rFonts w:ascii="Times New Roman" w:hAnsi="Times New Roman" w:cs="Times New Roman"/>
          <w:sz w:val="28"/>
          <w:szCs w:val="28"/>
        </w:rPr>
        <w:t xml:space="preserve"> в целях реализации основных направлении государственной политики по развитию конкуренции, Правительству Российской Федерации поручено до 01 марта 2019 года принять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федеральных органов исполнительной власти.</w:t>
      </w:r>
    </w:p>
    <w:p w14:paraId="54284C64"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реализации вышеуказанного поручения и формирования единого подхода к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29077BAF"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Также принятие правовых актов об организации системы внутреннего обеспечения соответствия требованиям антимонопольного законодательства (далее – правовые акты)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План мероприятий («дорожная карта»)). Распоряжением Правительства Российской Федерации от 16.08.2018 № 1697-р предусмотрено, что руководители федеральных органов исполнительной власти, ответственных за реализацию Плана мероприятий («дорожной карты») должны принять правовые акты до 01.12.2018.</w:t>
      </w:r>
    </w:p>
    <w:p w14:paraId="1F20BCDF"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состоянию на март 2019 года приняли правовые акты об организации системы внутреннего обеспечения соответствия требованиям антимонопольного законодательства 12 федеральных органов исполнительной власти.</w:t>
      </w:r>
    </w:p>
    <w:p w14:paraId="45FA77C0" w14:textId="77777777" w:rsidR="00F36F46" w:rsidRPr="00F36F46" w:rsidRDefault="00F36F46" w:rsidP="00F36F46"/>
    <w:p w14:paraId="34D0D831" w14:textId="77777777" w:rsidR="00883C8E" w:rsidRDefault="00883C8E" w:rsidP="00DA3F05">
      <w:pPr>
        <w:pStyle w:val="3"/>
      </w:pPr>
      <w:bookmarkStart w:id="74" w:name="_Toc7447941"/>
      <w:r w:rsidRPr="00542D4B">
        <w:t>Реформа контрольно-надзорной деятельности</w:t>
      </w:r>
      <w:bookmarkEnd w:id="74"/>
      <w:r w:rsidRPr="00542D4B">
        <w:t xml:space="preserve"> </w:t>
      </w:r>
      <w:bookmarkStart w:id="75" w:name="_Toc6834321"/>
      <w:bookmarkStart w:id="76" w:name="_Toc6834608"/>
      <w:bookmarkStart w:id="77" w:name="_Toc6834811"/>
      <w:bookmarkEnd w:id="75"/>
      <w:bookmarkEnd w:id="76"/>
      <w:bookmarkEnd w:id="77"/>
    </w:p>
    <w:p w14:paraId="4B02A8AA" w14:textId="77777777" w:rsidR="00854BC5" w:rsidRDefault="00854BC5" w:rsidP="00854BC5"/>
    <w:p w14:paraId="400D6BEE"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рамках реализации направления «Система комплексной профилактики нарушения обязательных требований» ФАС России проводит комплекс профилактических мероприятий, которые направлены на предупреждение нарушений обязательных требований и повышение прозрач</w:t>
      </w:r>
      <w:r>
        <w:rPr>
          <w:rFonts w:ascii="Times New Roman" w:eastAsia="Times New Roman" w:hAnsi="Times New Roman" w:cs="Times New Roman"/>
          <w:color w:val="000000"/>
          <w:sz w:val="28"/>
          <w:szCs w:val="28"/>
          <w:lang w:eastAsia="ru-RU"/>
        </w:rPr>
        <w:t>ности системы надзорных функций.</w:t>
      </w:r>
    </w:p>
    <w:p w14:paraId="5DF2720F"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соответствии со статьей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в целях предупреждения нарушения обязательных требований, соблюдение которых оценивается Федеральной антимонопольной службой при проведении мероприятий по федеральному государственному надзору за соблюдением антимонопольного законодательства и иных нормативных правовых актов, содержащих нормы конкурентного права, устранению причин, факторов и условий, способствующих нарушению таких обязательных требований приказом ФАС России от 24.08.2018 № 1194/18 утверждена ведомственная программа профилактики рисков причинения вреда охраняемым за</w:t>
      </w:r>
      <w:r>
        <w:rPr>
          <w:rFonts w:ascii="Times New Roman" w:eastAsia="Times New Roman" w:hAnsi="Times New Roman" w:cs="Times New Roman"/>
          <w:color w:val="000000"/>
          <w:sz w:val="28"/>
          <w:szCs w:val="28"/>
          <w:lang w:eastAsia="ru-RU"/>
        </w:rPr>
        <w:t>коном ценностям на 2018-2020 гг.</w:t>
      </w:r>
    </w:p>
    <w:p w14:paraId="390E992B" w14:textId="77777777" w:rsidR="00854BC5" w:rsidRP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Кроме того, утвержден План-график публичных обсуждений ФАС России и её территориальных органов с подконтрольными субъектами. </w:t>
      </w:r>
      <w:r w:rsidRPr="00B4129D">
        <w:rPr>
          <w:rFonts w:ascii="Times New Roman" w:eastAsia="Times New Roman" w:hAnsi="Times New Roman" w:cs="Times New Roman"/>
          <w:color w:val="000000"/>
          <w:sz w:val="28"/>
          <w:szCs w:val="28"/>
          <w:lang w:eastAsia="ru-RU"/>
        </w:rPr>
        <w:t>Согласно указанному плану-графику на территории Российской Федерации проведено более </w:t>
      </w:r>
      <w:r w:rsidRPr="00B4129D">
        <w:rPr>
          <w:rFonts w:ascii="Times New Roman" w:eastAsia="Times New Roman" w:hAnsi="Times New Roman" w:cs="Times New Roman"/>
          <w:bCs/>
          <w:color w:val="000000"/>
          <w:sz w:val="28"/>
          <w:szCs w:val="28"/>
          <w:lang w:eastAsia="ru-RU"/>
        </w:rPr>
        <w:t>339</w:t>
      </w:r>
      <w:r w:rsidRPr="00B4129D">
        <w:rPr>
          <w:rFonts w:ascii="Times New Roman" w:eastAsia="Times New Roman" w:hAnsi="Times New Roman" w:cs="Times New Roman"/>
          <w:b/>
          <w:bCs/>
          <w:color w:val="000000"/>
          <w:sz w:val="28"/>
          <w:szCs w:val="28"/>
          <w:lang w:eastAsia="ru-RU"/>
        </w:rPr>
        <w:t> </w:t>
      </w:r>
      <w:r w:rsidRPr="00B4129D">
        <w:rPr>
          <w:rFonts w:ascii="Times New Roman" w:eastAsia="Times New Roman" w:hAnsi="Times New Roman" w:cs="Times New Roman"/>
          <w:color w:val="000000"/>
          <w:sz w:val="28"/>
          <w:szCs w:val="28"/>
          <w:lang w:eastAsia="ru-RU"/>
        </w:rPr>
        <w:t>мероприятий с подконтрольными субъектами.</w:t>
      </w:r>
    </w:p>
    <w:p w14:paraId="0016D9CC" w14:textId="77777777" w:rsidR="00854BC5" w:rsidRDefault="00854BC5" w:rsidP="00854BC5">
      <w:pPr>
        <w:spacing w:after="0" w:line="240" w:lineRule="auto"/>
        <w:ind w:firstLine="709"/>
        <w:jc w:val="both"/>
        <w:rPr>
          <w:rFonts w:ascii="Arial" w:eastAsia="Times New Roman" w:hAnsi="Arial" w:cs="Arial"/>
          <w:color w:val="000000"/>
          <w:sz w:val="20"/>
          <w:szCs w:val="20"/>
          <w:lang w:eastAsia="ru-RU"/>
        </w:rPr>
      </w:pPr>
      <w:r w:rsidRPr="00B4129D">
        <w:rPr>
          <w:rFonts w:ascii="Times New Roman" w:eastAsia="Times New Roman" w:hAnsi="Times New Roman" w:cs="Times New Roman"/>
          <w:color w:val="000000"/>
          <w:sz w:val="28"/>
          <w:szCs w:val="28"/>
          <w:lang w:eastAsia="ru-RU"/>
        </w:rPr>
        <w:t>Помимо этих мероприятий представители центрального аппарата ФАС России дополнительно приняли участие еще в </w:t>
      </w:r>
      <w:r w:rsidRPr="00B4129D">
        <w:rPr>
          <w:rFonts w:ascii="Times New Roman" w:eastAsia="Times New Roman" w:hAnsi="Times New Roman" w:cs="Times New Roman"/>
          <w:bCs/>
          <w:color w:val="000000"/>
          <w:sz w:val="28"/>
          <w:szCs w:val="28"/>
          <w:lang w:eastAsia="ru-RU"/>
        </w:rPr>
        <w:t>795</w:t>
      </w:r>
      <w:r w:rsidRPr="00B4129D">
        <w:rPr>
          <w:rFonts w:ascii="Times New Roman" w:eastAsia="Times New Roman" w:hAnsi="Times New Roman" w:cs="Times New Roman"/>
          <w:color w:val="000000"/>
          <w:sz w:val="28"/>
          <w:szCs w:val="28"/>
          <w:lang w:eastAsia="ru-RU"/>
        </w:rPr>
        <w:t> публичных мероприятиях (конференции, круглые столы, форумы и др.).</w:t>
      </w:r>
    </w:p>
    <w:p w14:paraId="6EC2838D"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bookmarkStart w:id="78" w:name="_GoBack"/>
      <w:bookmarkEnd w:id="78"/>
      <w:r>
        <w:rPr>
          <w:rFonts w:ascii="Times New Roman" w:eastAsia="Times New Roman" w:hAnsi="Times New Roman" w:cs="Times New Roman"/>
          <w:color w:val="000000"/>
          <w:sz w:val="28"/>
          <w:szCs w:val="28"/>
          <w:lang w:eastAsia="ru-RU"/>
        </w:rPr>
        <w:t xml:space="preserve">Необходимо отметить, что в рамках реализации Ведомственной программы профилактики </w:t>
      </w:r>
      <w:r w:rsidRPr="00B4129D">
        <w:rPr>
          <w:rFonts w:ascii="Times New Roman" w:eastAsia="Times New Roman" w:hAnsi="Times New Roman" w:cs="Times New Roman"/>
          <w:color w:val="000000"/>
          <w:sz w:val="28"/>
          <w:szCs w:val="28"/>
          <w:lang w:eastAsia="ru-RU"/>
        </w:rPr>
        <w:t xml:space="preserve">антимонопольная служба </w:t>
      </w:r>
      <w:r>
        <w:rPr>
          <w:rFonts w:ascii="Times New Roman" w:eastAsia="Times New Roman" w:hAnsi="Times New Roman" w:cs="Times New Roman"/>
          <w:color w:val="000000"/>
          <w:sz w:val="28"/>
          <w:szCs w:val="28"/>
          <w:lang w:eastAsia="ru-RU"/>
        </w:rPr>
        <w:t>ежеквартально проводила</w:t>
      </w:r>
      <w:r w:rsidRPr="00B4129D">
        <w:rPr>
          <w:rFonts w:ascii="Times New Roman" w:eastAsia="Times New Roman" w:hAnsi="Times New Roman" w:cs="Times New Roman"/>
          <w:color w:val="000000"/>
          <w:sz w:val="28"/>
          <w:szCs w:val="28"/>
          <w:lang w:eastAsia="ru-RU"/>
        </w:rPr>
        <w:t xml:space="preserve"> тематические публичные обсуждения с привлечением сотрудников отраслевых структурных подразделений.</w:t>
      </w:r>
      <w:r>
        <w:rPr>
          <w:rFonts w:ascii="Times New Roman" w:eastAsia="Times New Roman" w:hAnsi="Times New Roman" w:cs="Times New Roman"/>
          <w:color w:val="000000"/>
          <w:sz w:val="28"/>
          <w:szCs w:val="28"/>
          <w:lang w:eastAsia="ru-RU"/>
        </w:rPr>
        <w:t xml:space="preserve"> По итогам 2018 года </w:t>
      </w:r>
      <w:r w:rsidRPr="00B4129D">
        <w:rPr>
          <w:rFonts w:ascii="Times New Roman" w:eastAsia="Times New Roman" w:hAnsi="Times New Roman" w:cs="Times New Roman"/>
          <w:color w:val="000000"/>
          <w:sz w:val="28"/>
          <w:szCs w:val="28"/>
          <w:lang w:eastAsia="ru-RU"/>
        </w:rPr>
        <w:t>прошел ц</w:t>
      </w:r>
      <w:r w:rsidR="00A66A45">
        <w:rPr>
          <w:rFonts w:ascii="Times New Roman" w:eastAsia="Times New Roman" w:hAnsi="Times New Roman" w:cs="Times New Roman"/>
          <w:color w:val="000000"/>
          <w:sz w:val="28"/>
          <w:szCs w:val="28"/>
          <w:lang w:eastAsia="ru-RU"/>
        </w:rPr>
        <w:t xml:space="preserve">елый ряд публичных мероприятий </w:t>
      </w:r>
      <w:r w:rsidRPr="00B4129D">
        <w:rPr>
          <w:rFonts w:ascii="Times New Roman" w:eastAsia="Times New Roman" w:hAnsi="Times New Roman" w:cs="Times New Roman"/>
          <w:color w:val="000000"/>
          <w:sz w:val="28"/>
          <w:szCs w:val="28"/>
          <w:lang w:eastAsia="ru-RU"/>
        </w:rPr>
        <w:t>на темы противодействия антиконкурентным соглашениям, торги, государственный заказ и закупки госкомпаний, концессии, жилищно-коммунальное хозяйство, реклама и НДК.</w:t>
      </w:r>
    </w:p>
    <w:p w14:paraId="373D9968"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 xml:space="preserve">Также на базе Учебно-методического центра в г. Казань проведены </w:t>
      </w:r>
      <w:r>
        <w:rPr>
          <w:rFonts w:ascii="Times New Roman" w:eastAsia="Times New Roman" w:hAnsi="Times New Roman" w:cs="Times New Roman"/>
          <w:color w:val="000000"/>
          <w:sz w:val="28"/>
          <w:szCs w:val="28"/>
          <w:lang w:eastAsia="ru-RU"/>
        </w:rPr>
        <w:t xml:space="preserve">два семинара на тему реформы контрольно-надзорной деятельности. Первый семинар был посвящен </w:t>
      </w:r>
      <w:r>
        <w:rPr>
          <w:rFonts w:ascii="Times New Roman" w:eastAsia="Times New Roman" w:hAnsi="Times New Roman" w:cs="Times New Roman"/>
          <w:iCs/>
          <w:color w:val="000000"/>
          <w:sz w:val="28"/>
          <w:szCs w:val="28"/>
          <w:lang w:eastAsia="ru-RU"/>
        </w:rPr>
        <w:t>переходу</w:t>
      </w:r>
      <w:r w:rsidRPr="00B4129D">
        <w:rPr>
          <w:rFonts w:ascii="Times New Roman" w:eastAsia="Times New Roman" w:hAnsi="Times New Roman" w:cs="Times New Roman"/>
          <w:iCs/>
          <w:color w:val="000000"/>
          <w:sz w:val="28"/>
          <w:szCs w:val="28"/>
          <w:lang w:eastAsia="ru-RU"/>
        </w:rPr>
        <w:t xml:space="preserve"> на риск-ориентированный подход в сфере гос</w:t>
      </w:r>
      <w:r>
        <w:rPr>
          <w:rFonts w:ascii="Times New Roman" w:eastAsia="Times New Roman" w:hAnsi="Times New Roman" w:cs="Times New Roman"/>
          <w:iCs/>
          <w:color w:val="000000"/>
          <w:sz w:val="28"/>
          <w:szCs w:val="28"/>
          <w:lang w:eastAsia="ru-RU"/>
        </w:rPr>
        <w:t xml:space="preserve">ударственного </w:t>
      </w:r>
      <w:r w:rsidRPr="00B4129D">
        <w:rPr>
          <w:rFonts w:ascii="Times New Roman" w:eastAsia="Times New Roman" w:hAnsi="Times New Roman" w:cs="Times New Roman"/>
          <w:iCs/>
          <w:color w:val="000000"/>
          <w:sz w:val="28"/>
          <w:szCs w:val="28"/>
          <w:lang w:eastAsia="ru-RU"/>
        </w:rPr>
        <w:t>оборон</w:t>
      </w:r>
      <w:r>
        <w:rPr>
          <w:rFonts w:ascii="Times New Roman" w:eastAsia="Times New Roman" w:hAnsi="Times New Roman" w:cs="Times New Roman"/>
          <w:iCs/>
          <w:color w:val="000000"/>
          <w:sz w:val="28"/>
          <w:szCs w:val="28"/>
          <w:lang w:eastAsia="ru-RU"/>
        </w:rPr>
        <w:t xml:space="preserve">ного </w:t>
      </w:r>
      <w:r w:rsidRPr="00B4129D">
        <w:rPr>
          <w:rFonts w:ascii="Times New Roman" w:eastAsia="Times New Roman" w:hAnsi="Times New Roman" w:cs="Times New Roman"/>
          <w:iCs/>
          <w:color w:val="000000"/>
          <w:sz w:val="28"/>
          <w:szCs w:val="28"/>
          <w:lang w:eastAsia="ru-RU"/>
        </w:rPr>
        <w:t>заказа и антимонопольного регулирования</w:t>
      </w:r>
      <w:r>
        <w:rPr>
          <w:rFonts w:ascii="Times New Roman" w:eastAsia="Times New Roman" w:hAnsi="Times New Roman" w:cs="Times New Roman"/>
          <w:iCs/>
          <w:color w:val="000000"/>
          <w:sz w:val="28"/>
          <w:szCs w:val="28"/>
          <w:lang w:eastAsia="ru-RU"/>
        </w:rPr>
        <w:t xml:space="preserve">, а также </w:t>
      </w:r>
      <w:r w:rsidRPr="00B4129D">
        <w:rPr>
          <w:rFonts w:ascii="Times New Roman" w:eastAsia="Times New Roman" w:hAnsi="Times New Roman" w:cs="Times New Roman"/>
          <w:color w:val="000000"/>
          <w:sz w:val="28"/>
          <w:szCs w:val="28"/>
          <w:lang w:eastAsia="ru-RU"/>
        </w:rPr>
        <w:t>автоматизации процессов при реализации реформы контрольно-надзорной деятельности</w:t>
      </w:r>
      <w:r>
        <w:rPr>
          <w:rFonts w:ascii="Times New Roman" w:eastAsia="Times New Roman" w:hAnsi="Times New Roman" w:cs="Times New Roman"/>
          <w:color w:val="000000"/>
          <w:sz w:val="28"/>
          <w:szCs w:val="28"/>
          <w:lang w:eastAsia="ru-RU"/>
        </w:rPr>
        <w:t>.</w:t>
      </w:r>
    </w:p>
    <w:p w14:paraId="5132F4E2" w14:textId="77777777" w:rsidR="00854BC5" w:rsidRPr="00854BC5" w:rsidRDefault="00854BC5" w:rsidP="00854BC5">
      <w:pPr>
        <w:spacing w:after="0" w:line="240" w:lineRule="auto"/>
        <w:ind w:firstLine="709"/>
        <w:jc w:val="both"/>
      </w:pPr>
      <w:r>
        <w:rPr>
          <w:rFonts w:ascii="Times New Roman" w:eastAsia="Times New Roman" w:hAnsi="Times New Roman" w:cs="Times New Roman"/>
          <w:color w:val="000000"/>
          <w:sz w:val="28"/>
          <w:szCs w:val="28"/>
          <w:lang w:eastAsia="ru-RU"/>
        </w:rPr>
        <w:t>Второй семинар прошел для пресс-секретарей территориальных органов, где были обсуждены аспекты</w:t>
      </w:r>
      <w:r w:rsidRPr="00B4129D">
        <w:rPr>
          <w:rFonts w:ascii="Times New Roman" w:eastAsia="Times New Roman" w:hAnsi="Times New Roman" w:cs="Times New Roman"/>
          <w:color w:val="000000"/>
          <w:sz w:val="28"/>
          <w:szCs w:val="28"/>
          <w:lang w:eastAsia="ru-RU"/>
        </w:rPr>
        <w:t xml:space="preserve"> проведения публичных обсуждений правоп</w:t>
      </w:r>
      <w:r>
        <w:rPr>
          <w:rFonts w:ascii="Times New Roman" w:eastAsia="Times New Roman" w:hAnsi="Times New Roman" w:cs="Times New Roman"/>
          <w:color w:val="000000"/>
          <w:sz w:val="28"/>
          <w:szCs w:val="28"/>
          <w:lang w:eastAsia="ru-RU"/>
        </w:rPr>
        <w:t xml:space="preserve">рименительной практики, </w:t>
      </w:r>
      <w:r w:rsidRPr="00F63E5C">
        <w:rPr>
          <w:rFonts w:ascii="Times New Roman" w:eastAsia="Times New Roman" w:hAnsi="Times New Roman" w:cs="Times New Roman"/>
          <w:color w:val="000000"/>
          <w:sz w:val="28"/>
          <w:szCs w:val="28"/>
          <w:lang w:eastAsia="ru-RU"/>
        </w:rPr>
        <w:t>работе с обращениями граждан и организаций, специфике работы социальных сетей и создания контента для них, работе с внутренним порталом</w:t>
      </w:r>
      <w:r>
        <w:rPr>
          <w:rFonts w:ascii="Times New Roman" w:eastAsia="Times New Roman" w:hAnsi="Times New Roman" w:cs="Times New Roman"/>
          <w:color w:val="000000"/>
          <w:sz w:val="28"/>
          <w:szCs w:val="28"/>
          <w:lang w:eastAsia="ru-RU"/>
        </w:rPr>
        <w:t xml:space="preserve"> ФАС России</w:t>
      </w:r>
      <w:r w:rsidRPr="00F63E5C">
        <w:rPr>
          <w:rFonts w:ascii="Times New Roman" w:eastAsia="Times New Roman" w:hAnsi="Times New Roman" w:cs="Times New Roman"/>
          <w:color w:val="000000"/>
          <w:sz w:val="28"/>
          <w:szCs w:val="28"/>
          <w:lang w:eastAsia="ru-RU"/>
        </w:rPr>
        <w:t>, открытыми данными, а также о съемках и видеомонтаже.</w:t>
      </w:r>
    </w:p>
    <w:p w14:paraId="2AE97498" w14:textId="77777777" w:rsidR="00EA5B4E" w:rsidRDefault="00EA5B4E" w:rsidP="00883C8E">
      <w:pPr>
        <w:spacing w:after="0" w:line="360" w:lineRule="auto"/>
        <w:jc w:val="both"/>
        <w:rPr>
          <w:rFonts w:ascii="Times New Roman" w:hAnsi="Times New Roman" w:cs="Times New Roman"/>
        </w:rPr>
      </w:pPr>
    </w:p>
    <w:p w14:paraId="592AB3AC" w14:textId="77777777" w:rsidR="007A060C" w:rsidRDefault="007A060C" w:rsidP="00D3438A">
      <w:pPr>
        <w:spacing w:after="0" w:line="240" w:lineRule="auto"/>
        <w:ind w:firstLine="709"/>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sz w:val="28"/>
          <w:szCs w:val="28"/>
          <w:lang w:eastAsia="ru-RU"/>
        </w:rPr>
        <w:t>Внедрение риск-ориентированного подхода при осуществлении контрольно-надзорной деятельности</w:t>
      </w:r>
    </w:p>
    <w:p w14:paraId="563BC020" w14:textId="77777777" w:rsidR="009C69F7" w:rsidRPr="007A060C" w:rsidRDefault="009C69F7" w:rsidP="00D3438A">
      <w:pPr>
        <w:spacing w:after="0" w:line="240" w:lineRule="auto"/>
        <w:ind w:firstLine="709"/>
        <w:contextualSpacing/>
        <w:jc w:val="both"/>
        <w:rPr>
          <w:rFonts w:ascii="Times New Roman" w:eastAsia="Times New Roman" w:hAnsi="Times New Roman" w:cs="Times New Roman"/>
          <w:b/>
          <w:sz w:val="28"/>
          <w:szCs w:val="28"/>
          <w:lang w:eastAsia="ru-RU"/>
        </w:rPr>
      </w:pPr>
    </w:p>
    <w:p w14:paraId="4D466204"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В рамках реализации направления «Внедрение риск-ориентированного подхода при осуществлении контрольно-надзорной деятельности» и в целях реализации положений статьи 8.1.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Правил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утвержденных постановлением Правительства Российской Федерации от 17 августа 2016 года № 806, принято постановление Правительства Российской Федерации от 01 марта 2018 года № 213 «Об утверждении критериев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 (далее — постановление).</w:t>
      </w:r>
    </w:p>
    <w:p w14:paraId="202B1DDB"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Постановлением утверждены критерии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w:t>
      </w:r>
    </w:p>
    <w:p w14:paraId="31250B57"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установлена периодичность проведения плановых проверок юридических лиц и индивидуальных предпринимателей, осуществляющих экономическую деятельность, в зависимости от присвоенной их деятельности категории риска, если иное не установлено федеральными законами:</w:t>
      </w:r>
    </w:p>
    <w:p w14:paraId="7530C59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среднего риска - не чаще чем один раз в 3 года;</w:t>
      </w:r>
    </w:p>
    <w:p w14:paraId="6B1952E0"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умеренного риска - не чаще чем один раз в 5 лет.</w:t>
      </w:r>
    </w:p>
    <w:p w14:paraId="458D428D"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низкого риска, плановые проверки не проводятся.</w:t>
      </w:r>
    </w:p>
    <w:p w14:paraId="573EF9B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При этом к категории среднего риска отнесена торговая деятельность, субъекты естественных монополий, хозяйствующие субъекты, осуществляющие регулируемые виды деятельности, имеющие размер необходимой валовой выручки за предыдущий год свыше 10 млрд. рублей. В отношении них плановые проверки могут проводиться не чаще одного раза в три года. </w:t>
      </w:r>
    </w:p>
    <w:p w14:paraId="25FE707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К категории умеренного риска отнесены хозяйствующие субъекты, имеющие выручку свыше 10 млрд рублей, действующие в сферах производства и продажи лекарственных препаратов и медицинских изделий, предоставления медицинских услуг, услуг связи, транспортных услуг, жилищно-коммунального хозяйства, транспортировки нефти и нефтепродуктов по трубопроводам и т.п. Плановые проверки таких организаций проводятся не чаще одного раза в пять лет.</w:t>
      </w:r>
    </w:p>
    <w:p w14:paraId="2D2D6BA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В отношении хозяйствующих субъектов, деятельность которых отнесена к категории низкого риска, плановые проверки проводиться не будут.</w:t>
      </w:r>
    </w:p>
    <w:p w14:paraId="4287F17C"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Отмена плановых проверок в отношении таких хозяйствующих субъектов снизит административное давление на субъекты малого и среднего</w:t>
      </w:r>
    </w:p>
    <w:p w14:paraId="7447F9A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предпринимательства.</w:t>
      </w:r>
    </w:p>
    <w:p w14:paraId="0840C90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постановлением Правительства Российской Федерации от 1 февраля 2018 г. № 93 утверждены критерии отнесения деятельности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к определенной категории риска и периодичности проведения плановых проверок при осуществлении Федеральной антимонопольной службой государственного контроля (надзора) в сфере государственного оборонного заказа.</w:t>
      </w:r>
    </w:p>
    <w:p w14:paraId="386C806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Указанные критерии установлены для служебного пользования.</w:t>
      </w:r>
    </w:p>
    <w:p w14:paraId="358618F4" w14:textId="77777777" w:rsidR="007A060C" w:rsidRPr="007A060C" w:rsidRDefault="007A060C"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7A060C">
        <w:rPr>
          <w:rFonts w:ascii="Times New Roman" w:hAnsi="Times New Roman" w:cs="Times New Roman"/>
          <w:sz w:val="28"/>
          <w:szCs w:val="28"/>
        </w:rPr>
        <w:tab/>
        <w:t>Вместе с тем установлена периодичность проведения плановых проверок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если иное не установлено федеральными законами:</w:t>
      </w:r>
    </w:p>
    <w:p w14:paraId="74780AF3" w14:textId="77777777" w:rsidR="007A060C" w:rsidRPr="007A060C" w:rsidRDefault="007A060C"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7A060C">
        <w:rPr>
          <w:rFonts w:ascii="Times New Roman" w:hAnsi="Times New Roman" w:cs="Times New Roman"/>
          <w:sz w:val="28"/>
          <w:szCs w:val="28"/>
        </w:rPr>
        <w:t>не чаще чем 1 раз в 3 года для головных исполнителей, деятельность которых отнесена к средней категории риска;</w:t>
      </w:r>
    </w:p>
    <w:p w14:paraId="3C4902F7" w14:textId="77777777" w:rsidR="007A060C" w:rsidRPr="007A060C" w:rsidRDefault="007A060C"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7A060C">
        <w:rPr>
          <w:rFonts w:ascii="Times New Roman" w:hAnsi="Times New Roman" w:cs="Times New Roman"/>
          <w:sz w:val="28"/>
          <w:szCs w:val="28"/>
        </w:rPr>
        <w:t>не чаще чем 1 раз в 5 лет для головных исполнителей, деятельность которых отнесена к умеренной категории риска;</w:t>
      </w:r>
    </w:p>
    <w:p w14:paraId="58038CC7" w14:textId="77777777" w:rsidR="007A060C" w:rsidRPr="007A060C" w:rsidRDefault="007A060C"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7A060C">
        <w:rPr>
          <w:rFonts w:ascii="Times New Roman" w:hAnsi="Times New Roman" w:cs="Times New Roman"/>
          <w:sz w:val="28"/>
          <w:szCs w:val="28"/>
        </w:rPr>
        <w:t>не чаще чем 1 раз в 10 лет для головных исполнителей, исполнителей, деятельность которых отнесена к низкой категории риска.</w:t>
      </w:r>
    </w:p>
    <w:p w14:paraId="1B3CA056" w14:textId="77777777" w:rsidR="007A060C" w:rsidRPr="007A060C" w:rsidRDefault="007A060C"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7A060C">
        <w:rPr>
          <w:rFonts w:ascii="Times New Roman" w:hAnsi="Times New Roman" w:cs="Times New Roman"/>
          <w:sz w:val="28"/>
          <w:szCs w:val="28"/>
        </w:rPr>
        <w:t xml:space="preserve">Кроме того, </w:t>
      </w:r>
      <w:r w:rsidRPr="007A060C">
        <w:rPr>
          <w:rFonts w:ascii="Times New Roman" w:hAnsi="Times New Roman" w:cs="Times New Roman"/>
          <w:sz w:val="28"/>
          <w:szCs w:val="28"/>
        </w:rPr>
        <w:tab/>
        <w:t xml:space="preserve">Федеральным законом от 03.07.2018 № 182-ФЗ «О внесении изменений в Федеральный закон «О рекламе» </w:t>
      </w:r>
      <w:r w:rsidRPr="007A060C">
        <w:rPr>
          <w:rFonts w:ascii="Times New Roman" w:hAnsi="Times New Roman" w:cs="Times New Roman"/>
          <w:sz w:val="28"/>
          <w:szCs w:val="28"/>
        </w:rPr>
        <w:tab/>
        <w:t xml:space="preserve">и Федеральным законом от 25.12.2018 № 480-ФЗ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35 Федерального закона «О водоснабжении и водоотведении» плановые проверки в сфере контроля законодательства о рекламе и государственного регулирования цен (тарифов) отменены. </w:t>
      </w:r>
    </w:p>
    <w:p w14:paraId="7FDFC83F"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47122441" w14:textId="77777777" w:rsidR="007A060C" w:rsidRPr="007A060C" w:rsidRDefault="007A060C" w:rsidP="00D3438A">
      <w:pPr>
        <w:spacing w:after="0" w:line="240" w:lineRule="auto"/>
        <w:ind w:firstLine="709"/>
        <w:contextualSpacing/>
        <w:jc w:val="both"/>
        <w:rPr>
          <w:rFonts w:ascii="Times New Roman" w:hAnsi="Times New Roman" w:cs="Times New Roman"/>
          <w:b/>
          <w:sz w:val="28"/>
          <w:szCs w:val="28"/>
        </w:rPr>
      </w:pPr>
      <w:r w:rsidRPr="007A060C">
        <w:rPr>
          <w:rFonts w:ascii="Times New Roman" w:hAnsi="Times New Roman" w:cs="Times New Roman"/>
          <w:b/>
          <w:sz w:val="28"/>
          <w:szCs w:val="28"/>
        </w:rPr>
        <w:t>Разработка и внедрение системы оценки результативности и эффективности контрольно-надзорной деятельности</w:t>
      </w:r>
    </w:p>
    <w:p w14:paraId="1E05A5C3"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59B4DCA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hAnsi="Times New Roman" w:cs="Times New Roman"/>
          <w:sz w:val="28"/>
          <w:szCs w:val="28"/>
        </w:rPr>
        <w:t xml:space="preserve">В рамках реализации направления «Разработка и внедрение системы оценки результативности и эффективности контрольно-надзорной деятельности» ФАС России утверждены </w:t>
      </w:r>
      <w:r w:rsidRPr="007A060C">
        <w:rPr>
          <w:rFonts w:ascii="Times New Roman" w:eastAsia="Arial Unicode MS" w:hAnsi="Times New Roman" w:cs="Times New Roman"/>
          <w:sz w:val="28"/>
          <w:szCs w:val="28"/>
        </w:rPr>
        <w:t xml:space="preserve">перечень и значения показателей результативности и эффективности, соответствующих Базовой модели определения показателей результативности и эффективности контрольно-надзорной деятельности (далее – показатели). </w:t>
      </w:r>
    </w:p>
    <w:p w14:paraId="0A815F4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По</w:t>
      </w:r>
      <w:r w:rsidRPr="007A060C">
        <w:rPr>
          <w:rFonts w:ascii="Times New Roman" w:hAnsi="Times New Roman" w:cs="Times New Roman"/>
          <w:sz w:val="28"/>
          <w:szCs w:val="28"/>
        </w:rPr>
        <w:t xml:space="preserve"> </w:t>
      </w:r>
      <w:r w:rsidRPr="007A060C">
        <w:rPr>
          <w:rFonts w:ascii="Times New Roman" w:eastAsia="Arial Unicode MS" w:hAnsi="Times New Roman" w:cs="Times New Roman"/>
          <w:sz w:val="28"/>
          <w:szCs w:val="28"/>
        </w:rPr>
        <w:t>контролю соблюдения антимонопольного законодательства разработаны перечни показателей всех трех групп: «А», «Б» и «В».</w:t>
      </w:r>
    </w:p>
    <w:p w14:paraId="20306575"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 xml:space="preserve">Результатом данной работы стало утверждение приказа ФАС России от 16.10.2017 № 1363/17 «Об утверждении перечней и значений показателей результативности и эффективности контрольно-надзорной деятельности ФАС России и определении механизмов контроля за достижением показателей результативности и эффективности». Обеспечена публичность и доступность показателей на официальном сайте Ведомства в разделе «Реформа контроля и надзора» и в системе «АИС КНД». </w:t>
      </w:r>
    </w:p>
    <w:p w14:paraId="7BB1045B"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В ходе пилотного расчета Индекса качества администрирования контрольно-надзорных функций по каждому участнику приоритетной программы ФАС России по большинству качественных характеристик контрольно-надзорной деятельности показала достаточно высокие результаты. Стоит отметить, что оценка проводилась по определенным видам государственного контроля, по которым в наибольшей степени имеются данные и реализованы мероприятия проводимой Реформы (в отношении ФАС России оценивался контроль в области соблюдения антимонопольного законодательства). Так, ФАС России по итогам расчета Индекса качества администрирования контрольно-надзорных функций заняла второе место среди Ведомств.</w:t>
      </w:r>
    </w:p>
    <w:p w14:paraId="51010281"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2EC9FAFC" w14:textId="77777777" w:rsidR="007A060C" w:rsidRPr="007A060C" w:rsidRDefault="007A060C" w:rsidP="00D3438A">
      <w:pPr>
        <w:spacing w:after="0" w:line="240" w:lineRule="auto"/>
        <w:ind w:firstLine="709"/>
        <w:contextualSpacing/>
        <w:jc w:val="both"/>
        <w:rPr>
          <w:rFonts w:ascii="Times New Roman" w:hAnsi="Times New Roman" w:cs="Times New Roman"/>
          <w:b/>
          <w:sz w:val="28"/>
          <w:szCs w:val="28"/>
        </w:rPr>
      </w:pPr>
      <w:r w:rsidRPr="007A060C">
        <w:rPr>
          <w:rFonts w:ascii="Times New Roman" w:hAnsi="Times New Roman" w:cs="Times New Roman"/>
          <w:b/>
          <w:sz w:val="28"/>
          <w:szCs w:val="28"/>
        </w:rPr>
        <w:t>Систематизация, сокращение количества и актуализация обязательных требований</w:t>
      </w:r>
    </w:p>
    <w:p w14:paraId="15AE7383"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p>
    <w:p w14:paraId="60921386" w14:textId="77777777" w:rsidR="007A060C" w:rsidRPr="007A060C" w:rsidRDefault="007A060C" w:rsidP="00D3438A">
      <w:pPr>
        <w:spacing w:after="0" w:line="240" w:lineRule="auto"/>
        <w:contextualSpacing/>
        <w:jc w:val="both"/>
        <w:rPr>
          <w:rFonts w:ascii="Times New Roman" w:hAnsi="Times New Roman" w:cs="Times New Roman"/>
          <w:sz w:val="28"/>
          <w:szCs w:val="28"/>
        </w:rPr>
      </w:pPr>
      <w:r w:rsidRPr="007A060C">
        <w:rPr>
          <w:rFonts w:ascii="Times New Roman" w:hAnsi="Times New Roman" w:cs="Times New Roman"/>
          <w:sz w:val="28"/>
          <w:szCs w:val="28"/>
        </w:rPr>
        <w:tab/>
        <w:t>В рамках реализации направления «Систематизация, сокращение количества и актуализация обязательных требований» издан Приказом ФАС России от 13.07.2017 № 928/17, утверждающий Перечень нормативно-правовых актов, содержащих обязательные требования, соблюдение которых оценивается при проведении ФАС России мероприятий по контролю (надзору).</w:t>
      </w:r>
    </w:p>
    <w:p w14:paraId="5F03D897"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Указанный Перечень размещен на официальной странице ФАС России в информационно-телекоммуникационной сети «Интернет».</w:t>
      </w:r>
    </w:p>
    <w:p w14:paraId="3198FBB0" w14:textId="77777777" w:rsidR="007A060C" w:rsidRPr="007A060C" w:rsidRDefault="007A060C" w:rsidP="00D3438A">
      <w:pPr>
        <w:spacing w:after="0" w:line="240" w:lineRule="auto"/>
        <w:contextualSpacing/>
        <w:jc w:val="both"/>
        <w:rPr>
          <w:rFonts w:ascii="Times New Roman" w:hAnsi="Times New Roman" w:cs="Times New Roman"/>
          <w:sz w:val="28"/>
          <w:szCs w:val="28"/>
        </w:rPr>
      </w:pPr>
      <w:r w:rsidRPr="007A060C">
        <w:rPr>
          <w:rFonts w:ascii="Times New Roman" w:eastAsia="Times New Roman" w:hAnsi="Times New Roman" w:cs="Times New Roman"/>
          <w:sz w:val="28"/>
          <w:szCs w:val="28"/>
          <w:lang w:eastAsia="ru-RU"/>
        </w:rPr>
        <w:tab/>
      </w:r>
      <w:r w:rsidRPr="007A060C">
        <w:rPr>
          <w:rFonts w:ascii="Times New Roman" w:hAnsi="Times New Roman" w:cs="Times New Roman"/>
          <w:sz w:val="28"/>
          <w:szCs w:val="28"/>
        </w:rPr>
        <w:t>Приказом ФАС России от 11.05.2017 № 623/17 утвержден состав рабочей группы по систематизации, сокращению количества и актуализации обязательных требований.</w:t>
      </w:r>
    </w:p>
    <w:p w14:paraId="54FC58D1" w14:textId="77777777" w:rsidR="007A060C" w:rsidRPr="007A060C" w:rsidRDefault="007A060C" w:rsidP="00D3438A">
      <w:pPr>
        <w:spacing w:after="0" w:line="240" w:lineRule="auto"/>
        <w:contextualSpacing/>
        <w:jc w:val="both"/>
        <w:rPr>
          <w:rFonts w:ascii="Times New Roman" w:hAnsi="Times New Roman" w:cs="Times New Roman"/>
          <w:sz w:val="28"/>
          <w:szCs w:val="28"/>
        </w:rPr>
      </w:pPr>
      <w:r w:rsidRPr="007A060C">
        <w:rPr>
          <w:rFonts w:ascii="Times New Roman" w:hAnsi="Times New Roman" w:cs="Times New Roman"/>
          <w:sz w:val="28"/>
          <w:szCs w:val="28"/>
        </w:rPr>
        <w:tab/>
        <w:t>Приказом ФАС России от 25.08.2017 № 1120/17 утвержден Порядок организации систематической оценки эффективности и пересмотра обязательных требований, согласно которому оценка проводится на систематической основе, с учетом представления обращений представителей предпринимательского сообщества о нецелесообразности применения, как отдельных обязательных требований, так и нормативных правовых актов в целом.</w:t>
      </w:r>
    </w:p>
    <w:p w14:paraId="6FE82782"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Представители ФАС России на постоянной основе участвуют в экспертных рабочих группах по совершенствованию контрольно-надзорной деятельности по видам контроля (надзора) при Министерстве юстиции Российской Федерации.</w:t>
      </w:r>
    </w:p>
    <w:p w14:paraId="3840A16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227D044D" w14:textId="77777777" w:rsidR="007A060C" w:rsidRPr="007A060C" w:rsidRDefault="007A060C" w:rsidP="00D3438A">
      <w:pPr>
        <w:spacing w:after="0" w:line="240" w:lineRule="auto"/>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i/>
          <w:sz w:val="28"/>
          <w:szCs w:val="28"/>
          <w:lang w:eastAsia="ru-RU"/>
        </w:rPr>
        <w:tab/>
      </w:r>
      <w:r w:rsidRPr="007A060C">
        <w:rPr>
          <w:rFonts w:ascii="Times New Roman" w:eastAsia="Times New Roman" w:hAnsi="Times New Roman" w:cs="Times New Roman"/>
          <w:b/>
          <w:sz w:val="28"/>
          <w:szCs w:val="28"/>
          <w:lang w:eastAsia="ru-RU"/>
        </w:rPr>
        <w:t>Система комплексной профилактики нарушения обязательных требований</w:t>
      </w:r>
    </w:p>
    <w:p w14:paraId="311AB891"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69276E29" w14:textId="77777777" w:rsidR="007A060C" w:rsidRPr="007A060C" w:rsidRDefault="007A060C" w:rsidP="00930334">
      <w:pPr>
        <w:spacing w:after="0" w:line="240" w:lineRule="auto"/>
        <w:contextualSpacing/>
        <w:jc w:val="both"/>
        <w:rPr>
          <w:rFonts w:ascii="Times New Roman" w:hAnsi="Times New Roman" w:cs="Times New Roman"/>
          <w:sz w:val="28"/>
          <w:szCs w:val="28"/>
        </w:rPr>
      </w:pPr>
      <w:r w:rsidRPr="007A060C">
        <w:rPr>
          <w:rFonts w:ascii="Times New Roman" w:hAnsi="Times New Roman" w:cs="Times New Roman"/>
          <w:sz w:val="28"/>
          <w:szCs w:val="28"/>
        </w:rPr>
        <w:tab/>
        <w:t>В рамках реализации направления «Система комплексной профилактики нарушения обязательных требований» ФАС России проводит комплекс профилактических мероприятий, которые направлены на предупреждение нарушений обязательных требований и повышение прозрачности системы надзорных функций.</w:t>
      </w:r>
    </w:p>
    <w:p w14:paraId="28BA12C8" w14:textId="77777777" w:rsidR="007A060C" w:rsidRPr="007A060C" w:rsidRDefault="007A060C" w:rsidP="00930334">
      <w:pPr>
        <w:spacing w:after="0" w:line="240" w:lineRule="auto"/>
        <w:contextualSpacing/>
        <w:jc w:val="both"/>
        <w:rPr>
          <w:rFonts w:ascii="Times New Roman" w:eastAsia="Calibri" w:hAnsi="Times New Roman" w:cs="Times New Roman"/>
          <w:sz w:val="28"/>
          <w:szCs w:val="28"/>
        </w:rPr>
      </w:pPr>
      <w:r w:rsidRPr="007A060C">
        <w:rPr>
          <w:rFonts w:ascii="Times New Roman" w:hAnsi="Times New Roman" w:cs="Times New Roman"/>
          <w:sz w:val="28"/>
          <w:szCs w:val="28"/>
        </w:rPr>
        <w:tab/>
        <w:t>В соответствии со статьей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в целях предупреждения нарушения обязательных требований, соблюдение которых оценивается Федеральной антимонопольной службой при проведении мероприятий по федеральному государственному надзору за соблюдением антимонопольного законодательства и иных нормативных правовых актов, содержащих нормы конкурентного права, устранению причин, факторов и условий, способствующих нарушению таких обязательных требований п</w:t>
      </w:r>
      <w:r w:rsidRPr="007A060C">
        <w:rPr>
          <w:rFonts w:ascii="Times New Roman" w:eastAsia="Calibri" w:hAnsi="Times New Roman" w:cs="Times New Roman"/>
          <w:sz w:val="28"/>
          <w:szCs w:val="28"/>
        </w:rPr>
        <w:t>риказом ФАС России от 24.08.2018 № 1194/18 утверждена ведомственная программа профилактики рисков причинения вреда охраняемым законом ценностям на 2018-2020 гг и План-график профилактических мероприятий ФАС России.</w:t>
      </w:r>
    </w:p>
    <w:p w14:paraId="056F4E1D" w14:textId="77777777" w:rsidR="007A060C" w:rsidRPr="007A060C" w:rsidRDefault="007A060C" w:rsidP="00930334">
      <w:pPr>
        <w:spacing w:after="0" w:line="240" w:lineRule="auto"/>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ab/>
        <w:t>Согласно указанному плану-графику на территории Российской Федерации проведено более 250 мероприятий с подконтрольными субъектами.</w:t>
      </w:r>
    </w:p>
    <w:p w14:paraId="1A145EA4" w14:textId="77777777" w:rsidR="007A060C" w:rsidRPr="007A060C" w:rsidRDefault="007A060C" w:rsidP="00930334">
      <w:pPr>
        <w:spacing w:after="0" w:line="240" w:lineRule="auto"/>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ab/>
        <w:t xml:space="preserve">Помимо этих мероприятий представители центрального аппарата ФАС России дополнительно приняли участие еще в 123 публичных мероприятиях (конференции, круглые столы, форумы и др.). </w:t>
      </w:r>
    </w:p>
    <w:p w14:paraId="1A7F8495" w14:textId="77777777" w:rsidR="007A060C" w:rsidRPr="007A060C" w:rsidRDefault="007A060C" w:rsidP="00930334">
      <w:pPr>
        <w:spacing w:after="0" w:line="240" w:lineRule="auto"/>
        <w:jc w:val="both"/>
        <w:rPr>
          <w:rFonts w:ascii="Times New Roman" w:eastAsia="Calibri" w:hAnsi="Times New Roman" w:cs="Times New Roman"/>
          <w:b/>
          <w:bCs/>
          <w:iCs/>
          <w:sz w:val="28"/>
          <w:szCs w:val="28"/>
        </w:rPr>
      </w:pPr>
      <w:r w:rsidRPr="007A060C">
        <w:rPr>
          <w:rFonts w:ascii="Times New Roman" w:eastAsiaTheme="majorEastAsia" w:hAnsi="Times New Roman" w:cs="Times New Roman"/>
          <w:color w:val="2E74B5" w:themeColor="accent1" w:themeShade="BF"/>
          <w:sz w:val="28"/>
          <w:szCs w:val="28"/>
        </w:rPr>
        <w:tab/>
      </w:r>
      <w:r w:rsidRPr="007A060C">
        <w:rPr>
          <w:rFonts w:ascii="Times New Roman" w:eastAsia="Calibri" w:hAnsi="Times New Roman" w:cs="Times New Roman"/>
          <w:sz w:val="28"/>
          <w:szCs w:val="28"/>
        </w:rPr>
        <w:t xml:space="preserve">В настоящее время в Российской Федерации успешно функционируют 52 (по состоянию на 11.12.2017) кафедры и центры конкурентного права и антимонопольного регулирования. Стоит отметить, что </w:t>
      </w:r>
      <w:r w:rsidRPr="007A060C">
        <w:rPr>
          <w:rFonts w:ascii="Times New Roman" w:eastAsia="Calibri" w:hAnsi="Times New Roman" w:cs="Times New Roman"/>
          <w:iCs/>
          <w:sz w:val="28"/>
          <w:szCs w:val="28"/>
        </w:rPr>
        <w:t>развитие и совершенствование антимонопольного законодательства привело к формированию новой отрасли «Конкурентное право», которая имеет свой предмет, метод и принципы правового регулирования.</w:t>
      </w:r>
    </w:p>
    <w:p w14:paraId="290E1B27" w14:textId="77777777" w:rsidR="007A060C" w:rsidRPr="007A060C" w:rsidRDefault="007A060C" w:rsidP="00930334">
      <w:pPr>
        <w:spacing w:after="0" w:line="240" w:lineRule="auto"/>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ab/>
        <w:t>Учебные дисциплины преподают сотрудники ФАС России и представители юридического и экономического сообщества.</w:t>
      </w:r>
    </w:p>
    <w:p w14:paraId="1D346489"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В 2017 году было проведено 4 заседания Научно-методический совета, в </w:t>
      </w:r>
      <w:r w:rsidRPr="007A060C">
        <w:rPr>
          <w:rFonts w:ascii="Times New Roman" w:hAnsi="Times New Roman" w:cs="Times New Roman"/>
          <w:sz w:val="28"/>
          <w:szCs w:val="28"/>
        </w:rPr>
        <w:t>состав совета вошли 51 член, из которых 17 кандидатов наук и 9 докторов наук.</w:t>
      </w:r>
    </w:p>
    <w:p w14:paraId="7E01AC8A"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В ФАС России созданы условия для общественного контроля за деятельностью подконтрольных субъектов. Так, на официальном сайте ФАС России размещены и функционируют три </w:t>
      </w:r>
      <w:r w:rsidRPr="007A060C">
        <w:rPr>
          <w:rFonts w:ascii="Times New Roman" w:eastAsia="Calibri" w:hAnsi="Times New Roman" w:cs="Times New Roman"/>
          <w:b/>
          <w:sz w:val="28"/>
          <w:szCs w:val="28"/>
          <w:u w:val="single"/>
        </w:rPr>
        <w:t>«горячии линии</w:t>
      </w:r>
      <w:r w:rsidRPr="007A060C">
        <w:rPr>
          <w:rFonts w:ascii="Times New Roman" w:eastAsia="Calibri" w:hAnsi="Times New Roman" w:cs="Times New Roman"/>
          <w:sz w:val="28"/>
          <w:szCs w:val="28"/>
        </w:rPr>
        <w:t xml:space="preserve">»: по вопросам повышения цен на продовольствие, для сообщений о нарушениях Закона о торговле и «Сообщи о картеле!». </w:t>
      </w:r>
    </w:p>
    <w:p w14:paraId="214522FF"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Кроме того, на официальном сайте ФАС России размещен «Калькулятор ЖКХ», который является агрегатором ссылок на региональные калькуляторы коммунальных платежей, разработанных в соответствии с поручением Правительства Российской Федерации. </w:t>
      </w:r>
    </w:p>
    <w:p w14:paraId="745C43A9"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В ФАС России эффективно функционирует Общественная приемная. </w:t>
      </w:r>
    </w:p>
    <w:p w14:paraId="129C9EFC" w14:textId="77777777" w:rsidR="007A060C" w:rsidRPr="007A060C" w:rsidRDefault="007A060C" w:rsidP="00930334">
      <w:pPr>
        <w:spacing w:after="0" w:line="240" w:lineRule="auto"/>
        <w:ind w:firstLine="709"/>
        <w:jc w:val="both"/>
        <w:rPr>
          <w:rFonts w:ascii="Times New Roman" w:eastAsia="Calibri" w:hAnsi="Times New Roman" w:cs="Times New Roman"/>
          <w:b/>
          <w:bCs/>
          <w:sz w:val="28"/>
          <w:szCs w:val="28"/>
        </w:rPr>
      </w:pPr>
      <w:r w:rsidRPr="007A060C">
        <w:rPr>
          <w:rFonts w:ascii="Times New Roman" w:eastAsia="Calibri" w:hAnsi="Times New Roman" w:cs="Times New Roman"/>
          <w:sz w:val="28"/>
          <w:szCs w:val="28"/>
        </w:rPr>
        <w:t xml:space="preserve">В целях единообразия правоприменения антимонопольного законодательства ФАС России подготовила и утвердила приказом План методической помощи территориальным органам </w:t>
      </w:r>
      <w:r w:rsidRPr="007A060C">
        <w:rPr>
          <w:rFonts w:ascii="Times New Roman" w:eastAsiaTheme="majorEastAsia" w:hAnsi="Times New Roman" w:cs="Times New Roman"/>
          <w:sz w:val="28"/>
          <w:szCs w:val="28"/>
        </w:rPr>
        <w:t xml:space="preserve">оказания методической помощи территориальным </w:t>
      </w:r>
      <w:r w:rsidRPr="007A060C">
        <w:rPr>
          <w:rFonts w:ascii="Times New Roman" w:eastAsia="Calibri" w:hAnsi="Times New Roman" w:cs="Times New Roman"/>
          <w:sz w:val="28"/>
          <w:szCs w:val="28"/>
        </w:rPr>
        <w:t xml:space="preserve">органам ФАС России в 2018 году. </w:t>
      </w:r>
    </w:p>
    <w:p w14:paraId="1D8BF54D" w14:textId="77777777" w:rsidR="007A060C" w:rsidRPr="007A060C" w:rsidRDefault="007A060C" w:rsidP="00930334">
      <w:pPr>
        <w:spacing w:after="0" w:line="240" w:lineRule="auto"/>
        <w:ind w:firstLine="709"/>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Президиум ФАС России разработал и принял ряд разъяснений по применению Закона о защите конкуренции. За период 2016-2018 гг. приняты несколько таких документов.</w:t>
      </w:r>
    </w:p>
    <w:p w14:paraId="1D4E56F4"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Разъяснения способствуют формированию единообразной правоприменительной практики и профилактике правонарушений. </w:t>
      </w:r>
    </w:p>
    <w:p w14:paraId="616A8928"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При ФАС России действуют 28 экспертных советов по ключевым рынкам и 6 коллегиальных органов. В состав Экспертных советов входят участники рынков, представители некоммерческих объединений и контролирующих органов власти. Такая практика позволяет ФАС России объективно оценивать ситуацию на соответствующих рынках и повышает транспарентность принимаемых ФАС России решений.</w:t>
      </w:r>
    </w:p>
    <w:p w14:paraId="4F1CBE6A"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ФАС России разработала на официальном сайте ФАС России специальный раздел, посвященный реформе контрольно-надзорной деятельности. Все материалы о ходе реформы госконтроля ФАС России структурированы по разделам</w:t>
      </w:r>
    </w:p>
    <w:p w14:paraId="1CC1BE27"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Они разделены по новостям, анонсам, видео, отчетам и иным материалам центрального аппарата ФАС России и территориальных органов службы.</w:t>
      </w:r>
    </w:p>
    <w:p w14:paraId="4FA8A93F" w14:textId="77777777" w:rsidR="007A060C" w:rsidRPr="007A060C" w:rsidRDefault="007A060C" w:rsidP="00D3438A">
      <w:pPr>
        <w:spacing w:after="0" w:line="240" w:lineRule="auto"/>
        <w:contextualSpacing/>
        <w:jc w:val="both"/>
        <w:rPr>
          <w:rFonts w:ascii="Times New Roman" w:hAnsi="Times New Roman" w:cs="Times New Roman"/>
          <w:sz w:val="28"/>
          <w:szCs w:val="28"/>
        </w:rPr>
      </w:pPr>
    </w:p>
    <w:p w14:paraId="1471AFE1" w14:textId="77777777" w:rsidR="007A060C" w:rsidRPr="007A060C" w:rsidRDefault="007A060C" w:rsidP="00D3438A">
      <w:pPr>
        <w:spacing w:after="0" w:line="240" w:lineRule="auto"/>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i/>
          <w:sz w:val="28"/>
          <w:szCs w:val="28"/>
          <w:lang w:eastAsia="ru-RU"/>
        </w:rPr>
        <w:tab/>
      </w:r>
      <w:r w:rsidRPr="007A060C">
        <w:rPr>
          <w:rFonts w:ascii="Times New Roman" w:eastAsia="Times New Roman" w:hAnsi="Times New Roman" w:cs="Times New Roman"/>
          <w:b/>
          <w:sz w:val="28"/>
          <w:szCs w:val="28"/>
          <w:lang w:eastAsia="ru-RU"/>
        </w:rPr>
        <w:t>Внедрение эффективных механизмов кадровой политики</w:t>
      </w:r>
    </w:p>
    <w:p w14:paraId="687503FB" w14:textId="77777777" w:rsidR="007A060C" w:rsidRPr="007A060C" w:rsidRDefault="007A060C" w:rsidP="00D3438A">
      <w:pPr>
        <w:spacing w:after="0" w:line="240" w:lineRule="auto"/>
        <w:contextualSpacing/>
        <w:jc w:val="both"/>
        <w:rPr>
          <w:rFonts w:ascii="Times New Roman" w:eastAsia="Times New Roman" w:hAnsi="Times New Roman" w:cs="Times New Roman"/>
          <w:b/>
          <w:i/>
          <w:sz w:val="28"/>
          <w:szCs w:val="28"/>
          <w:lang w:eastAsia="ru-RU"/>
        </w:rPr>
      </w:pPr>
    </w:p>
    <w:p w14:paraId="6C26ABB1" w14:textId="77777777" w:rsidR="007A060C" w:rsidRPr="007A060C" w:rsidRDefault="007A060C" w:rsidP="00D3438A">
      <w:pPr>
        <w:spacing w:after="0" w:line="240" w:lineRule="auto"/>
        <w:contextualSpacing/>
        <w:jc w:val="both"/>
        <w:rPr>
          <w:rFonts w:ascii="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В рамках реализации направления «Внедрение эффективных механизмов кадровой политики» ФАС России </w:t>
      </w:r>
      <w:r w:rsidRPr="007A060C">
        <w:rPr>
          <w:rFonts w:ascii="Times New Roman" w:eastAsia="Arial Unicode MS" w:hAnsi="Times New Roman" w:cs="Times New Roman"/>
          <w:sz w:val="28"/>
          <w:szCs w:val="28"/>
          <w:lang w:eastAsia="ru-RU"/>
        </w:rPr>
        <w:t xml:space="preserve">разработан </w:t>
      </w:r>
      <w:r w:rsidRPr="007A060C">
        <w:rPr>
          <w:rFonts w:ascii="Times New Roman" w:eastAsia="Times New Roman" w:hAnsi="Times New Roman" w:cs="Times New Roman"/>
          <w:sz w:val="28"/>
          <w:szCs w:val="28"/>
          <w:lang w:eastAsia="ru-RU"/>
        </w:rPr>
        <w:t>Стандарт обеспечения эффективного функционирования системы управления кадровым составом на государственной гражданской службе в ФАС России (далее - Стандарт), адаптированный с учетом специфики деятельности ФАС России.</w:t>
      </w:r>
    </w:p>
    <w:p w14:paraId="22959AA4" w14:textId="77777777" w:rsidR="007A060C" w:rsidRPr="007A060C" w:rsidRDefault="007A060C" w:rsidP="00D3438A">
      <w:pPr>
        <w:spacing w:after="0" w:line="240" w:lineRule="auto"/>
        <w:ind w:firstLine="709"/>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На совещании в Минтруде России 10 октября 2017 года по вопросу утверждения Стандарта кадрового менеджмента, ФАС России отмечена как единственный федеральный орган – пилотный участник реализации приоритетного проекта, исполнивший данное контрольное мероприятие на высоком уровне. Принято решение о рассылке Стандарта ФАС России в иные контрольно-надзорные органы как образцового документа.</w:t>
      </w:r>
    </w:p>
    <w:p w14:paraId="605A4A70" w14:textId="77777777" w:rsidR="007A060C" w:rsidRPr="007A060C" w:rsidRDefault="007A060C" w:rsidP="00D3438A">
      <w:pPr>
        <w:tabs>
          <w:tab w:val="left" w:pos="262"/>
        </w:tabs>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В рамках проведения комплексного аудита 1-го уровня ФАС России в полном объеме организованы мероприятия, заявленные экспертными группами ФГБУ «ВНИИ труда» Минтруда России и РАНХиГС, по диагностике операционных процессов и процессов кадровой системы ведомства.</w:t>
      </w:r>
    </w:p>
    <w:p w14:paraId="02E681C2" w14:textId="77777777" w:rsidR="007A060C" w:rsidRPr="007A060C" w:rsidRDefault="007A060C" w:rsidP="00D3438A">
      <w:pPr>
        <w:tabs>
          <w:tab w:val="left" w:pos="262"/>
        </w:tabs>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 xml:space="preserve">Издан приказ ФАС России от 23.08.2017 № 1091/17 «О проведении комплексного аудита» и создана рабочая группа. </w:t>
      </w:r>
    </w:p>
    <w:p w14:paraId="600CA580"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В ФАС России разработаны и применяются оценочные инструменты для проверки соответствия претендентов на замещение должностей в ФАС России, и государственных служащих, реализующих указанные полномочия, детализированным квалификационным требованиям.</w:t>
      </w:r>
    </w:p>
    <w:p w14:paraId="6035F7EB" w14:textId="77777777" w:rsidR="007A060C" w:rsidRPr="007A060C" w:rsidRDefault="007A060C" w:rsidP="00D3438A">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Разработаны и утверждены Методики оценки результативности профессиональной служебной деятельности служащих отраслевых и инфраструктурных подразделений центрального аппарата ФАС России (приказы ФАС России от 23.11.2017 № 1566/17, № 1567/17). Внедрение оценки предусмотрено с 01.01.2018 для 100% служащих структурных подразделений центрального аппарата.</w:t>
      </w:r>
    </w:p>
    <w:p w14:paraId="1174C9BE" w14:textId="77777777" w:rsidR="007A060C" w:rsidRPr="007A060C" w:rsidRDefault="007A060C" w:rsidP="00D3438A">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p>
    <w:p w14:paraId="486C298E" w14:textId="77777777" w:rsidR="007A060C" w:rsidRPr="007A060C" w:rsidRDefault="007A060C" w:rsidP="00D3438A">
      <w:pPr>
        <w:tabs>
          <w:tab w:val="left" w:pos="1134"/>
        </w:tabs>
        <w:spacing w:after="0" w:line="240" w:lineRule="auto"/>
        <w:ind w:firstLine="709"/>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sz w:val="28"/>
          <w:szCs w:val="28"/>
          <w:lang w:eastAsia="ru-RU"/>
        </w:rPr>
        <w:t>Внедрение системы предупреждения и профилактики коррупционных проявлений в контрольно-надзорной деятельности</w:t>
      </w:r>
    </w:p>
    <w:p w14:paraId="78831AE1" w14:textId="77777777" w:rsidR="007A060C" w:rsidRPr="007A060C" w:rsidRDefault="007A060C" w:rsidP="00D3438A">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p>
    <w:p w14:paraId="58AB11F6"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В рамках реализации направления «Внедрение системы предупреждения и профилактики коррупционных проявлений в контрольно-надзорной деятельности» утверждена приказом ФАС России от 24.10.2017      № 1424/17 Карта коррупционных рисков при осуществлении гражданскими служащими ФАС России контрольно-надзорных функций.</w:t>
      </w:r>
    </w:p>
    <w:p w14:paraId="35DCFDAF"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r w:rsidRPr="007A060C">
        <w:rPr>
          <w:rFonts w:ascii="Times New Roman" w:eastAsia="Times New Roman" w:hAnsi="Times New Roman" w:cs="Times New Roman"/>
          <w:sz w:val="28"/>
          <w:szCs w:val="28"/>
          <w:lang w:eastAsia="ru-RU"/>
        </w:rPr>
        <w:t xml:space="preserve"> Также, </w:t>
      </w:r>
      <w:r w:rsidRPr="007A060C">
        <w:rPr>
          <w:rFonts w:ascii="Times New Roman" w:hAnsi="Times New Roman" w:cs="Times New Roman"/>
          <w:sz w:val="28"/>
          <w:szCs w:val="28"/>
        </w:rPr>
        <w:t xml:space="preserve">ФАС России приказом от 25.10.2017 № 1423/17 утвержден комплекс правовых, организационных и профилактических мер по минимизации выявленных коррупционных рисков при осуществлении гражданскими служащими ФАС России контрольно-надзорных функций. </w:t>
      </w:r>
    </w:p>
    <w:p w14:paraId="79FCEAF4" w14:textId="77777777" w:rsidR="007A060C" w:rsidRPr="007A060C" w:rsidRDefault="007A060C" w:rsidP="00D3438A">
      <w:pPr>
        <w:spacing w:after="0" w:line="240" w:lineRule="auto"/>
        <w:contextualSpacing/>
        <w:jc w:val="both"/>
        <w:rPr>
          <w:rFonts w:ascii="Times New Roman" w:hAnsi="Times New Roman" w:cs="Times New Roman"/>
          <w:sz w:val="28"/>
          <w:szCs w:val="28"/>
        </w:rPr>
      </w:pPr>
      <w:r w:rsidRPr="007A060C">
        <w:rPr>
          <w:rFonts w:ascii="Times New Roman" w:hAnsi="Times New Roman" w:cs="Times New Roman"/>
          <w:sz w:val="28"/>
          <w:szCs w:val="28"/>
        </w:rPr>
        <w:t>Данным приказом утверждена обязанность начальников структурных подразделений ФАС России проводить мониторинг выполнения гражданскими служащими ФАС России при осуществлении контрольно-надзорной деятельности должностных обязанностей и служебного распорядка, также установлены формы и сроки отчетности по данным мероприятиям.</w:t>
      </w:r>
    </w:p>
    <w:p w14:paraId="76CE7E4F" w14:textId="77777777" w:rsidR="007A060C" w:rsidRDefault="007A060C" w:rsidP="00883C8E">
      <w:pPr>
        <w:spacing w:after="0" w:line="360" w:lineRule="auto"/>
        <w:jc w:val="both"/>
        <w:rPr>
          <w:rFonts w:ascii="Times New Roman" w:hAnsi="Times New Roman" w:cs="Times New Roman"/>
        </w:rPr>
      </w:pPr>
    </w:p>
    <w:p w14:paraId="6AD09DA6" w14:textId="77777777" w:rsidR="00883C8E" w:rsidRPr="00031DDC" w:rsidRDefault="00883C8E" w:rsidP="00DA3F05">
      <w:pPr>
        <w:pStyle w:val="3"/>
      </w:pPr>
      <w:bookmarkStart w:id="79" w:name="_Toc7447942"/>
      <w:r w:rsidRPr="008F739E">
        <w:t>Развитие</w:t>
      </w:r>
      <w:r w:rsidRPr="00031DDC">
        <w:t xml:space="preserve"> судебной практики</w:t>
      </w:r>
      <w:bookmarkEnd w:id="79"/>
      <w:r w:rsidRPr="00031DDC">
        <w:t xml:space="preserve"> </w:t>
      </w:r>
      <w:bookmarkStart w:id="80" w:name="_Toc6834322"/>
      <w:bookmarkStart w:id="81" w:name="_Toc6834609"/>
      <w:bookmarkStart w:id="82" w:name="_Toc6834812"/>
      <w:bookmarkEnd w:id="80"/>
      <w:bookmarkEnd w:id="81"/>
      <w:bookmarkEnd w:id="82"/>
    </w:p>
    <w:p w14:paraId="603CDA5F" w14:textId="77777777" w:rsidR="00EA5B4E" w:rsidRDefault="00EA5B4E" w:rsidP="00883C8E">
      <w:pPr>
        <w:spacing w:after="0" w:line="360" w:lineRule="auto"/>
        <w:jc w:val="both"/>
        <w:rPr>
          <w:rFonts w:ascii="Times New Roman" w:hAnsi="Times New Roman" w:cs="Times New Roman"/>
        </w:rPr>
      </w:pPr>
    </w:p>
    <w:p w14:paraId="429E3695" w14:textId="6E5AC041" w:rsidR="003D1D28" w:rsidRDefault="003D1D28" w:rsidP="003D1D28">
      <w:pPr>
        <w:spacing w:after="0" w:line="240" w:lineRule="auto"/>
        <w:ind w:firstLine="709"/>
        <w:jc w:val="both"/>
        <w:rPr>
          <w:rFonts w:ascii="Times New Roman" w:eastAsia="Times New Roman" w:hAnsi="Times New Roman" w:cs="Times New Roman"/>
          <w:sz w:val="28"/>
          <w:szCs w:val="28"/>
          <w:lang w:eastAsia="ru-RU"/>
        </w:rPr>
      </w:pPr>
      <w:r w:rsidRPr="006C272A">
        <w:rPr>
          <w:rFonts w:ascii="Times New Roman" w:eastAsia="Times New Roman" w:hAnsi="Times New Roman" w:cs="Times New Roman"/>
          <w:iCs/>
          <w:sz w:val="28"/>
          <w:szCs w:val="28"/>
          <w:lang w:eastAsia="ru-RU"/>
        </w:rPr>
        <w:t xml:space="preserve">2018 год </w:t>
      </w:r>
      <w:r w:rsidR="008055C6">
        <w:rPr>
          <w:rFonts w:ascii="Times New Roman" w:eastAsia="Times New Roman" w:hAnsi="Times New Roman" w:cs="Times New Roman"/>
          <w:iCs/>
          <w:sz w:val="28"/>
          <w:szCs w:val="28"/>
          <w:lang w:eastAsia="ru-RU"/>
        </w:rPr>
        <w:t>характеризуется</w:t>
      </w:r>
      <w:r w:rsidRPr="006C272A">
        <w:rPr>
          <w:rFonts w:ascii="Times New Roman" w:eastAsia="Times New Roman" w:hAnsi="Times New Roman" w:cs="Times New Roman"/>
          <w:iCs/>
          <w:sz w:val="28"/>
          <w:szCs w:val="28"/>
          <w:lang w:eastAsia="ru-RU"/>
        </w:rPr>
        <w:t xml:space="preserve"> тем, что механизмы антимонопольного реагирования, полученные некоторые время назад</w:t>
      </w:r>
      <w:r w:rsidRPr="006C27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6C272A">
        <w:rPr>
          <w:rFonts w:ascii="Times New Roman" w:eastAsia="Times New Roman" w:hAnsi="Times New Roman" w:cs="Times New Roman"/>
          <w:sz w:val="28"/>
          <w:szCs w:val="28"/>
          <w:lang w:eastAsia="ru-RU"/>
        </w:rPr>
        <w:t>направленны</w:t>
      </w:r>
      <w:r>
        <w:rPr>
          <w:rFonts w:ascii="Times New Roman" w:eastAsia="Times New Roman" w:hAnsi="Times New Roman" w:cs="Times New Roman"/>
          <w:sz w:val="28"/>
          <w:szCs w:val="28"/>
          <w:lang w:eastAsia="ru-RU"/>
        </w:rPr>
        <w:t>е</w:t>
      </w:r>
      <w:r w:rsidRPr="006C272A">
        <w:rPr>
          <w:rFonts w:ascii="Times New Roman" w:eastAsia="Times New Roman" w:hAnsi="Times New Roman" w:cs="Times New Roman"/>
          <w:sz w:val="28"/>
          <w:szCs w:val="28"/>
          <w:lang w:eastAsia="ru-RU"/>
        </w:rPr>
        <w:t xml:space="preserve"> на повышение эффективности деятельности службы</w:t>
      </w:r>
      <w:r>
        <w:rPr>
          <w:rFonts w:ascii="Times New Roman" w:eastAsia="Times New Roman" w:hAnsi="Times New Roman" w:cs="Times New Roman"/>
          <w:sz w:val="28"/>
          <w:szCs w:val="28"/>
          <w:lang w:eastAsia="ru-RU"/>
        </w:rPr>
        <w:t>,</w:t>
      </w:r>
      <w:r w:rsidRPr="006C272A">
        <w:rPr>
          <w:rFonts w:ascii="Times New Roman" w:eastAsia="Times New Roman" w:hAnsi="Times New Roman" w:cs="Times New Roman"/>
          <w:iCs/>
          <w:sz w:val="28"/>
          <w:szCs w:val="28"/>
          <w:lang w:eastAsia="ru-RU"/>
        </w:rPr>
        <w:t xml:space="preserve"> прошли апробацию со стороны судебных инстанций</w:t>
      </w:r>
      <w:r>
        <w:rPr>
          <w:rFonts w:ascii="Times New Roman" w:eastAsia="Times New Roman" w:hAnsi="Times New Roman" w:cs="Times New Roman"/>
          <w:iCs/>
          <w:sz w:val="28"/>
          <w:szCs w:val="28"/>
          <w:lang w:eastAsia="ru-RU"/>
        </w:rPr>
        <w:t>.</w:t>
      </w:r>
      <w:r w:rsidRPr="008040CC">
        <w:rPr>
          <w:rFonts w:ascii="Times New Roman" w:eastAsia="Times New Roman" w:hAnsi="Times New Roman" w:cs="Times New Roman"/>
          <w:sz w:val="28"/>
          <w:szCs w:val="28"/>
          <w:lang w:eastAsia="ru-RU"/>
        </w:rPr>
        <w:t xml:space="preserve"> </w:t>
      </w:r>
    </w:p>
    <w:p w14:paraId="4AA0C5C0" w14:textId="77777777" w:rsidR="003D1D28" w:rsidRDefault="003D1D28" w:rsidP="003D1D2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числу таких м</w:t>
      </w:r>
      <w:r w:rsidRPr="006C272A">
        <w:rPr>
          <w:rFonts w:ascii="Times New Roman" w:eastAsia="Times New Roman" w:hAnsi="Times New Roman" w:cs="Times New Roman"/>
          <w:sz w:val="28"/>
          <w:szCs w:val="28"/>
          <w:lang w:eastAsia="ru-RU"/>
        </w:rPr>
        <w:t>еханизм</w:t>
      </w:r>
      <w:r>
        <w:rPr>
          <w:rFonts w:ascii="Times New Roman" w:eastAsia="Times New Roman" w:hAnsi="Times New Roman" w:cs="Times New Roman"/>
          <w:sz w:val="28"/>
          <w:szCs w:val="28"/>
          <w:lang w:eastAsia="ru-RU"/>
        </w:rPr>
        <w:t>ов</w:t>
      </w:r>
      <w:r w:rsidRPr="006C27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можно отнести следующее</w:t>
      </w:r>
      <w:r w:rsidRPr="006C272A">
        <w:rPr>
          <w:rFonts w:ascii="Times New Roman" w:eastAsia="Times New Roman" w:hAnsi="Times New Roman" w:cs="Times New Roman"/>
          <w:sz w:val="28"/>
          <w:szCs w:val="28"/>
          <w:lang w:eastAsia="ru-RU"/>
        </w:rPr>
        <w:t xml:space="preserve">: внедрение «иммунитетов» для малого предпринимательства, проведение анализа </w:t>
      </w:r>
      <w:r>
        <w:rPr>
          <w:rFonts w:ascii="Times New Roman" w:eastAsia="Times New Roman" w:hAnsi="Times New Roman" w:cs="Times New Roman"/>
          <w:sz w:val="28"/>
          <w:szCs w:val="28"/>
          <w:lang w:eastAsia="ru-RU"/>
        </w:rPr>
        <w:t>состояния конкуренции</w:t>
      </w:r>
      <w:r w:rsidRPr="006C272A">
        <w:rPr>
          <w:rFonts w:ascii="Times New Roman" w:eastAsia="Times New Roman" w:hAnsi="Times New Roman" w:cs="Times New Roman"/>
          <w:sz w:val="28"/>
          <w:szCs w:val="28"/>
          <w:lang w:eastAsia="ru-RU"/>
        </w:rPr>
        <w:t xml:space="preserve"> в каждом деле, состязательность при рассмотрении антимонопольного разбирательства, расширение института предупреждения и предостережения, внутриведомственная апелляция и разъяснения Президиума ФАС России.</w:t>
      </w:r>
    </w:p>
    <w:p w14:paraId="14CF2581" w14:textId="77777777" w:rsidR="003D1D28" w:rsidRDefault="003D1D28" w:rsidP="003D1D2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Реализация указанных механизмов привела к повышению качества принимаемых антимонопольной службой решений. </w:t>
      </w:r>
    </w:p>
    <w:p w14:paraId="69DE75AA" w14:textId="77777777" w:rsidR="003D1D28" w:rsidRDefault="003D1D28" w:rsidP="003D1D28">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 xml:space="preserve">Как итог, в 2018 году </w:t>
      </w:r>
      <w:r w:rsidRPr="006C272A">
        <w:rPr>
          <w:rFonts w:ascii="Times New Roman" w:eastAsia="Times New Roman" w:hAnsi="Times New Roman" w:cs="Times New Roman"/>
          <w:iCs/>
          <w:sz w:val="28"/>
          <w:szCs w:val="28"/>
          <w:lang w:eastAsia="ru-RU"/>
        </w:rPr>
        <w:t>снизилос</w:t>
      </w:r>
      <w:r>
        <w:rPr>
          <w:rFonts w:ascii="Times New Roman" w:eastAsia="Times New Roman" w:hAnsi="Times New Roman" w:cs="Times New Roman"/>
          <w:iCs/>
          <w:sz w:val="28"/>
          <w:szCs w:val="28"/>
          <w:lang w:eastAsia="ru-RU"/>
        </w:rPr>
        <w:t>ь количество обжалуемых решений. Их число составило</w:t>
      </w:r>
      <w:r w:rsidRPr="006C272A">
        <w:rPr>
          <w:rFonts w:ascii="Times New Roman" w:eastAsia="Times New Roman" w:hAnsi="Times New Roman" w:cs="Times New Roman"/>
          <w:iCs/>
          <w:sz w:val="28"/>
          <w:szCs w:val="28"/>
          <w:lang w:eastAsia="ru-RU"/>
        </w:rPr>
        <w:t xml:space="preserve"> 48,8%, в предыдущие годы он</w:t>
      </w:r>
      <w:r>
        <w:rPr>
          <w:rFonts w:ascii="Times New Roman" w:eastAsia="Times New Roman" w:hAnsi="Times New Roman" w:cs="Times New Roman"/>
          <w:iCs/>
          <w:sz w:val="28"/>
          <w:szCs w:val="28"/>
          <w:lang w:eastAsia="ru-RU"/>
        </w:rPr>
        <w:t>о</w:t>
      </w:r>
      <w:r w:rsidRPr="006C272A">
        <w:rPr>
          <w:rFonts w:ascii="Times New Roman" w:eastAsia="Times New Roman" w:hAnsi="Times New Roman" w:cs="Times New Roman"/>
          <w:iCs/>
          <w:sz w:val="28"/>
          <w:szCs w:val="28"/>
          <w:lang w:eastAsia="ru-RU"/>
        </w:rPr>
        <w:t xml:space="preserve"> равнял</w:t>
      </w:r>
      <w:r>
        <w:rPr>
          <w:rFonts w:ascii="Times New Roman" w:eastAsia="Times New Roman" w:hAnsi="Times New Roman" w:cs="Times New Roman"/>
          <w:iCs/>
          <w:sz w:val="28"/>
          <w:szCs w:val="28"/>
          <w:lang w:eastAsia="ru-RU"/>
        </w:rPr>
        <w:t>ось 65%.</w:t>
      </w:r>
    </w:p>
    <w:p w14:paraId="1654F69E" w14:textId="77777777" w:rsidR="003D1D28" w:rsidRPr="00735D13" w:rsidRDefault="003D1D28" w:rsidP="003D1D28">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При этом к</w:t>
      </w:r>
      <w:r w:rsidRPr="006C272A">
        <w:rPr>
          <w:rFonts w:ascii="Times New Roman" w:eastAsia="Times New Roman" w:hAnsi="Times New Roman" w:cs="Times New Roman"/>
          <w:iCs/>
          <w:sz w:val="28"/>
          <w:szCs w:val="28"/>
          <w:lang w:eastAsia="ru-RU"/>
        </w:rPr>
        <w:t>оличество отмененных решений в</w:t>
      </w:r>
      <w:r>
        <w:rPr>
          <w:rFonts w:ascii="Times New Roman" w:eastAsia="Times New Roman" w:hAnsi="Times New Roman" w:cs="Times New Roman"/>
          <w:iCs/>
          <w:sz w:val="28"/>
          <w:szCs w:val="28"/>
          <w:lang w:eastAsia="ru-RU"/>
        </w:rPr>
        <w:t>едомства судами составило 11,2%, что является показателем качества работы антимонопольного органа.</w:t>
      </w:r>
    </w:p>
    <w:p w14:paraId="5485C88A" w14:textId="77777777" w:rsidR="003D1D28" w:rsidRPr="006C272A" w:rsidRDefault="003D1D28" w:rsidP="003D1D28">
      <w:pPr>
        <w:spacing w:after="0" w:line="240" w:lineRule="auto"/>
        <w:ind w:firstLine="709"/>
        <w:jc w:val="both"/>
        <w:rPr>
          <w:rFonts w:ascii="Times New Roman" w:eastAsia="Times New Roman" w:hAnsi="Times New Roman" w:cs="Times New Roman"/>
          <w:sz w:val="28"/>
          <w:szCs w:val="28"/>
          <w:lang w:eastAsia="ru-RU"/>
        </w:rPr>
      </w:pPr>
      <w:r w:rsidRPr="006C272A">
        <w:rPr>
          <w:rFonts w:ascii="Times New Roman" w:eastAsia="Times New Roman" w:hAnsi="Times New Roman" w:cs="Times New Roman"/>
          <w:sz w:val="28"/>
          <w:szCs w:val="28"/>
          <w:lang w:eastAsia="ru-RU"/>
        </w:rPr>
        <w:t xml:space="preserve">В качестве ключевых примеров </w:t>
      </w:r>
      <w:r>
        <w:rPr>
          <w:rFonts w:ascii="Times New Roman" w:eastAsia="Times New Roman" w:hAnsi="Times New Roman" w:cs="Times New Roman"/>
          <w:sz w:val="28"/>
          <w:szCs w:val="28"/>
          <w:lang w:eastAsia="ru-RU"/>
        </w:rPr>
        <w:t xml:space="preserve">стоит отметить </w:t>
      </w:r>
      <w:r w:rsidRPr="006C272A">
        <w:rPr>
          <w:rFonts w:ascii="Times New Roman" w:eastAsia="Times New Roman" w:hAnsi="Times New Roman" w:cs="Times New Roman"/>
          <w:sz w:val="28"/>
          <w:szCs w:val="28"/>
          <w:lang w:eastAsia="ru-RU"/>
        </w:rPr>
        <w:t>некоторые дела, имеющи</w:t>
      </w:r>
      <w:r>
        <w:rPr>
          <w:rFonts w:ascii="Times New Roman" w:eastAsia="Times New Roman" w:hAnsi="Times New Roman" w:cs="Times New Roman"/>
          <w:sz w:val="28"/>
          <w:szCs w:val="28"/>
          <w:lang w:eastAsia="ru-RU"/>
        </w:rPr>
        <w:t>е</w:t>
      </w:r>
      <w:r w:rsidRPr="006C272A">
        <w:rPr>
          <w:rFonts w:ascii="Times New Roman" w:eastAsia="Times New Roman" w:hAnsi="Times New Roman" w:cs="Times New Roman"/>
          <w:sz w:val="28"/>
          <w:szCs w:val="28"/>
          <w:lang w:eastAsia="ru-RU"/>
        </w:rPr>
        <w:t xml:space="preserve"> значение для правоприменительной практики.</w:t>
      </w:r>
    </w:p>
    <w:p w14:paraId="2B6B385E" w14:textId="77777777" w:rsidR="003D1D28" w:rsidRDefault="003D1D28" w:rsidP="003D1D2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kern w:val="24"/>
          <w:sz w:val="28"/>
          <w:szCs w:val="28"/>
        </w:rPr>
        <w:t>1</w:t>
      </w:r>
      <w:r w:rsidRPr="00DC4A87">
        <w:rPr>
          <w:rFonts w:ascii="Times New Roman" w:eastAsiaTheme="minorEastAsia" w:hAnsi="Times New Roman" w:cs="Times New Roman"/>
          <w:kern w:val="24"/>
          <w:sz w:val="28"/>
          <w:szCs w:val="28"/>
        </w:rPr>
        <w:t xml:space="preserve">. В Указе Президента Российской Федерации № 618 </w:t>
      </w:r>
      <w:r w:rsidRPr="00DC4A87">
        <w:rPr>
          <w:rFonts w:ascii="Times New Roman" w:hAnsi="Times New Roman" w:cs="Times New Roman"/>
          <w:sz w:val="28"/>
          <w:szCs w:val="28"/>
        </w:rPr>
        <w:t xml:space="preserve">в качестве </w:t>
      </w:r>
      <w:r>
        <w:rPr>
          <w:rFonts w:ascii="Times New Roman" w:hAnsi="Times New Roman" w:cs="Times New Roman"/>
          <w:sz w:val="28"/>
          <w:szCs w:val="28"/>
        </w:rPr>
        <w:t xml:space="preserve">одного из </w:t>
      </w:r>
      <w:r w:rsidRPr="00DC4A87">
        <w:rPr>
          <w:rFonts w:ascii="Times New Roman" w:hAnsi="Times New Roman" w:cs="Times New Roman"/>
          <w:sz w:val="28"/>
          <w:szCs w:val="28"/>
        </w:rPr>
        <w:t>основополагающих принципов государственной п</w:t>
      </w:r>
      <w:r>
        <w:rPr>
          <w:rFonts w:ascii="Times New Roman" w:hAnsi="Times New Roman" w:cs="Times New Roman"/>
          <w:sz w:val="28"/>
          <w:szCs w:val="28"/>
        </w:rPr>
        <w:t>олитики по развитию конкуренции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w:t>
      </w:r>
    </w:p>
    <w:p w14:paraId="4B5E26A5" w14:textId="77777777" w:rsidR="003D1D28" w:rsidRDefault="003D1D28" w:rsidP="003D1D2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FD66BD">
        <w:rPr>
          <w:rFonts w:ascii="Times New Roman" w:hAnsi="Times New Roman" w:cs="Times New Roman"/>
          <w:sz w:val="28"/>
          <w:szCs w:val="28"/>
        </w:rPr>
        <w:t>анный принцип</w:t>
      </w:r>
      <w:r w:rsidRPr="009854A9">
        <w:rPr>
          <w:rFonts w:ascii="Times New Roman" w:hAnsi="Times New Roman" w:cs="Times New Roman"/>
          <w:sz w:val="28"/>
          <w:szCs w:val="28"/>
        </w:rPr>
        <w:t xml:space="preserve"> </w:t>
      </w:r>
      <w:r>
        <w:rPr>
          <w:rFonts w:ascii="Times New Roman" w:hAnsi="Times New Roman" w:cs="Times New Roman"/>
          <w:sz w:val="28"/>
          <w:szCs w:val="28"/>
        </w:rPr>
        <w:t xml:space="preserve">по развитию конкуренции нашел свое развитие в  </w:t>
      </w:r>
      <w:r w:rsidRPr="00FD66BD">
        <w:rPr>
          <w:rFonts w:ascii="Times New Roman" w:hAnsi="Times New Roman" w:cs="Times New Roman"/>
          <w:sz w:val="28"/>
          <w:szCs w:val="28"/>
        </w:rPr>
        <w:t>практике Верховного Суда Российской Федерации</w:t>
      </w:r>
      <w:r>
        <w:rPr>
          <w:rFonts w:ascii="Times New Roman" w:hAnsi="Times New Roman" w:cs="Times New Roman"/>
          <w:sz w:val="28"/>
          <w:szCs w:val="28"/>
        </w:rPr>
        <w:t>.</w:t>
      </w:r>
    </w:p>
    <w:p w14:paraId="75FD6021" w14:textId="77777777" w:rsidR="003D1D28" w:rsidRPr="00FD66BD" w:rsidRDefault="003D1D28" w:rsidP="003D1D28">
      <w:pPr>
        <w:tabs>
          <w:tab w:val="num" w:pos="0"/>
        </w:tabs>
        <w:autoSpaceDE w:val="0"/>
        <w:autoSpaceDN w:val="0"/>
        <w:adjustRightInd w:val="0"/>
        <w:spacing w:after="0" w:line="240" w:lineRule="auto"/>
        <w:ind w:right="-1" w:firstLine="709"/>
        <w:jc w:val="both"/>
        <w:rPr>
          <w:rFonts w:ascii="Times New Roman" w:eastAsia="Calibri" w:hAnsi="Times New Roman" w:cs="Times New Roman"/>
          <w:bCs/>
          <w:sz w:val="28"/>
          <w:szCs w:val="28"/>
        </w:rPr>
      </w:pPr>
      <w:r w:rsidRPr="00FD66BD">
        <w:rPr>
          <w:rFonts w:ascii="Times New Roman" w:eastAsia="Calibri" w:hAnsi="Times New Roman" w:cs="Times New Roman"/>
          <w:bCs/>
          <w:sz w:val="28"/>
          <w:szCs w:val="28"/>
        </w:rPr>
        <w:t>Верховным Судом Российской Федерации разъяснено, что действующее законодательство по определению (установлению) цен (тарифов) и (или) их предельных уровней в сфере деятельности субъектов естественных монополий не обязывает соответствующий федеральный орган исполнительной власти осуществлять государственное регулирование тарифов исключительно с целью последующего их ежегодного повышения и увеличения валовой выручки конкретного субъекта.</w:t>
      </w:r>
    </w:p>
    <w:p w14:paraId="145DCA2D" w14:textId="77777777" w:rsidR="003D1D28" w:rsidRPr="00FD66BD" w:rsidRDefault="003D1D28" w:rsidP="003D1D28">
      <w:pPr>
        <w:tabs>
          <w:tab w:val="num" w:pos="0"/>
        </w:tabs>
        <w:autoSpaceDE w:val="0"/>
        <w:autoSpaceDN w:val="0"/>
        <w:adjustRightInd w:val="0"/>
        <w:spacing w:after="0" w:line="240" w:lineRule="auto"/>
        <w:ind w:right="-1"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Высшей судебной инстанцией отмечено, что </w:t>
      </w:r>
      <w:r w:rsidRPr="00FD66BD">
        <w:rPr>
          <w:rFonts w:ascii="Times New Roman" w:eastAsia="Calibri" w:hAnsi="Times New Roman" w:cs="Times New Roman"/>
          <w:bCs/>
          <w:sz w:val="28"/>
          <w:szCs w:val="28"/>
        </w:rPr>
        <w:t xml:space="preserve">же разъяснено, что </w:t>
      </w:r>
      <w:r>
        <w:rPr>
          <w:rFonts w:ascii="Times New Roman" w:eastAsia="Calibri" w:hAnsi="Times New Roman" w:cs="Times New Roman"/>
          <w:bCs/>
          <w:sz w:val="28"/>
          <w:szCs w:val="28"/>
        </w:rPr>
        <w:t>законодательство</w:t>
      </w:r>
      <w:r w:rsidRPr="00FD66BD">
        <w:rPr>
          <w:rFonts w:ascii="Times New Roman" w:eastAsia="Calibri" w:hAnsi="Times New Roman" w:cs="Times New Roman"/>
          <w:bCs/>
          <w:sz w:val="28"/>
          <w:szCs w:val="28"/>
        </w:rPr>
        <w:t xml:space="preserve"> не содерж</w:t>
      </w:r>
      <w:r>
        <w:rPr>
          <w:rFonts w:ascii="Times New Roman" w:eastAsia="Calibri" w:hAnsi="Times New Roman" w:cs="Times New Roman"/>
          <w:bCs/>
          <w:sz w:val="28"/>
          <w:szCs w:val="28"/>
        </w:rPr>
        <w:t>и</w:t>
      </w:r>
      <w:r w:rsidRPr="00FD66BD">
        <w:rPr>
          <w:rFonts w:ascii="Times New Roman" w:eastAsia="Calibri" w:hAnsi="Times New Roman" w:cs="Times New Roman"/>
          <w:bCs/>
          <w:sz w:val="28"/>
          <w:szCs w:val="28"/>
        </w:rPr>
        <w:t>т предписаний о полном возмещении организациям, осуществляющим регулируемые виды деятельности, затрат на оплату работ сторонних организаций, которые в том числе должны выполняться такими лицами независимо от содержания заключаемых договоров аренды и на оказание услуг по техническому обслуживанию</w:t>
      </w:r>
      <w:r w:rsidRPr="00332927">
        <w:rPr>
          <w:rFonts w:ascii="Times New Roman" w:hAnsi="Times New Roman" w:cs="Times New Roman"/>
          <w:sz w:val="28"/>
          <w:szCs w:val="28"/>
        </w:rPr>
        <w:t xml:space="preserve"> (д</w:t>
      </w:r>
      <w:r w:rsidRPr="00FD66BD">
        <w:rPr>
          <w:rFonts w:ascii="Times New Roman" w:hAnsi="Times New Roman" w:cs="Times New Roman"/>
          <w:sz w:val="28"/>
          <w:szCs w:val="28"/>
        </w:rPr>
        <w:t>ело № АПЛ18-255, АКПИ18-26</w:t>
      </w:r>
      <w:r w:rsidRPr="00332927">
        <w:rPr>
          <w:rFonts w:ascii="Times New Roman" w:hAnsi="Times New Roman" w:cs="Times New Roman"/>
          <w:sz w:val="28"/>
          <w:szCs w:val="28"/>
        </w:rPr>
        <w:t>)</w:t>
      </w:r>
      <w:r w:rsidRPr="00FD66BD">
        <w:rPr>
          <w:rFonts w:ascii="Times New Roman" w:eastAsia="Calibri" w:hAnsi="Times New Roman" w:cs="Times New Roman"/>
          <w:bCs/>
          <w:sz w:val="28"/>
          <w:szCs w:val="28"/>
        </w:rPr>
        <w:t>.</w:t>
      </w:r>
    </w:p>
    <w:p w14:paraId="6D21E14F" w14:textId="77777777" w:rsidR="003D1D28" w:rsidRDefault="003D1D28" w:rsidP="003D1D28">
      <w:pPr>
        <w:pStyle w:val="ab"/>
        <w:spacing w:before="0" w:beforeAutospacing="0" w:after="0"/>
        <w:ind w:firstLine="720"/>
        <w:jc w:val="both"/>
        <w:rPr>
          <w:sz w:val="28"/>
          <w:szCs w:val="28"/>
        </w:rPr>
      </w:pPr>
      <w:r>
        <w:rPr>
          <w:sz w:val="28"/>
          <w:szCs w:val="28"/>
        </w:rPr>
        <w:t>2. Согласно</w:t>
      </w:r>
      <w:r>
        <w:rPr>
          <w:rFonts w:eastAsiaTheme="minorEastAsia"/>
          <w:kern w:val="24"/>
          <w:sz w:val="28"/>
          <w:szCs w:val="28"/>
        </w:rPr>
        <w:t xml:space="preserve"> Национальному плану развития конкуренции ключевым показателем является снижение количества нарушений антимонопольного законодательства со стороны органов власти.</w:t>
      </w:r>
    </w:p>
    <w:p w14:paraId="47CD800C" w14:textId="77777777" w:rsidR="003D1D28" w:rsidRDefault="003D1D28" w:rsidP="003D1D2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одного из важнейших факторов, влияющих, на такое снижение, можно выделить формирование судебной практики, определяющей подходы при рассмотрении дел об оспаривании решений и (или) предписаний антимонопольного органа.</w:t>
      </w:r>
    </w:p>
    <w:p w14:paraId="31B61903" w14:textId="77777777" w:rsidR="003D1D28" w:rsidRDefault="003D1D28" w:rsidP="003D1D2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судами определено, что в качестве нарушения статьи </w:t>
      </w:r>
      <w:r w:rsidRPr="00811521">
        <w:rPr>
          <w:rFonts w:ascii="Times New Roman" w:hAnsi="Times New Roman" w:cs="Times New Roman"/>
          <w:sz w:val="28"/>
          <w:szCs w:val="28"/>
        </w:rPr>
        <w:t>15 Закона о защите конкуренции</w:t>
      </w:r>
      <w:r>
        <w:rPr>
          <w:rFonts w:ascii="Times New Roman" w:hAnsi="Times New Roman" w:cs="Times New Roman"/>
          <w:sz w:val="28"/>
          <w:szCs w:val="28"/>
        </w:rPr>
        <w:t xml:space="preserve"> может признаваться </w:t>
      </w:r>
      <w:r w:rsidRPr="002C657B">
        <w:rPr>
          <w:rFonts w:ascii="Times New Roman" w:hAnsi="Times New Roman" w:cs="Times New Roman"/>
          <w:sz w:val="28"/>
          <w:szCs w:val="28"/>
        </w:rPr>
        <w:t>бездействи</w:t>
      </w:r>
      <w:r>
        <w:rPr>
          <w:rFonts w:ascii="Times New Roman" w:hAnsi="Times New Roman" w:cs="Times New Roman"/>
          <w:sz w:val="28"/>
          <w:szCs w:val="28"/>
        </w:rPr>
        <w:t>е</w:t>
      </w:r>
      <w:r w:rsidRPr="002C657B">
        <w:rPr>
          <w:rFonts w:ascii="Times New Roman" w:hAnsi="Times New Roman" w:cs="Times New Roman"/>
          <w:sz w:val="28"/>
          <w:szCs w:val="28"/>
        </w:rPr>
        <w:t xml:space="preserve"> </w:t>
      </w:r>
      <w:r>
        <w:rPr>
          <w:rFonts w:ascii="Times New Roman" w:hAnsi="Times New Roman" w:cs="Times New Roman"/>
          <w:sz w:val="28"/>
          <w:szCs w:val="28"/>
        </w:rPr>
        <w:t>органа власти</w:t>
      </w:r>
      <w:r w:rsidRPr="002C657B">
        <w:rPr>
          <w:rFonts w:ascii="Times New Roman" w:hAnsi="Times New Roman" w:cs="Times New Roman"/>
          <w:sz w:val="28"/>
          <w:szCs w:val="28"/>
        </w:rPr>
        <w:t>, выразившееся в неустановлении требований к организации и выполнению работ (услуг), в целях лицензирования</w:t>
      </w:r>
      <w:r w:rsidRPr="002C657B">
        <w:rPr>
          <w:rFonts w:ascii="Times New Roman" w:hAnsi="Times New Roman" w:cs="Times New Roman"/>
          <w:b/>
          <w:sz w:val="28"/>
          <w:szCs w:val="28"/>
        </w:rPr>
        <w:t xml:space="preserve"> </w:t>
      </w:r>
      <w:r w:rsidRPr="002C657B">
        <w:rPr>
          <w:rFonts w:ascii="Times New Roman" w:hAnsi="Times New Roman" w:cs="Times New Roman"/>
          <w:sz w:val="28"/>
          <w:szCs w:val="28"/>
        </w:rPr>
        <w:t>(дело № А40-9755/2018).</w:t>
      </w:r>
    </w:p>
    <w:p w14:paraId="31EA5AF6" w14:textId="77777777" w:rsidR="003D1D28" w:rsidRPr="006C272A" w:rsidRDefault="003D1D28" w:rsidP="003D1D28">
      <w:pPr>
        <w:pStyle w:val="11"/>
        <w:spacing w:after="0" w:line="240" w:lineRule="auto"/>
        <w:ind w:left="0"/>
        <w:rPr>
          <w:rFonts w:ascii="Times New Roman" w:hAnsi="Times New Roman" w:cs="Times New Roman"/>
          <w:sz w:val="28"/>
          <w:szCs w:val="28"/>
        </w:rPr>
      </w:pPr>
      <w:r>
        <w:rPr>
          <w:rFonts w:ascii="Times New Roman" w:hAnsi="Times New Roman" w:cs="Times New Roman"/>
          <w:sz w:val="28"/>
          <w:szCs w:val="28"/>
        </w:rPr>
        <w:t>В</w:t>
      </w:r>
      <w:r w:rsidRPr="006C272A">
        <w:rPr>
          <w:rFonts w:ascii="Times New Roman" w:hAnsi="Times New Roman" w:cs="Times New Roman"/>
          <w:sz w:val="28"/>
          <w:szCs w:val="28"/>
        </w:rPr>
        <w:t xml:space="preserve"> нарушение Положения о лицензировании медицинской деятельности Минздрав России не разработал требования, необходимые для лицензирования медицинских организаций. Разработанный Министерством приказ № 121н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06B0652A" w14:textId="77777777" w:rsidR="003D1D28" w:rsidRPr="00DC4A87" w:rsidRDefault="003D1D28" w:rsidP="003D1D28">
      <w:pPr>
        <w:pStyle w:val="11"/>
        <w:spacing w:after="0" w:line="240" w:lineRule="auto"/>
        <w:ind w:left="0"/>
        <w:rPr>
          <w:rFonts w:ascii="Times New Roman" w:hAnsi="Times New Roman" w:cs="Times New Roman"/>
          <w:sz w:val="28"/>
          <w:szCs w:val="28"/>
        </w:rPr>
      </w:pPr>
      <w:r w:rsidRPr="006C272A">
        <w:rPr>
          <w:rFonts w:ascii="Times New Roman" w:hAnsi="Times New Roman" w:cs="Times New Roman"/>
          <w:sz w:val="28"/>
          <w:szCs w:val="28"/>
        </w:rPr>
        <w:t>В результате в России отсутствует единая система лицензионных требований, предъявляемых к соискателям лицензий и лицензиатам, а органы государственной власти по своему усмотрению предъявляют не предусмотренные законодательством требования к хозяйствующим субъектам, желающим получить лицензию на ту или иную работу (услугу), составляющую медицинскую деятельность, что приводит к ограничению конкуренции</w:t>
      </w:r>
      <w:r w:rsidRPr="00DC4A87">
        <w:rPr>
          <w:rFonts w:ascii="Times New Roman" w:hAnsi="Times New Roman" w:cs="Times New Roman"/>
          <w:sz w:val="28"/>
          <w:szCs w:val="28"/>
        </w:rPr>
        <w:t>.</w:t>
      </w:r>
    </w:p>
    <w:p w14:paraId="3825AEE9" w14:textId="77777777" w:rsidR="003D1D28" w:rsidRPr="00DC4A87" w:rsidRDefault="003D1D28" w:rsidP="003D1D28">
      <w:pPr>
        <w:pStyle w:val="11"/>
        <w:spacing w:after="0" w:line="240" w:lineRule="auto"/>
        <w:ind w:left="0"/>
        <w:rPr>
          <w:rFonts w:ascii="Times New Roman" w:hAnsi="Times New Roman" w:cs="Times New Roman"/>
          <w:sz w:val="28"/>
          <w:szCs w:val="28"/>
        </w:rPr>
      </w:pPr>
      <w:r w:rsidRPr="00DC4A87">
        <w:rPr>
          <w:rFonts w:ascii="Times New Roman" w:hAnsi="Times New Roman" w:cs="Times New Roman"/>
          <w:sz w:val="28"/>
          <w:szCs w:val="28"/>
        </w:rPr>
        <w:t>Минздраву России выдано обязательное для исполнения предписание об установлении таких требований, что исключит необоснованные претензии к хозяйствующим субъектам, осуществляющим лицензируемые виды деятельности.</w:t>
      </w:r>
    </w:p>
    <w:p w14:paraId="18B3F265" w14:textId="0A82F26F" w:rsidR="003D1D28" w:rsidRPr="00E56A4C" w:rsidRDefault="003D1D28" w:rsidP="003D1D28">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3. В 2018 году</w:t>
      </w:r>
      <w:r w:rsidRPr="006C272A">
        <w:rPr>
          <w:rFonts w:ascii="Times New Roman" w:eastAsia="Times New Roman" w:hAnsi="Times New Roman" w:cs="Times New Roman"/>
          <w:sz w:val="28"/>
          <w:szCs w:val="28"/>
          <w:lang w:eastAsia="ru-RU"/>
        </w:rPr>
        <w:t> </w:t>
      </w:r>
      <w:r w:rsidRPr="00F92662">
        <w:rPr>
          <w:rFonts w:ascii="Times New Roman" w:hAnsi="Times New Roman" w:cs="Times New Roman"/>
          <w:sz w:val="28"/>
          <w:szCs w:val="28"/>
        </w:rPr>
        <w:t>судами</w:t>
      </w:r>
      <w:r>
        <w:rPr>
          <w:rFonts w:ascii="Times New Roman" w:hAnsi="Times New Roman" w:cs="Times New Roman"/>
          <w:sz w:val="28"/>
          <w:szCs w:val="28"/>
        </w:rPr>
        <w:t xml:space="preserve"> при рассмотрении</w:t>
      </w:r>
      <w:r w:rsidRPr="00F92662">
        <w:rPr>
          <w:rFonts w:ascii="Times New Roman" w:hAnsi="Times New Roman" w:cs="Times New Roman"/>
          <w:sz w:val="28"/>
          <w:szCs w:val="28"/>
        </w:rPr>
        <w:t xml:space="preserve"> </w:t>
      </w:r>
      <w:r w:rsidRPr="006C272A">
        <w:rPr>
          <w:rFonts w:ascii="Times New Roman" w:hAnsi="Times New Roman" w:cs="Times New Roman"/>
          <w:sz w:val="28"/>
          <w:szCs w:val="28"/>
        </w:rPr>
        <w:t>законн</w:t>
      </w:r>
      <w:r>
        <w:rPr>
          <w:rFonts w:ascii="Times New Roman" w:hAnsi="Times New Roman" w:cs="Times New Roman"/>
          <w:sz w:val="28"/>
          <w:szCs w:val="28"/>
        </w:rPr>
        <w:t>ости</w:t>
      </w:r>
      <w:r w:rsidRPr="006C272A">
        <w:rPr>
          <w:rFonts w:ascii="Times New Roman" w:hAnsi="Times New Roman" w:cs="Times New Roman"/>
          <w:sz w:val="28"/>
          <w:szCs w:val="28"/>
        </w:rPr>
        <w:t xml:space="preserve"> действи</w:t>
      </w:r>
      <w:r>
        <w:rPr>
          <w:rFonts w:ascii="Times New Roman" w:hAnsi="Times New Roman" w:cs="Times New Roman"/>
          <w:sz w:val="28"/>
          <w:szCs w:val="28"/>
        </w:rPr>
        <w:t>й</w:t>
      </w:r>
      <w:r w:rsidRPr="006C272A">
        <w:rPr>
          <w:rFonts w:ascii="Times New Roman" w:hAnsi="Times New Roman" w:cs="Times New Roman"/>
          <w:sz w:val="28"/>
          <w:szCs w:val="28"/>
        </w:rPr>
        <w:t xml:space="preserve"> ФАС России по отмене решений о согласовании цен на лекарственный препарат </w:t>
      </w:r>
      <w:r w:rsidRPr="00F92662">
        <w:rPr>
          <w:rFonts w:ascii="Times New Roman" w:hAnsi="Times New Roman" w:cs="Times New Roman"/>
          <w:sz w:val="28"/>
          <w:szCs w:val="28"/>
        </w:rPr>
        <w:t xml:space="preserve">была подтверждена возможность </w:t>
      </w:r>
      <w:r>
        <w:rPr>
          <w:rFonts w:ascii="Times New Roman" w:hAnsi="Times New Roman" w:cs="Times New Roman"/>
          <w:sz w:val="28"/>
          <w:szCs w:val="28"/>
        </w:rPr>
        <w:t>антимонопольного органа</w:t>
      </w:r>
      <w:r w:rsidRPr="00F92662">
        <w:rPr>
          <w:rFonts w:ascii="Times New Roman" w:hAnsi="Times New Roman" w:cs="Times New Roman"/>
          <w:sz w:val="28"/>
          <w:szCs w:val="28"/>
        </w:rPr>
        <w:t xml:space="preserve"> применять важный механизм, позволяющий эффективно влиять на ситуацию установления экономически необоснованных цен на лекарственные препараты и обеспечивать доступность препаратов для пациентов</w:t>
      </w:r>
      <w:r w:rsidRPr="00E56A4C">
        <w:rPr>
          <w:rFonts w:ascii="Times New Roman" w:hAnsi="Times New Roman" w:cs="Times New Roman"/>
          <w:b/>
          <w:sz w:val="28"/>
          <w:szCs w:val="28"/>
        </w:rPr>
        <w:t xml:space="preserve"> </w:t>
      </w:r>
      <w:r w:rsidRPr="00E56A4C">
        <w:rPr>
          <w:rFonts w:ascii="Times New Roman" w:hAnsi="Times New Roman" w:cs="Times New Roman"/>
          <w:sz w:val="28"/>
          <w:szCs w:val="28"/>
        </w:rPr>
        <w:t xml:space="preserve">(дело </w:t>
      </w:r>
      <w:r w:rsidR="008051B0" w:rsidRPr="008051B0">
        <w:rPr>
          <w:rFonts w:ascii="Times New Roman" w:hAnsi="Times New Roman" w:cs="Times New Roman"/>
          <w:sz w:val="28"/>
          <w:szCs w:val="28"/>
        </w:rPr>
        <w:t xml:space="preserve">                     </w:t>
      </w:r>
      <w:r w:rsidRPr="00E56A4C">
        <w:rPr>
          <w:rFonts w:ascii="Times New Roman" w:hAnsi="Times New Roman" w:cs="Times New Roman"/>
          <w:sz w:val="28"/>
          <w:szCs w:val="28"/>
        </w:rPr>
        <w:t>№ А40-214936/2017).</w:t>
      </w:r>
    </w:p>
    <w:p w14:paraId="4A66C6B0" w14:textId="77777777" w:rsidR="003D1D28" w:rsidRDefault="003D1D28" w:rsidP="003D1D28">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Это дело </w:t>
      </w:r>
      <w:r w:rsidRPr="006C272A">
        <w:rPr>
          <w:rFonts w:ascii="Times New Roman" w:eastAsia="Times New Roman" w:hAnsi="Times New Roman" w:cs="Times New Roman"/>
          <w:sz w:val="28"/>
          <w:szCs w:val="28"/>
          <w:lang w:eastAsia="ru-RU"/>
        </w:rPr>
        <w:t xml:space="preserve">касается отмены цены на препарат, включенный в жизненно необходимые и лекарственные важнейшие </w:t>
      </w:r>
      <w:r>
        <w:rPr>
          <w:rFonts w:ascii="Times New Roman" w:eastAsia="Times New Roman" w:hAnsi="Times New Roman" w:cs="Times New Roman"/>
          <w:sz w:val="28"/>
          <w:szCs w:val="28"/>
          <w:lang w:eastAsia="ru-RU"/>
        </w:rPr>
        <w:t xml:space="preserve">лекарственные препараты (ЖНВЛП), и, </w:t>
      </w:r>
      <w:r>
        <w:rPr>
          <w:rFonts w:ascii="Times New Roman" w:hAnsi="Times New Roman" w:cs="Times New Roman"/>
          <w:sz w:val="28"/>
          <w:szCs w:val="28"/>
        </w:rPr>
        <w:t xml:space="preserve">несомненно, </w:t>
      </w:r>
      <w:r>
        <w:rPr>
          <w:rFonts w:ascii="Times New Roman" w:eastAsia="Times New Roman" w:hAnsi="Times New Roman" w:cs="Times New Roman"/>
          <w:sz w:val="28"/>
          <w:szCs w:val="28"/>
          <w:lang w:eastAsia="ru-RU"/>
        </w:rPr>
        <w:t>имеет социальную значимость.</w:t>
      </w:r>
    </w:p>
    <w:p w14:paraId="63E1180A" w14:textId="77777777" w:rsidR="003D1D28" w:rsidRPr="006C272A" w:rsidRDefault="003D1D28" w:rsidP="003D1D28">
      <w:pPr>
        <w:pStyle w:val="11"/>
        <w:spacing w:after="0" w:line="240" w:lineRule="auto"/>
        <w:ind w:left="0"/>
        <w:rPr>
          <w:rFonts w:ascii="Times New Roman" w:hAnsi="Times New Roman" w:cs="Times New Roman"/>
          <w:sz w:val="28"/>
          <w:szCs w:val="28"/>
        </w:rPr>
      </w:pPr>
      <w:r w:rsidRPr="006C272A">
        <w:rPr>
          <w:rFonts w:ascii="Times New Roman" w:hAnsi="Times New Roman" w:cs="Times New Roman"/>
          <w:sz w:val="28"/>
          <w:szCs w:val="28"/>
        </w:rPr>
        <w:t>Судами была поддержана позиция ФАС России о возможности применения положений Правил государственной регистрации и перерегистрации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утвержденных постановлением Правительства Российской Федерации от 29.10.2010 № 865, позволяющих отменять решение о согласовании предельной отпускной цены производителя на лекарственный препарат, если после принятия такого решения установлено, что держателем или владельцем регистрационного удостоверения лекарственного препарата (уполномоченным им лицом) были представлены повлиявшие на результат решения недостоверные сведения, к ценам, зарегистрированным до введения данной нормы.</w:t>
      </w:r>
    </w:p>
    <w:p w14:paraId="4D642A1F" w14:textId="77777777" w:rsidR="003D1D28" w:rsidRDefault="003D1D28" w:rsidP="003D1D28">
      <w:pPr>
        <w:pStyle w:val="11"/>
        <w:spacing w:after="0" w:line="240" w:lineRule="auto"/>
        <w:ind w:left="0"/>
        <w:rPr>
          <w:rFonts w:ascii="Times New Roman" w:hAnsi="Times New Roman" w:cs="Times New Roman"/>
          <w:sz w:val="28"/>
          <w:szCs w:val="28"/>
        </w:rPr>
      </w:pPr>
      <w:r w:rsidRPr="006C272A">
        <w:rPr>
          <w:rFonts w:ascii="Times New Roman" w:hAnsi="Times New Roman" w:cs="Times New Roman"/>
          <w:sz w:val="28"/>
          <w:szCs w:val="28"/>
        </w:rPr>
        <w:t>Действия ФАС России, связанные с отменой регистрации цены на лекарственный препарат, привели к снижению зарегистрированных цен в 3 раза.</w:t>
      </w:r>
    </w:p>
    <w:p w14:paraId="16B0D615" w14:textId="77777777" w:rsidR="003D1D28" w:rsidRDefault="003D1D28" w:rsidP="003D1D28">
      <w:pPr>
        <w:pStyle w:val="11"/>
        <w:spacing w:after="0" w:line="240" w:lineRule="auto"/>
        <w:ind w:left="0"/>
        <w:rPr>
          <w:rFonts w:ascii="Times New Roman" w:hAnsi="Times New Roman" w:cs="Times New Roman"/>
          <w:sz w:val="28"/>
          <w:szCs w:val="28"/>
        </w:rPr>
      </w:pPr>
      <w:r>
        <w:rPr>
          <w:rFonts w:ascii="Times New Roman" w:hAnsi="Times New Roman" w:cs="Times New Roman"/>
          <w:sz w:val="28"/>
          <w:szCs w:val="28"/>
        </w:rPr>
        <w:t>4. Картелизация российской экономики остается серьезным препятствием в развитии конкуренции.</w:t>
      </w:r>
    </w:p>
    <w:p w14:paraId="1911AFE9" w14:textId="77777777" w:rsidR="003D1D28" w:rsidRPr="00D73FDF" w:rsidRDefault="003D1D28" w:rsidP="003D1D28">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2018 году прошло судебную проверку решение антимонопольного органа, в рамках которого </w:t>
      </w:r>
      <w:r w:rsidRPr="00D73FDF">
        <w:rPr>
          <w:rFonts w:ascii="Times New Roman" w:eastAsia="Times New Roman" w:hAnsi="Times New Roman" w:cs="Times New Roman"/>
          <w:sz w:val="28"/>
          <w:szCs w:val="28"/>
          <w:lang w:eastAsia="ru-RU"/>
        </w:rPr>
        <w:t xml:space="preserve">ФАС России было </w:t>
      </w:r>
      <w:r>
        <w:rPr>
          <w:rFonts w:ascii="Times New Roman" w:eastAsia="Times New Roman" w:hAnsi="Times New Roman" w:cs="Times New Roman"/>
          <w:sz w:val="28"/>
          <w:szCs w:val="28"/>
          <w:lang w:eastAsia="ru-RU"/>
        </w:rPr>
        <w:t>установлено</w:t>
      </w:r>
      <w:r w:rsidRPr="00D73FDF">
        <w:rPr>
          <w:rFonts w:ascii="Times New Roman" w:eastAsia="Times New Roman" w:hAnsi="Times New Roman" w:cs="Times New Roman"/>
          <w:sz w:val="28"/>
          <w:szCs w:val="28"/>
          <w:lang w:eastAsia="ru-RU"/>
        </w:rPr>
        <w:t xml:space="preserve"> антиконкурентное соглашение, заключенное и реализованное компаниями двух групп лиц на 6 аукционах на поставку криминалистической техники общей су</w:t>
      </w:r>
      <w:r>
        <w:rPr>
          <w:rFonts w:ascii="Times New Roman" w:eastAsia="Times New Roman" w:hAnsi="Times New Roman" w:cs="Times New Roman"/>
          <w:sz w:val="28"/>
          <w:szCs w:val="28"/>
          <w:lang w:eastAsia="ru-RU"/>
        </w:rPr>
        <w:t xml:space="preserve">ммой почти 200 миллионов рублей (дело № </w:t>
      </w:r>
      <w:r w:rsidRPr="00D73FDF">
        <w:rPr>
          <w:rFonts w:ascii="Times New Roman" w:eastAsia="Times New Roman" w:hAnsi="Times New Roman" w:cs="Times New Roman"/>
          <w:sz w:val="28"/>
          <w:szCs w:val="28"/>
          <w:lang w:eastAsia="ru-RU"/>
        </w:rPr>
        <w:t>А40-88709/2018).</w:t>
      </w:r>
    </w:p>
    <w:p w14:paraId="56962DAC" w14:textId="77777777" w:rsidR="003D1D28" w:rsidRPr="00D73FDF" w:rsidRDefault="003D1D28" w:rsidP="003D1D28">
      <w:pPr>
        <w:spacing w:after="0" w:line="240" w:lineRule="auto"/>
        <w:ind w:firstLine="709"/>
        <w:jc w:val="both"/>
        <w:rPr>
          <w:rFonts w:ascii="Times New Roman" w:eastAsia="Times New Roman" w:hAnsi="Times New Roman" w:cs="Times New Roman"/>
          <w:sz w:val="28"/>
          <w:szCs w:val="28"/>
          <w:lang w:eastAsia="ru-RU"/>
        </w:rPr>
      </w:pPr>
      <w:r w:rsidRPr="00D73FDF">
        <w:rPr>
          <w:rFonts w:ascii="Times New Roman" w:eastAsia="Times New Roman" w:hAnsi="Times New Roman" w:cs="Times New Roman"/>
          <w:sz w:val="28"/>
          <w:szCs w:val="28"/>
          <w:lang w:eastAsia="ru-RU"/>
        </w:rPr>
        <w:t>Реализация антиконкурентного соглашения выразилась в имитации конкуренции при совместном участии в торгах, а также в отказе от участия в торгах в пользу других участников соглашения. После заключения государственного контракта компании заключали договоры поставок по ценам почти в два раза ниже НМЦК.</w:t>
      </w:r>
    </w:p>
    <w:p w14:paraId="5A6309E2" w14:textId="77777777" w:rsidR="003D1D28" w:rsidRDefault="003D1D28" w:rsidP="003D1D28">
      <w:pPr>
        <w:spacing w:after="0" w:line="240" w:lineRule="auto"/>
        <w:ind w:firstLine="709"/>
        <w:jc w:val="both"/>
        <w:rPr>
          <w:rFonts w:ascii="Times New Roman" w:hAnsi="Times New Roman" w:cs="Times New Roman"/>
          <w:sz w:val="28"/>
          <w:szCs w:val="28"/>
        </w:rPr>
      </w:pPr>
      <w:r w:rsidRPr="00D73FDF">
        <w:rPr>
          <w:rFonts w:ascii="Times New Roman" w:eastAsia="Times New Roman" w:hAnsi="Times New Roman" w:cs="Times New Roman"/>
          <w:sz w:val="28"/>
          <w:szCs w:val="28"/>
          <w:lang w:eastAsia="ru-RU"/>
        </w:rPr>
        <w:t xml:space="preserve">Обстоятельства, установленные </w:t>
      </w:r>
      <w:r>
        <w:rPr>
          <w:rFonts w:ascii="Times New Roman" w:eastAsia="Times New Roman" w:hAnsi="Times New Roman" w:cs="Times New Roman"/>
          <w:sz w:val="28"/>
          <w:szCs w:val="28"/>
          <w:lang w:eastAsia="ru-RU"/>
        </w:rPr>
        <w:t>р</w:t>
      </w:r>
      <w:r w:rsidRPr="00D73FDF">
        <w:rPr>
          <w:rFonts w:ascii="Times New Roman" w:eastAsia="Times New Roman" w:hAnsi="Times New Roman" w:cs="Times New Roman"/>
          <w:sz w:val="28"/>
          <w:szCs w:val="28"/>
          <w:lang w:eastAsia="ru-RU"/>
        </w:rPr>
        <w:t>ешением ФАС России, приняты во внимание следственным органом, рассматривающим уголовное дело по фактам нарушений на рассматриваемых ФАС России аукцион</w:t>
      </w:r>
      <w:r>
        <w:rPr>
          <w:rFonts w:ascii="Times New Roman" w:eastAsia="Times New Roman" w:hAnsi="Times New Roman" w:cs="Times New Roman"/>
          <w:sz w:val="28"/>
          <w:szCs w:val="28"/>
          <w:lang w:eastAsia="ru-RU"/>
        </w:rPr>
        <w:t xml:space="preserve">ах, что отвечает основной идее Указа Президента Российской Федерации № 618, согласно которой </w:t>
      </w:r>
      <w:r>
        <w:rPr>
          <w:rFonts w:ascii="Times New Roman" w:hAnsi="Times New Roman" w:cs="Times New Roman"/>
          <w:sz w:val="28"/>
          <w:szCs w:val="28"/>
        </w:rPr>
        <w:t>активное содействие развитию конкуренции в Российской Федерации считается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247EFA3F" w14:textId="77777777" w:rsidR="003D1D28" w:rsidRDefault="003D1D28" w:rsidP="003D1D28">
      <w:pPr>
        <w:pStyle w:val="11"/>
        <w:spacing w:after="0" w:line="240" w:lineRule="auto"/>
        <w:ind w:left="0"/>
        <w:rPr>
          <w:rFonts w:ascii="Times New Roman" w:hAnsi="Times New Roman" w:cs="Times New Roman"/>
          <w:sz w:val="28"/>
          <w:szCs w:val="28"/>
        </w:rPr>
      </w:pPr>
      <w:r>
        <w:rPr>
          <w:rFonts w:ascii="Times New Roman" w:hAnsi="Times New Roman" w:cs="Times New Roman"/>
          <w:sz w:val="28"/>
          <w:szCs w:val="28"/>
        </w:rPr>
        <w:t>5. Выдаваемые антимонопольным органом предупреждения позволяют оперативно отреагировать на нарушение антимонопольного законодательства.</w:t>
      </w:r>
    </w:p>
    <w:p w14:paraId="3652FFE1" w14:textId="77777777" w:rsidR="003D1D28" w:rsidRDefault="003D1D28" w:rsidP="003D1D28">
      <w:pPr>
        <w:pStyle w:val="11"/>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Так, </w:t>
      </w:r>
      <w:r w:rsidRPr="00AE1BD0">
        <w:rPr>
          <w:rFonts w:ascii="Times New Roman" w:hAnsi="Times New Roman" w:cs="Times New Roman"/>
          <w:sz w:val="28"/>
          <w:szCs w:val="28"/>
        </w:rPr>
        <w:t>в отсутствие законодательно разработанных типовых форм выдача предупреждения ФАС России позволила исключить ситуацию, когда гарантирующие поставщики включают в договор условия, реализация которых приводит к тому, что потребитель оплачивает услуги в полном объеме, но сетевая организация не получает возмещения за оказанные услуги</w:t>
      </w:r>
      <w:r w:rsidRPr="0003517E">
        <w:rPr>
          <w:rFonts w:ascii="Times New Roman" w:hAnsi="Times New Roman" w:cs="Times New Roman"/>
          <w:b/>
          <w:sz w:val="28"/>
          <w:szCs w:val="28"/>
        </w:rPr>
        <w:t xml:space="preserve"> </w:t>
      </w:r>
      <w:r w:rsidRPr="0003517E">
        <w:rPr>
          <w:rFonts w:ascii="Times New Roman" w:hAnsi="Times New Roman" w:cs="Times New Roman"/>
          <w:sz w:val="28"/>
          <w:szCs w:val="28"/>
        </w:rPr>
        <w:t>(дело № А40-163599/17).</w:t>
      </w:r>
    </w:p>
    <w:p w14:paraId="292F2F09" w14:textId="77777777" w:rsidR="003D1D28" w:rsidRPr="0003517E" w:rsidRDefault="003D1D28" w:rsidP="003D1D28">
      <w:pPr>
        <w:pStyle w:val="11"/>
        <w:spacing w:after="0" w:line="240" w:lineRule="auto"/>
        <w:ind w:left="0"/>
        <w:rPr>
          <w:rFonts w:ascii="Times New Roman" w:hAnsi="Times New Roman" w:cs="Times New Roman"/>
          <w:sz w:val="28"/>
          <w:szCs w:val="28"/>
        </w:rPr>
      </w:pPr>
      <w:r>
        <w:rPr>
          <w:rFonts w:ascii="Times New Roman" w:hAnsi="Times New Roman" w:cs="Times New Roman"/>
          <w:sz w:val="28"/>
          <w:szCs w:val="28"/>
        </w:rPr>
        <w:t>В</w:t>
      </w:r>
      <w:r w:rsidRPr="006C272A">
        <w:rPr>
          <w:rFonts w:ascii="Times New Roman" w:hAnsi="Times New Roman" w:cs="Times New Roman"/>
          <w:sz w:val="28"/>
          <w:szCs w:val="28"/>
        </w:rPr>
        <w:t xml:space="preserve"> типовую форму договора гарантирующе</w:t>
      </w:r>
      <w:r>
        <w:rPr>
          <w:rFonts w:ascii="Times New Roman" w:hAnsi="Times New Roman" w:cs="Times New Roman"/>
          <w:sz w:val="28"/>
          <w:szCs w:val="28"/>
        </w:rPr>
        <w:t>го поставщика</w:t>
      </w:r>
      <w:r w:rsidRPr="006C272A">
        <w:rPr>
          <w:rFonts w:ascii="Times New Roman" w:hAnsi="Times New Roman" w:cs="Times New Roman"/>
          <w:sz w:val="28"/>
          <w:szCs w:val="28"/>
        </w:rPr>
        <w:t xml:space="preserve"> были включены условия о том, что ответственность перед потребителем несет оказывающая услуги передачи электрической энергии сетевая организация и о необходимости для всех потребителей обеспечения обязательств по оплате электрической энергии (мощности).</w:t>
      </w:r>
    </w:p>
    <w:p w14:paraId="122C2D03" w14:textId="77777777" w:rsidR="003D1D28" w:rsidRPr="006C272A" w:rsidRDefault="003D1D28" w:rsidP="003D1D28">
      <w:pPr>
        <w:pStyle w:val="11"/>
        <w:spacing w:after="0" w:line="240" w:lineRule="auto"/>
        <w:ind w:left="0"/>
        <w:rPr>
          <w:rFonts w:ascii="Times New Roman" w:hAnsi="Times New Roman" w:cs="Times New Roman"/>
          <w:sz w:val="28"/>
          <w:szCs w:val="28"/>
        </w:rPr>
      </w:pPr>
      <w:r>
        <w:rPr>
          <w:rFonts w:ascii="Times New Roman" w:hAnsi="Times New Roman" w:cs="Times New Roman"/>
          <w:sz w:val="28"/>
          <w:szCs w:val="28"/>
        </w:rPr>
        <w:t>Судами отмечено, что т</w:t>
      </w:r>
      <w:r w:rsidRPr="006C272A">
        <w:rPr>
          <w:rFonts w:ascii="Times New Roman" w:hAnsi="Times New Roman" w:cs="Times New Roman"/>
          <w:sz w:val="28"/>
          <w:szCs w:val="28"/>
        </w:rPr>
        <w:t>от факт, что законодательством в сфере электроэнергетики предусмотрена процедура заключения договора с потребителем с возможностью им самостоятельного выбора тех условий, разработанного гарантирующим поставщиком типового договора, которые он считает для себя наиболее приемлемыми, не позволяет обществу включать спорные условия в типовые формы договора энергоснабжения и не оправдывает его действия.</w:t>
      </w:r>
    </w:p>
    <w:p w14:paraId="43C77D2B" w14:textId="77777777" w:rsidR="003D1D28" w:rsidRPr="006C272A" w:rsidRDefault="003D1D28" w:rsidP="003D1D28">
      <w:pPr>
        <w:pStyle w:val="11"/>
        <w:spacing w:after="0" w:line="240" w:lineRule="auto"/>
        <w:ind w:left="0"/>
        <w:rPr>
          <w:rFonts w:ascii="Times New Roman" w:hAnsi="Times New Roman" w:cs="Times New Roman"/>
          <w:sz w:val="28"/>
          <w:szCs w:val="28"/>
        </w:rPr>
      </w:pPr>
      <w:r w:rsidRPr="006C272A">
        <w:rPr>
          <w:rFonts w:ascii="Times New Roman" w:hAnsi="Times New Roman" w:cs="Times New Roman"/>
          <w:sz w:val="28"/>
          <w:szCs w:val="28"/>
        </w:rPr>
        <w:t>Включение в типовые формы не соответствующих закону условий создает у потребителей неверное представление о надлежащих условиях договоров и может вводить их в заблуждение.</w:t>
      </w:r>
    </w:p>
    <w:p w14:paraId="5719B37C" w14:textId="77777777" w:rsidR="003D1D28" w:rsidRDefault="003D1D28" w:rsidP="003D1D28">
      <w:pPr>
        <w:spacing w:after="0" w:line="240" w:lineRule="auto"/>
        <w:ind w:firstLine="709"/>
        <w:jc w:val="both"/>
        <w:rPr>
          <w:rFonts w:ascii="Times New Roman" w:hAnsi="Times New Roman" w:cs="Times New Roman"/>
          <w:sz w:val="28"/>
          <w:szCs w:val="28"/>
        </w:rPr>
      </w:pPr>
      <w:r w:rsidRPr="00441407">
        <w:rPr>
          <w:rFonts w:ascii="Times New Roman" w:hAnsi="Times New Roman" w:cs="Times New Roman"/>
          <w:sz w:val="28"/>
          <w:szCs w:val="28"/>
        </w:rPr>
        <w:t xml:space="preserve">Приведенные примеры судебных дел показывают, что все решения и действия, предпринимаемые службой, учитывают Национальный план развития конкуренции, утвержденный Указом Президента РФ, и перечень поручений по итогам проведения Государственного Совета. </w:t>
      </w:r>
    </w:p>
    <w:p w14:paraId="10078639" w14:textId="77777777" w:rsidR="003D1D28" w:rsidRDefault="003D1D28" w:rsidP="003D1D28">
      <w:pPr>
        <w:spacing w:after="0" w:line="240" w:lineRule="auto"/>
        <w:ind w:firstLine="709"/>
        <w:jc w:val="both"/>
        <w:rPr>
          <w:rFonts w:ascii="Times New Roman" w:hAnsi="Times New Roman" w:cs="Times New Roman"/>
          <w:sz w:val="28"/>
          <w:szCs w:val="28"/>
        </w:rPr>
      </w:pPr>
    </w:p>
    <w:p w14:paraId="2A8E664A" w14:textId="77777777" w:rsidR="008055C6" w:rsidRDefault="008055C6" w:rsidP="003D1D28">
      <w:pPr>
        <w:spacing w:after="0" w:line="240" w:lineRule="auto"/>
        <w:ind w:firstLine="709"/>
        <w:jc w:val="both"/>
        <w:rPr>
          <w:rFonts w:ascii="Times New Roman" w:hAnsi="Times New Roman" w:cs="Times New Roman"/>
          <w:sz w:val="28"/>
          <w:szCs w:val="28"/>
        </w:rPr>
      </w:pPr>
    </w:p>
    <w:p w14:paraId="4E79E491" w14:textId="77777777" w:rsidR="00883C8E" w:rsidRDefault="00883C8E" w:rsidP="00DA3F05">
      <w:pPr>
        <w:pStyle w:val="3"/>
      </w:pPr>
      <w:bookmarkStart w:id="83" w:name="_Toc7447943"/>
      <w:r w:rsidRPr="00F36F46">
        <w:t>Формирование</w:t>
      </w:r>
      <w:r w:rsidRPr="003E40CF">
        <w:t xml:space="preserve"> единообразия применения норм антимонопольного законодательства коллегиальными органами ФАС России</w:t>
      </w:r>
      <w:bookmarkEnd w:id="83"/>
      <w:r w:rsidRPr="003E40CF">
        <w:t xml:space="preserve"> </w:t>
      </w:r>
      <w:bookmarkStart w:id="84" w:name="_Toc6834323"/>
      <w:bookmarkStart w:id="85" w:name="_Toc6834610"/>
      <w:bookmarkStart w:id="86" w:name="_Toc6834813"/>
      <w:bookmarkEnd w:id="84"/>
      <w:bookmarkEnd w:id="85"/>
      <w:bookmarkEnd w:id="86"/>
    </w:p>
    <w:p w14:paraId="35427601" w14:textId="77777777" w:rsidR="00F36F46" w:rsidRPr="00F36F46" w:rsidRDefault="00F36F46" w:rsidP="00F36F46"/>
    <w:p w14:paraId="16399748"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Для решения задач по развитию и защите конкуренции как одной из основ конституционного строя Российской Федерации необходима консолидация всех институтов государства и гражданского общества.</w:t>
      </w:r>
    </w:p>
    <w:p w14:paraId="3A6D6C30"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основе такой государственной политики должно быть эффективное и современное антимонопольное законодательство и не менее эффективная практика его применения.</w:t>
      </w:r>
    </w:p>
    <w:p w14:paraId="12DC4EC6"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Антимонопольное законодательство является одним из самых быстро развивающихся отраслей российского права. Поскольку ситуация на товарных рынках и в экономике в целом постоянно меняется под воздействием вновь возникающих, иногда совершенно новых и неизвестных экономической науке ранее факторов, регулятор вынужден постоянно инициировать изменения имеющегося в его распоряжении инструментария правовых норм.</w:t>
      </w:r>
    </w:p>
    <w:p w14:paraId="28C6B389"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 xml:space="preserve"> В сложившейся ситуации не только контролируемые хозяйствующие субъекты, но и сами правоприменители сталкиваются с необходимостью корректировать сложившуюся практику применения норм антимонопольного законодательства в ответ на новые вызовы ограничения конкуренции, постоянно появляющиеся в экономике.</w:t>
      </w:r>
    </w:p>
    <w:p w14:paraId="69E24BAF"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В этой связи особое значение имеет сохранение единообразного применения норм антимонопольного законодательства всеми антимонопольными органами по всей территории России. В настоящее время дела о нарушении антимонопольного законодательства рассматриваются комиссиями центрального аппарата ФАС России и 83 территориальных органов, расположенных во всех субъектах Российской Федерации.</w:t>
      </w:r>
    </w:p>
    <w:p w14:paraId="297E6C44"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Следует отметить, что процедура осуществления антимонопольного контроля является наиболее сложной и многоэтапной по сравнению с любыми другими существующими видами государственного контроля. Наличие региональной специфики и неоднозначность судебной практики также вносят разночтения в многочисленные требования антимонопольного законодательства к содержанию решений антимонопольных органов.</w:t>
      </w:r>
    </w:p>
    <w:p w14:paraId="720C318F"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 xml:space="preserve">Таким образом, обеспечить единство правоприменения по всем ключевым вопросам антимонопольного контроля возможно только путем дачи прямых разъяснений норм действующего антимонопольного законодательства коллегиальными органами ФАС России. С другой стороны, в случае отступления территориальными антимонопольными органами от общих выработанных правил применения этих норм, у центрального аппарата ФАС России имеется механизм ведомственной апелляции, обладающей полномочиями, в силу Закона о защите конкуренции, на отмену решений территориальных органов ФАС России в случае нарушения ими единообразия применения норм антимонопольного законодательства. </w:t>
      </w:r>
    </w:p>
    <w:p w14:paraId="58D63861"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Сочетание этих двух механизмов (разъяснений Президиумом ФАС России норм антимонопольного законодательства и пересмотра решений территориальных органом апелляционной коллегией ФАС), дает возможность обеспечивать не только единство правоприменения в самих антимонопольных органах, но и вырабатывает единые подходы в понимании антимонопольного законодательства всеми субъектами правоотношений на территории всей Российской Федерации.</w:t>
      </w:r>
    </w:p>
    <w:p w14:paraId="2D3DBDC7"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2018 году Президиум ФАС России утвердил ряд значимых разъяснений по вопросам: коллективного доминирования; использования информации, составляющей коммерческую тайну; установления фактов заключения антиконкурентных соглашений хозяйствующими субъектами при подготовке и участии в торгах.</w:t>
      </w:r>
    </w:p>
    <w:p w14:paraId="34A63B48" w14:textId="057D3BAA"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1. По результатам изучения и обобщения практики применения антимонопольными органами антимонопольного законодательства к отношениям, связанным с получением, использованием и предоставлением доступа к информации, составляющей коммерческую тайну ФАС России подготовлено разъяснение Президиума ФАС России от 21.02.2018 № 13 «Об информации, составляющей коммерческую тайну, в рамках рассмотрения дела о нарушении антимонопольного законодательства, проведении проверок соблюдения антимонопольного законодательства, осуществлении государственного контроля за экономической концентрацией» (утв. протоколом Президиума ФАС России от 21.02.2018 №</w:t>
      </w:r>
      <w:r w:rsidR="002520A3" w:rsidRPr="00871019">
        <w:rPr>
          <w:rFonts w:ascii="Times New Roman" w:hAnsi="Times New Roman" w:cs="Times New Roman"/>
          <w:sz w:val="28"/>
          <w:szCs w:val="28"/>
        </w:rPr>
        <w:t xml:space="preserve"> </w:t>
      </w:r>
      <w:r w:rsidRPr="00D95736">
        <w:rPr>
          <w:rFonts w:ascii="Times New Roman" w:hAnsi="Times New Roman" w:cs="Times New Roman"/>
          <w:sz w:val="28"/>
          <w:szCs w:val="28"/>
        </w:rPr>
        <w:t>2).</w:t>
      </w:r>
    </w:p>
    <w:p w14:paraId="683D17A4"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Указанное разъяснение направлено на обеспечение предусмотренных Законом о защите конкуренции прав лиц, привлекаемых к рассмотрению дел о нарушении антимонопольного законодательства, лиц, в отношении которых проводятся проверки соблюдения антимонопольного законодательства, а также при осуществлении государственного контроля за экономической концентрацией.</w:t>
      </w:r>
    </w:p>
    <w:p w14:paraId="0AC0CA4B"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разъяснении приведено понятие коммерческой тайны, определены сведения, которые не могут быть отнесены к коммерческой тайне, перечислены права и обязанности лиц, участвующих в деле о нарушении антимонопольного законодательства, на получение доступа к информации, составляющей коммерческую тайну.</w:t>
      </w:r>
    </w:p>
    <w:p w14:paraId="211D5F50" w14:textId="77777777" w:rsidR="00DF1095" w:rsidRPr="00D95736" w:rsidRDefault="00DF1095" w:rsidP="00DF1095">
      <w:pPr>
        <w:spacing w:after="0" w:line="240" w:lineRule="auto"/>
        <w:ind w:firstLine="709"/>
        <w:jc w:val="both"/>
        <w:rPr>
          <w:rFonts w:ascii="Times New Roman" w:hAnsi="Times New Roman" w:cs="Times New Roman"/>
          <w:bCs/>
          <w:sz w:val="28"/>
          <w:szCs w:val="28"/>
        </w:rPr>
      </w:pPr>
      <w:r w:rsidRPr="00D95736">
        <w:rPr>
          <w:rFonts w:ascii="Times New Roman" w:hAnsi="Times New Roman" w:cs="Times New Roman"/>
          <w:sz w:val="28"/>
          <w:szCs w:val="28"/>
        </w:rPr>
        <w:t>Также в разъяснении отражены вопросы о порядке с</w:t>
      </w:r>
      <w:r w:rsidRPr="00D95736">
        <w:rPr>
          <w:rFonts w:ascii="Times New Roman" w:hAnsi="Times New Roman" w:cs="Times New Roman"/>
          <w:bCs/>
          <w:sz w:val="28"/>
          <w:szCs w:val="28"/>
        </w:rPr>
        <w:t>облюдения режима коммерческой тайны в отношении материалов, представляемых в ходе рассмотрения дела о нарушении антимонопольного законодательства, при проведении проверки антимонопольным органом, при рассмотрении ходатайств в рамках осуществления государственного контроля за экономической концентрацией, а также предоставления информации, составляющей коммерческую тайну, экспертам, участвующим в рассмотрении дела о нарушении антимонопольного законодательства.</w:t>
      </w:r>
    </w:p>
    <w:p w14:paraId="7EDE3F26"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2. Разъяснение ФАС России от 30.05.2018 №14 «О квалификации соглашений хозяйствующих субъектов, участвующих в торгах» (утв. протоколом Президиума ФАС России от 30.05.2018 №7) подготовлено ФАС России по результатам изучения и обобщения практики применения антимонопольными органами антимонопольного законодательства при установлении фактов заключения антиконкурентных соглашений хозяйствующими субъектами при подготовке и участии в торгах.</w:t>
      </w:r>
    </w:p>
    <w:p w14:paraId="2F2992C3" w14:textId="77777777"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разъяснении указано, что в случаях, когда регламентированная законодательством процедура проведения торгов предусматривает признание их несостоявшимися при наличии лишь одного участника и не создает оснований для заключения договора с единственным участником, соглашения двух хозяйствующих субъектов о совместном (согласованном) участии в таких торгах не могут быть квалифицированы по пункту 2 части 1 статьи 11 Закона о защите конкуренции только лишь на том основании, что один из участников осуществляет пассивное поведение при проведении торгов или такое пассивное поведение является предметом их договоренности.</w:t>
      </w:r>
      <w:r w:rsidRPr="00D95736">
        <w:t xml:space="preserve"> </w:t>
      </w:r>
      <w:r w:rsidRPr="00D95736">
        <w:rPr>
          <w:rFonts w:ascii="Times New Roman" w:hAnsi="Times New Roman" w:cs="Times New Roman"/>
          <w:sz w:val="28"/>
          <w:szCs w:val="28"/>
        </w:rPr>
        <w:t>При этом при наличии иных обстоятельств не исключается рассмотрение подобных действий по признакам иных антиконкурентных соглашений между участниками торгов, либо между участниками и заказчиком (организатором) торгов.</w:t>
      </w:r>
    </w:p>
    <w:p w14:paraId="68F0035A" w14:textId="77777777"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тех же случаях, когда по результатам несостоявшихся торгов единственный участник в связи с наличием соответствующих положений законодательства приобретает право заключения договора (контракта) или когда в торгах принимают участие иные невзаимосвязанные участники, такое обоснование соглашения как исключительно обеспечение признания торгов состоявшимися для заключения договора не может соответствовать действительности и не должно приниматься. В таких случаях следует применять подходы, изложенные в разъяснении Президиума ФАС России №3 «Доказывание недопустимых соглашений (в том числе картелей) и согласованных действий на товарных рынках, в том числе на торгах» (утв. протоколом Президиума ФАС России от 17.02.2016 №3).</w:t>
      </w:r>
    </w:p>
    <w:p w14:paraId="5ABD7C98" w14:textId="77777777"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целях формирования единообразия правоприменительной практики антимонопольных органов и правильной квалификации соглашений хозяйствующих субъектов, являющихся участниками торгов, в разъяснении указано на необходимость установления территориальными органами ФАС России полного состава участников торгов, а также установления наступления или возможности наступления последствий в виде повышения, снижения или поддержания цен на торгах, и причинно-следственную связь между соглашением и такими последствиями (возможностью их наступления).</w:t>
      </w:r>
    </w:p>
    <w:p w14:paraId="3261B873"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3. Для целей разъяснения вопросов применения положений части 3 статьи 5 Закона о защите конкуренции Президиумом ФАС России утверждено разъяснение ФАС России №15 «О привлечении к ответственности за злоупотребления доминирующим положением хозяйствующих субъектов, признанных коллективно доминирующими» (утв. протоколом Президиума ФАС России от 24.10.2018 №11).</w:t>
      </w:r>
    </w:p>
    <w:p w14:paraId="69EDD676"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Данное разъяснение подготовлено ФАС России по результатам изучения и обобщения практики применения антимонопольными органами антимонопольного законодательства и раскрывает вопросы, касающиеся порядка установления и доказывания коллективного доминирующего положения, а также выполнения совокупности условий коллективного доминирования, позволяющих сделать обоснованный вывод о наличии признаков злоупотребления одним или несколькими хозяйствующими субъектами доминирующим положением.</w:t>
      </w:r>
    </w:p>
    <w:p w14:paraId="64496008"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Разъяснение отражает вопросы как выдачи антимонопольным органом, так и исполнения предупреждений и предписаний хозяйствующими субъектами, злоупотребившими доминирующим положением, а также условий и порядка привлечения к административной ответственности конкретного хозяйствующего субъекта и его должностного лица.</w:t>
      </w:r>
    </w:p>
    <w:p w14:paraId="6DF5F3B6" w14:textId="77777777" w:rsidR="00DF1095" w:rsidRPr="00D95736" w:rsidRDefault="00DF1095" w:rsidP="00DF1095">
      <w:pPr>
        <w:spacing w:after="0" w:line="240" w:lineRule="auto"/>
        <w:ind w:firstLine="851"/>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2018 году ФАС России также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w:t>
      </w:r>
    </w:p>
    <w:p w14:paraId="0F938109" w14:textId="77777777" w:rsidR="00DF1095" w:rsidRPr="00D95736" w:rsidRDefault="00DF1095" w:rsidP="00DF1095">
      <w:pPr>
        <w:spacing w:after="0" w:line="240" w:lineRule="auto"/>
        <w:ind w:firstLine="709"/>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рамках указанного сборника ФАС России опубликован Обзор практики применения антимонопольного законодательства коллегиальными органами ФАС России, утвержденный Президиумом ФАС России (протокол Президиума ФАС России №10 от 03.10.2018).</w:t>
      </w:r>
    </w:p>
    <w:p w14:paraId="28C9E9BF" w14:textId="77777777" w:rsidR="00DF1095" w:rsidRPr="00D95736" w:rsidRDefault="00DF1095" w:rsidP="00DF1095">
      <w:pPr>
        <w:spacing w:after="0" w:line="240" w:lineRule="auto"/>
        <w:ind w:firstLine="709"/>
        <w:jc w:val="both"/>
        <w:rPr>
          <w:rFonts w:ascii="Times New Roman" w:hAnsi="Times New Roman"/>
          <w:color w:val="000000"/>
          <w:sz w:val="28"/>
          <w:szCs w:val="28"/>
          <w:lang w:eastAsia="ru-RU"/>
        </w:rPr>
      </w:pPr>
      <w:r w:rsidRPr="00D95736">
        <w:rPr>
          <w:rFonts w:ascii="Times New Roman" w:eastAsia="Times New Roman" w:hAnsi="Times New Roman" w:cs="Times New Roman"/>
          <w:sz w:val="28"/>
          <w:szCs w:val="28"/>
          <w:lang w:eastAsia="ru-RU"/>
        </w:rPr>
        <w:t xml:space="preserve">В Обзоре </w:t>
      </w:r>
      <w:r w:rsidRPr="00D95736">
        <w:rPr>
          <w:rFonts w:ascii="Times New Roman" w:hAnsi="Times New Roman"/>
          <w:color w:val="000000"/>
          <w:sz w:val="28"/>
          <w:szCs w:val="28"/>
          <w:lang w:eastAsia="ru-RU"/>
        </w:rPr>
        <w:t>представлены основные правовые позиции относительно единообразия применения положений антимонопольного законодательства, которые были сделаны коллегиальными органами ФАС России при пересмотре в порядке внутриведомственной апелляции решений и (или) предписаний территориальных антимонопольных органов.</w:t>
      </w:r>
    </w:p>
    <w:p w14:paraId="6519160E"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Так, в Обзоре рассматриваются следующие вопросы:</w:t>
      </w:r>
    </w:p>
    <w:p w14:paraId="0E7016D8"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злоупотребления доминирующим положением;</w:t>
      </w:r>
    </w:p>
    <w:p w14:paraId="7D290454"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антиконкурентных соглашений и координации экономической деятельности;</w:t>
      </w:r>
    </w:p>
    <w:p w14:paraId="2997FCA2"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нарушения антимонопольных требований к торгам;</w:t>
      </w:r>
    </w:p>
    <w:p w14:paraId="46C39EE7"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актов недобросовестной конкуренции;</w:t>
      </w:r>
    </w:p>
    <w:p w14:paraId="59B3EBC4"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Подходы к определению единообразия применения антимонопольного законодательства при пересмотре решений и (или) предписаний антимонопольных органов;</w:t>
      </w:r>
    </w:p>
    <w:p w14:paraId="6668B4F6"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относительно процедурных вопросов пересмотра решений и (или) предписаний территориальных антимонопольных органов.</w:t>
      </w:r>
    </w:p>
    <w:p w14:paraId="5B22BA15" w14:textId="613E3AA9"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Представленные в сборнике правовые подходы ФАС России, Обзор практики применения антимонопольного законодательства коллегиальными органами ФАС России направлены на повышение прозрачности и открытости антимонопольного регулирования. Такого рода публикации имеют большой спрос для сотрудников территориальных органов ФАС России, практикующих юристов и экономистов, а также предпринимательского сообщества.</w:t>
      </w:r>
    </w:p>
    <w:p w14:paraId="5E49991C"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Формирование единообразной практики применения антимонопольного законодательства требует наличия базы «эталонных» решений и разъяснений, которые могут послужить ориентиром для правоприменителя при принятии им собственных решений или выработки правовых позиций в сфере   антимонопольного законодательства. </w:t>
      </w:r>
    </w:p>
    <w:p w14:paraId="4883AD13"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Проведение в ФАС России, начиная с 2016 года</w:t>
      </w:r>
      <w:r>
        <w:rPr>
          <w:rFonts w:ascii="Times New Roman" w:hAnsi="Times New Roman"/>
          <w:color w:val="000000"/>
          <w:sz w:val="28"/>
          <w:szCs w:val="28"/>
          <w:lang w:eastAsia="ru-RU"/>
        </w:rPr>
        <w:t xml:space="preserve"> (год создания А</w:t>
      </w:r>
      <w:r w:rsidRPr="00D95736">
        <w:rPr>
          <w:rFonts w:ascii="Times New Roman" w:hAnsi="Times New Roman"/>
          <w:color w:val="000000"/>
          <w:sz w:val="28"/>
          <w:szCs w:val="28"/>
          <w:lang w:eastAsia="ru-RU"/>
        </w:rPr>
        <w:t xml:space="preserve">пелляционной коллегии ФАС России), последовательной политики по формированию базы подобных решений, в совокупности с выпуском разъяснений по ключевым вопросам применения норм Закона «О защите конкуренции», а также норм смежных с ним отраслей законодательства, позволило выработать системный подход к применению антимонопольного законодательства в целом. </w:t>
      </w:r>
    </w:p>
    <w:p w14:paraId="7E938CF0"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Можно утверждать, что к настоящему моменту сформирована базовая практика разрешения всех наиболее сложных вопросов, возникающих при вынесении решений по делам о нарушении антимонопольного законодательства.</w:t>
      </w:r>
    </w:p>
    <w:p w14:paraId="7D92C79F"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Сформированность единообразных подходов по ключевым вопросам правоприменения не только исключает споры между территориальными органами ФАС России при принятии ими решений, но и делает механизм антимонопольного регулирования более прозрачным и предсказуемым для всех участников экономических отношений. </w:t>
      </w:r>
    </w:p>
    <w:p w14:paraId="03012975"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Наличие ведомственной апелляции ФАС России, в свою очередь, позволяет самим хозяйствующим субъектам пресечь любые отклонения от сложившейся практики наиболее простым и незатратным по времени и ресурсам способом, путем подачи апелляционных жалоб на решения территориальных органов ФАС России по делам о нарушении антимонопольного законодательства, избегая, тем самым</w:t>
      </w:r>
      <w:r>
        <w:rPr>
          <w:rFonts w:ascii="Times New Roman" w:hAnsi="Times New Roman"/>
          <w:color w:val="000000"/>
          <w:sz w:val="28"/>
          <w:szCs w:val="28"/>
          <w:lang w:eastAsia="ru-RU"/>
        </w:rPr>
        <w:t>, как судебных разбирательств</w:t>
      </w:r>
      <w:r w:rsidRPr="00D95736">
        <w:rPr>
          <w:rFonts w:ascii="Times New Roman" w:hAnsi="Times New Roman"/>
          <w:color w:val="000000"/>
          <w:sz w:val="28"/>
          <w:szCs w:val="28"/>
          <w:lang w:eastAsia="ru-RU"/>
        </w:rPr>
        <w:t>, так и разрешения споров вне рамок правового поля.</w:t>
      </w:r>
    </w:p>
    <w:p w14:paraId="5EA0295F"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В результате, предсказуемость антимонопольного регулирования снижает нагрузку на хозяйствующие субъекты, и, в первую очередь, на малый и средний бизнес, делая механизмы антимонопольного регулирования более доступными для самого широкого круга участников экономической деятельности, что оказывает положительный эффект на формирование благоприятного делового климата и способствует повышению инвестиционной привлекательности российской экономики.  </w:t>
      </w:r>
    </w:p>
    <w:p w14:paraId="41600060"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33F6F548" w14:textId="77777777" w:rsidR="008055C6" w:rsidRPr="00D95736" w:rsidRDefault="008055C6"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6B1CE88E" w14:textId="77777777" w:rsidR="00883C8E" w:rsidRDefault="00883C8E" w:rsidP="00DA3F05">
      <w:pPr>
        <w:pStyle w:val="3"/>
      </w:pPr>
      <w:bookmarkStart w:id="87" w:name="_Toc7447944"/>
      <w:r w:rsidRPr="00F36F46">
        <w:t>Развитие</w:t>
      </w:r>
      <w:r w:rsidRPr="007C6DC9">
        <w:t xml:space="preserve"> антимонопольной практики по защите прав </w:t>
      </w:r>
      <w:r w:rsidRPr="0039532F">
        <w:t>правообладателей</w:t>
      </w:r>
      <w:r w:rsidRPr="007C6DC9">
        <w:t xml:space="preserve"> при организации и проведении международных спортивных мероприятий</w:t>
      </w:r>
      <w:bookmarkEnd w:id="87"/>
      <w:r w:rsidRPr="007C6DC9">
        <w:t xml:space="preserve"> </w:t>
      </w:r>
      <w:bookmarkStart w:id="88" w:name="_Toc6834324"/>
      <w:bookmarkStart w:id="89" w:name="_Toc6834611"/>
      <w:bookmarkStart w:id="90" w:name="_Toc6834814"/>
      <w:bookmarkEnd w:id="88"/>
      <w:bookmarkEnd w:id="89"/>
      <w:bookmarkEnd w:id="90"/>
    </w:p>
    <w:p w14:paraId="4F126EE5" w14:textId="77777777" w:rsidR="00A82379" w:rsidRDefault="00A82379" w:rsidP="00A82379"/>
    <w:p w14:paraId="113522D5" w14:textId="77777777" w:rsidR="00A82379"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Защита спортивной символики – отдельная проблема организации и проведения масштабного спортивного мероприятия для предотвращения </w:t>
      </w:r>
      <w:r>
        <w:rPr>
          <w:rFonts w:ascii="Times New Roman" w:eastAsia="Times New Roman" w:hAnsi="Times New Roman"/>
          <w:sz w:val="28"/>
          <w:szCs w:val="28"/>
          <w:lang w:eastAsia="ru-RU"/>
        </w:rPr>
        <w:t xml:space="preserve">нарушения имущественных прав международных спортивных федераций и использования спортивной символики </w:t>
      </w:r>
      <w:r w:rsidRPr="00C67DE3">
        <w:rPr>
          <w:rFonts w:ascii="Times New Roman" w:eastAsia="Times New Roman" w:hAnsi="Times New Roman"/>
          <w:sz w:val="28"/>
          <w:szCs w:val="28"/>
          <w:lang w:eastAsia="ru-RU"/>
        </w:rPr>
        <w:t>в интересах неуправомоченных субъектов.</w:t>
      </w:r>
    </w:p>
    <w:p w14:paraId="3E85FE7A" w14:textId="77777777" w:rsidR="00A82379" w:rsidRDefault="00A82379" w:rsidP="005B2C5B">
      <w:pPr>
        <w:spacing w:after="0"/>
        <w:ind w:firstLine="851"/>
        <w:jc w:val="both"/>
        <w:rPr>
          <w:rFonts w:ascii="Times New Roman" w:hAnsi="Times New Roman"/>
          <w:sz w:val="28"/>
          <w:szCs w:val="28"/>
        </w:rPr>
      </w:pPr>
      <w:r>
        <w:rPr>
          <w:rFonts w:ascii="Times New Roman" w:eastAsia="Times New Roman" w:hAnsi="Times New Roman"/>
          <w:sz w:val="28"/>
          <w:szCs w:val="28"/>
          <w:lang w:eastAsia="ru-RU"/>
        </w:rPr>
        <w:t xml:space="preserve">В ходе организации и проведения </w:t>
      </w:r>
      <w:r w:rsidRPr="00C67DE3">
        <w:rPr>
          <w:rFonts w:ascii="Times New Roman" w:hAnsi="Times New Roman"/>
          <w:sz w:val="28"/>
          <w:szCs w:val="28"/>
        </w:rPr>
        <w:t>в Российской Федерации чемпионата мира по футболу FIFA 2018 года, Кубка конфедераций FIFA 2017 года</w:t>
      </w:r>
      <w:r>
        <w:rPr>
          <w:rFonts w:ascii="Times New Roman" w:hAnsi="Times New Roman"/>
          <w:sz w:val="28"/>
          <w:szCs w:val="28"/>
        </w:rPr>
        <w:t xml:space="preserve"> инструменты антимонопольного регулирования были активно задействованы в мероприятиях по обеспечению защиты имущественных прав FIFA.</w:t>
      </w:r>
    </w:p>
    <w:p w14:paraId="35805188" w14:textId="77777777" w:rsidR="00A82379" w:rsidRDefault="00A82379" w:rsidP="005B2C5B">
      <w:pPr>
        <w:spacing w:after="0"/>
        <w:ind w:firstLine="851"/>
        <w:jc w:val="both"/>
        <w:rPr>
          <w:rFonts w:ascii="Times New Roman" w:hAnsi="Times New Roman"/>
          <w:sz w:val="28"/>
          <w:szCs w:val="28"/>
        </w:rPr>
      </w:pPr>
      <w:r w:rsidRPr="00C67DE3">
        <w:rPr>
          <w:rFonts w:ascii="Times New Roman" w:hAnsi="Times New Roman"/>
          <w:sz w:val="28"/>
          <w:szCs w:val="28"/>
        </w:rPr>
        <w:t>Правительственная гарантия №</w:t>
      </w:r>
      <w:r>
        <w:rPr>
          <w:rFonts w:ascii="Times New Roman" w:hAnsi="Times New Roman"/>
          <w:sz w:val="28"/>
          <w:szCs w:val="28"/>
        </w:rPr>
        <w:t> </w:t>
      </w:r>
      <w:r w:rsidRPr="00C67DE3">
        <w:rPr>
          <w:rFonts w:ascii="Times New Roman" w:hAnsi="Times New Roman"/>
          <w:sz w:val="28"/>
          <w:szCs w:val="28"/>
        </w:rPr>
        <w:t xml:space="preserve">6 от 14.04.2010 «Защита и реализация имущественных прав» </w:t>
      </w:r>
      <w:r>
        <w:rPr>
          <w:rFonts w:ascii="Times New Roman" w:hAnsi="Times New Roman"/>
          <w:sz w:val="28"/>
          <w:szCs w:val="28"/>
        </w:rPr>
        <w:t xml:space="preserve">(далее Гарантия) </w:t>
      </w:r>
      <w:r w:rsidRPr="00C67DE3">
        <w:rPr>
          <w:rFonts w:ascii="Times New Roman" w:hAnsi="Times New Roman"/>
          <w:sz w:val="28"/>
          <w:szCs w:val="28"/>
        </w:rPr>
        <w:t>предусм</w:t>
      </w:r>
      <w:r w:rsidRPr="005B314A">
        <w:rPr>
          <w:rFonts w:ascii="Times New Roman" w:hAnsi="Times New Roman"/>
          <w:sz w:val="28"/>
          <w:szCs w:val="28"/>
        </w:rPr>
        <w:t>отрела</w:t>
      </w:r>
      <w:r w:rsidRPr="00C67DE3">
        <w:rPr>
          <w:rFonts w:ascii="Times New Roman" w:hAnsi="Times New Roman"/>
          <w:sz w:val="28"/>
          <w:szCs w:val="28"/>
        </w:rPr>
        <w:t xml:space="preserve"> особый статус FIFA и ее партнеров и лицензиатов и обязательства государства проведения мероприятия обеспечить защиту их имущественных прав, связанных с использованием бренда FIFA</w:t>
      </w:r>
      <w:r>
        <w:rPr>
          <w:rFonts w:ascii="Times New Roman" w:hAnsi="Times New Roman"/>
          <w:sz w:val="28"/>
          <w:szCs w:val="28"/>
        </w:rPr>
        <w:t>.</w:t>
      </w:r>
    </w:p>
    <w:p w14:paraId="16C4A5A0" w14:textId="77777777" w:rsidR="00A82379" w:rsidRDefault="00A82379" w:rsidP="005B2C5B">
      <w:pPr>
        <w:spacing w:after="0"/>
        <w:ind w:firstLine="851"/>
        <w:jc w:val="both"/>
        <w:rPr>
          <w:rFonts w:ascii="Times New Roman" w:hAnsi="Times New Roman"/>
          <w:sz w:val="28"/>
          <w:szCs w:val="28"/>
        </w:rPr>
      </w:pPr>
      <w:r>
        <w:rPr>
          <w:rFonts w:ascii="Times New Roman" w:hAnsi="Times New Roman"/>
          <w:sz w:val="28"/>
          <w:szCs w:val="28"/>
        </w:rPr>
        <w:t xml:space="preserve">Во исполнение требований Гарантии </w:t>
      </w:r>
      <w:r w:rsidRPr="00C67DE3">
        <w:rPr>
          <w:rFonts w:ascii="Times New Roman" w:hAnsi="Times New Roman"/>
          <w:sz w:val="28"/>
          <w:szCs w:val="28"/>
        </w:rPr>
        <w:t>Федеральный закон от 07.06.2013 №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предусм</w:t>
      </w:r>
      <w:r>
        <w:rPr>
          <w:rFonts w:ascii="Times New Roman" w:hAnsi="Times New Roman"/>
          <w:sz w:val="28"/>
          <w:szCs w:val="28"/>
        </w:rPr>
        <w:t>отрел</w:t>
      </w:r>
      <w:r w:rsidRPr="00C67DE3">
        <w:rPr>
          <w:rFonts w:ascii="Times New Roman" w:hAnsi="Times New Roman"/>
          <w:sz w:val="28"/>
          <w:szCs w:val="28"/>
        </w:rPr>
        <w:t xml:space="preserve"> специальные требования, направленные на защиту имущественных прав FIFA, связанных с организацией и проведением чемпионата мира по футболу FIFA 2018 года</w:t>
      </w:r>
      <w:r>
        <w:rPr>
          <w:rFonts w:ascii="Times New Roman" w:hAnsi="Times New Roman"/>
          <w:sz w:val="28"/>
          <w:szCs w:val="28"/>
        </w:rPr>
        <w:t xml:space="preserve">, в том числе особые условия </w:t>
      </w:r>
      <w:r w:rsidRPr="005B314A">
        <w:rPr>
          <w:rFonts w:ascii="Times New Roman" w:hAnsi="Times New Roman"/>
          <w:sz w:val="28"/>
          <w:szCs w:val="28"/>
        </w:rPr>
        <w:t xml:space="preserve">организации торговли и </w:t>
      </w:r>
      <w:r>
        <w:rPr>
          <w:rFonts w:ascii="Times New Roman" w:hAnsi="Times New Roman"/>
          <w:sz w:val="28"/>
          <w:szCs w:val="28"/>
        </w:rPr>
        <w:t>размещения рекламы в местах проведения мероприятий FIFA, а также положения о признании широкого ряда маркетинговых практик, связанных с реализацией билетов и продвижением товаров и услуг с использованием спортивной символики или ассоциативных связей с мероприятиями FIFA недобросовестной конкуренцией.</w:t>
      </w:r>
    </w:p>
    <w:p w14:paraId="1112AF17" w14:textId="77777777" w:rsidR="00A82379" w:rsidRPr="00FD4EC1" w:rsidRDefault="00A82379" w:rsidP="005B2C5B">
      <w:pPr>
        <w:spacing w:after="0"/>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Таким образом, </w:t>
      </w:r>
      <w:r w:rsidRPr="00FD4EC1">
        <w:rPr>
          <w:rFonts w:ascii="Times New Roman" w:eastAsia="Times New Roman" w:hAnsi="Times New Roman"/>
          <w:sz w:val="28"/>
          <w:szCs w:val="28"/>
          <w:lang w:eastAsia="ru-RU"/>
        </w:rPr>
        <w:t xml:space="preserve">в ходе проведения Чемпионата мира зарегистрированные обозначения чемпионата и специально созданный узнаваемый шрифт вправе </w:t>
      </w:r>
      <w:r>
        <w:rPr>
          <w:rFonts w:ascii="Times New Roman" w:eastAsia="Times New Roman" w:hAnsi="Times New Roman"/>
          <w:sz w:val="28"/>
          <w:szCs w:val="28"/>
          <w:lang w:eastAsia="ru-RU"/>
        </w:rPr>
        <w:t xml:space="preserve">были </w:t>
      </w:r>
      <w:r w:rsidRPr="00FD4EC1">
        <w:rPr>
          <w:rFonts w:ascii="Times New Roman" w:eastAsia="Times New Roman" w:hAnsi="Times New Roman"/>
          <w:sz w:val="28"/>
          <w:szCs w:val="28"/>
          <w:lang w:eastAsia="ru-RU"/>
        </w:rPr>
        <w:t>использовать только непосредственно организаторы чемпионата и официальные спонсоры и партнёры, заключившие лицензионный договор и получившие разрешение.</w:t>
      </w:r>
    </w:p>
    <w:p w14:paraId="14D3AF2B" w14:textId="77777777" w:rsidR="00A82379" w:rsidRPr="00F37862" w:rsidRDefault="00A82379" w:rsidP="005B2C5B">
      <w:pPr>
        <w:spacing w:after="0"/>
        <w:ind w:firstLine="851"/>
        <w:jc w:val="both"/>
        <w:rPr>
          <w:rFonts w:ascii="Times New Roman" w:eastAsia="Times New Roman" w:hAnsi="Times New Roman"/>
          <w:sz w:val="28"/>
          <w:szCs w:val="28"/>
        </w:rPr>
      </w:pPr>
      <w:r>
        <w:rPr>
          <w:rFonts w:ascii="Times New Roman" w:hAnsi="Times New Roman"/>
          <w:sz w:val="28"/>
          <w:szCs w:val="28"/>
        </w:rPr>
        <w:t xml:space="preserve">По итогам реализации </w:t>
      </w:r>
      <w:r w:rsidRPr="00FD4EC1">
        <w:rPr>
          <w:rFonts w:ascii="Times New Roman" w:hAnsi="Times New Roman"/>
          <w:sz w:val="28"/>
          <w:szCs w:val="28"/>
        </w:rPr>
        <w:t xml:space="preserve">данных норм </w:t>
      </w:r>
      <w:r>
        <w:rPr>
          <w:rFonts w:ascii="Times New Roman" w:eastAsia="Times New Roman" w:hAnsi="Times New Roman"/>
          <w:bCs/>
          <w:sz w:val="28"/>
          <w:szCs w:val="28"/>
        </w:rPr>
        <w:t>антимонопольными органами</w:t>
      </w:r>
      <w:r w:rsidRPr="00FD4EC1">
        <w:rPr>
          <w:rFonts w:ascii="Times New Roman" w:eastAsia="Times New Roman" w:hAnsi="Times New Roman"/>
          <w:bCs/>
          <w:sz w:val="28"/>
          <w:szCs w:val="28"/>
        </w:rPr>
        <w:t xml:space="preserve"> </w:t>
      </w:r>
      <w:r w:rsidRPr="00FD4EC1">
        <w:rPr>
          <w:rFonts w:ascii="Times New Roman" w:eastAsia="Times New Roman" w:hAnsi="Times New Roman"/>
          <w:sz w:val="28"/>
          <w:szCs w:val="28"/>
        </w:rPr>
        <w:t>возбуждено более 80 дел по фактам недобросовестной конкуренции</w:t>
      </w:r>
      <w:r w:rsidRPr="00E820B9">
        <w:rPr>
          <w:rFonts w:ascii="Times New Roman" w:eastAsia="Times New Roman" w:hAnsi="Times New Roman"/>
          <w:sz w:val="28"/>
          <w:szCs w:val="28"/>
        </w:rPr>
        <w:t xml:space="preserve">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r>
        <w:rPr>
          <w:rFonts w:ascii="Times New Roman" w:eastAsia="Times New Roman" w:hAnsi="Times New Roman"/>
          <w:sz w:val="28"/>
          <w:szCs w:val="28"/>
        </w:rPr>
        <w:t xml:space="preserve">, со стороны ряда крупных хозяйствующих субъектов были выявлены факты проведения стимулирующих мероприятий, направленных на продвижение собственной продукции / услуг, в качестве призов в которых предлагались билеты на </w:t>
      </w:r>
      <w:r w:rsidRPr="00F37862">
        <w:rPr>
          <w:rFonts w:ascii="Times New Roman" w:eastAsia="Times New Roman" w:hAnsi="Times New Roman"/>
          <w:sz w:val="28"/>
          <w:szCs w:val="28"/>
        </w:rPr>
        <w:t>мероприятия FIFA либо иная продукция с символикой FIFA.</w:t>
      </w:r>
    </w:p>
    <w:p w14:paraId="17F3C5BD" w14:textId="77777777" w:rsidR="00A82379" w:rsidRPr="00F37862" w:rsidRDefault="00A82379" w:rsidP="005B2C5B">
      <w:pPr>
        <w:spacing w:after="0"/>
        <w:ind w:firstLine="851"/>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 xml:space="preserve">В ходе организации и проведения мероприятий FIFA ФАС России, помимо реализации собственной компетенции в сфере антимонопольного регулирования и надзора, принял участие в формировании и организации работы межведомственного образования - </w:t>
      </w:r>
      <w:r w:rsidRPr="00F37862">
        <w:rPr>
          <w:rFonts w:ascii="Times New Roman" w:eastAsia="Times New Roman" w:hAnsi="Times New Roman"/>
          <w:sz w:val="28"/>
          <w:szCs w:val="28"/>
          <w:lang w:eastAsia="ru-RU"/>
        </w:rPr>
        <w:t>Комитета по защите имущественных прав FIFA.</w:t>
      </w:r>
    </w:p>
    <w:p w14:paraId="7DF59137"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Решение</w:t>
      </w:r>
      <w:r>
        <w:rPr>
          <w:rFonts w:ascii="Times New Roman" w:eastAsia="Times New Roman" w:hAnsi="Times New Roman"/>
          <w:sz w:val="28"/>
          <w:szCs w:val="28"/>
        </w:rPr>
        <w:t xml:space="preserve"> </w:t>
      </w:r>
      <w:r w:rsidRPr="00C67DE3">
        <w:rPr>
          <w:rFonts w:ascii="Times New Roman" w:eastAsia="Times New Roman" w:hAnsi="Times New Roman"/>
          <w:sz w:val="28"/>
          <w:szCs w:val="28"/>
          <w:lang w:eastAsia="ru-RU"/>
        </w:rPr>
        <w:t>о создании</w:t>
      </w:r>
      <w:r>
        <w:rPr>
          <w:rFonts w:ascii="Times New Roman" w:eastAsia="Times New Roman" w:hAnsi="Times New Roman"/>
          <w:sz w:val="28"/>
          <w:szCs w:val="28"/>
          <w:lang w:eastAsia="ru-RU"/>
        </w:rPr>
        <w:t xml:space="preserve"> Комитета было</w:t>
      </w:r>
      <w:r w:rsidRPr="007F266A">
        <w:rPr>
          <w:rFonts w:ascii="Times New Roman" w:eastAsia="Times New Roman" w:hAnsi="Times New Roman"/>
          <w:sz w:val="28"/>
          <w:szCs w:val="28"/>
        </w:rPr>
        <w:t xml:space="preserve"> принято</w:t>
      </w:r>
      <w:r w:rsidRPr="00C67DE3">
        <w:rPr>
          <w:rFonts w:ascii="Times New Roman" w:eastAsia="Times New Roman" w:hAnsi="Times New Roman"/>
          <w:sz w:val="28"/>
          <w:szCs w:val="28"/>
          <w:lang w:eastAsia="ru-RU"/>
        </w:rPr>
        <w:t xml:space="preserve"> </w:t>
      </w:r>
      <w:r w:rsidRPr="007F266A">
        <w:rPr>
          <w:rFonts w:ascii="Times New Roman" w:eastAsia="Times New Roman" w:hAnsi="Times New Roman"/>
          <w:sz w:val="28"/>
          <w:szCs w:val="28"/>
        </w:rPr>
        <w:t xml:space="preserve">Минспортом </w:t>
      </w:r>
      <w:r>
        <w:rPr>
          <w:rFonts w:ascii="Times New Roman" w:eastAsia="Times New Roman" w:hAnsi="Times New Roman"/>
          <w:sz w:val="28"/>
          <w:szCs w:val="28"/>
        </w:rPr>
        <w:t xml:space="preserve">России </w:t>
      </w:r>
      <w:r w:rsidRPr="007F266A">
        <w:rPr>
          <w:rFonts w:ascii="Times New Roman" w:eastAsia="Times New Roman" w:hAnsi="Times New Roman"/>
          <w:sz w:val="28"/>
          <w:szCs w:val="28"/>
        </w:rPr>
        <w:t xml:space="preserve">19.10.2016 </w:t>
      </w:r>
      <w:r>
        <w:rPr>
          <w:rFonts w:ascii="Times New Roman" w:eastAsia="Times New Roman" w:hAnsi="Times New Roman"/>
          <w:sz w:val="28"/>
          <w:szCs w:val="28"/>
        </w:rPr>
        <w:t>в</w:t>
      </w:r>
      <w:r w:rsidRPr="007F266A">
        <w:rPr>
          <w:rFonts w:ascii="Times New Roman" w:eastAsia="Times New Roman" w:hAnsi="Times New Roman"/>
          <w:sz w:val="28"/>
          <w:szCs w:val="28"/>
        </w:rPr>
        <w:t xml:space="preserve"> целях координации деятельности правоохранительных органов, в чью компетенцию входит борьба с правонарушениями с использованием исключительных прав</w:t>
      </w:r>
      <w:r w:rsidRPr="00C67DE3">
        <w:rPr>
          <w:rFonts w:ascii="Times New Roman" w:eastAsia="Times New Roman" w:hAnsi="Times New Roman"/>
          <w:sz w:val="28"/>
          <w:szCs w:val="28"/>
          <w:lang w:eastAsia="ru-RU"/>
        </w:rPr>
        <w:t>. В состав Комитета (с последующими изменениями) вошли</w:t>
      </w:r>
      <w:r w:rsidRPr="0038520E">
        <w:rPr>
          <w:rFonts w:ascii="Times New Roman" w:eastAsia="Times New Roman" w:hAnsi="Times New Roman"/>
          <w:sz w:val="28"/>
          <w:szCs w:val="28"/>
          <w:lang w:eastAsia="ru-RU"/>
        </w:rPr>
        <w:t xml:space="preserve"> МВД</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ФТС</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xml:space="preserve">, Роспотребнадзор, Роспатент, Роскомнадзор и </w:t>
      </w:r>
      <w:r w:rsidRPr="00C67DE3">
        <w:rPr>
          <w:rFonts w:ascii="Times New Roman" w:eastAsia="Times New Roman" w:hAnsi="Times New Roman"/>
          <w:sz w:val="28"/>
          <w:szCs w:val="28"/>
          <w:lang w:eastAsia="ru-RU"/>
        </w:rPr>
        <w:t>ФАС России</w:t>
      </w:r>
      <w:r>
        <w:rPr>
          <w:rFonts w:ascii="Times New Roman" w:eastAsia="Times New Roman" w:hAnsi="Times New Roman"/>
          <w:sz w:val="28"/>
          <w:szCs w:val="28"/>
          <w:lang w:eastAsia="ru-RU"/>
        </w:rPr>
        <w:t>, руководителем Комитета назначен заместитель руководителя ФАС России А.Б.Кашеваров</w:t>
      </w:r>
      <w:r w:rsidRPr="00C67DE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з</w:t>
      </w:r>
      <w:r w:rsidRPr="00C67DE3">
        <w:rPr>
          <w:rFonts w:ascii="Times New Roman" w:eastAsia="Times New Roman" w:hAnsi="Times New Roman"/>
          <w:sz w:val="28"/>
          <w:szCs w:val="28"/>
          <w:lang w:eastAsia="ru-RU"/>
        </w:rPr>
        <w:t>аседания</w:t>
      </w:r>
      <w:r>
        <w:rPr>
          <w:rFonts w:ascii="Times New Roman" w:eastAsia="Times New Roman" w:hAnsi="Times New Roman"/>
          <w:sz w:val="28"/>
          <w:szCs w:val="28"/>
          <w:lang w:eastAsia="ru-RU"/>
        </w:rPr>
        <w:t xml:space="preserve">х Комитета также участвовали представители </w:t>
      </w:r>
      <w:r w:rsidRPr="00C67DE3">
        <w:rPr>
          <w:rFonts w:ascii="Times New Roman" w:eastAsia="Times New Roman" w:hAnsi="Times New Roman"/>
          <w:sz w:val="28"/>
          <w:szCs w:val="28"/>
          <w:lang w:eastAsia="ru-RU"/>
        </w:rPr>
        <w:t>Генеральной прокуратуры РФ и FIFA (Цюрих).</w:t>
      </w:r>
    </w:p>
    <w:p w14:paraId="50D0D59A"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В </w:t>
      </w:r>
      <w:r w:rsidRPr="0038520E">
        <w:rPr>
          <w:rFonts w:ascii="Times New Roman" w:eastAsia="Times New Roman" w:hAnsi="Times New Roman"/>
          <w:sz w:val="28"/>
          <w:szCs w:val="28"/>
          <w:lang w:eastAsia="ru-RU"/>
        </w:rPr>
        <w:t xml:space="preserve">непосредственном контакте с представителями </w:t>
      </w:r>
      <w:r w:rsidRPr="00C67DE3">
        <w:rPr>
          <w:rFonts w:ascii="Times New Roman" w:eastAsia="Times New Roman" w:hAnsi="Times New Roman"/>
          <w:sz w:val="28"/>
          <w:szCs w:val="28"/>
          <w:lang w:eastAsia="ru-RU"/>
        </w:rPr>
        <w:t>FIFA</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на площадке Комитета проходило:</w:t>
      </w:r>
    </w:p>
    <w:p w14:paraId="769F6110"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обсуждение проблемных аспектов</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защиты имущественных прав FIFA и дальнейших направлений работы,</w:t>
      </w:r>
    </w:p>
    <w:p w14:paraId="5B5BA722"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подведение итогов деятельности каждого ведомства за отчетный период и выявление нерешенных проблем,</w:t>
      </w:r>
    </w:p>
    <w:p w14:paraId="6627BB29"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выработка форм межведомственного и международного взаимодействия в целях наиболее эффективной защиты бренда FIFA,</w:t>
      </w:r>
    </w:p>
    <w:p w14:paraId="1D43FEBF"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координация внутриведомственной работ по организации процедур и процессов, связанных с защитой бренда FIFA (информирование территориальных органов, рассмотрение дел и т.п.),</w:t>
      </w:r>
    </w:p>
    <w:p w14:paraId="5490999C" w14:textId="77777777" w:rsidR="00A82379"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выработка согласованной информационной политики (информирование потребителей и бизнеса о принятых ограничениях и требованиях закона, способах выявления контрафакта и основаниях и порядке подачи жалоб).</w:t>
      </w:r>
    </w:p>
    <w:p w14:paraId="4A61E6AA" w14:textId="77777777" w:rsidR="00A82379" w:rsidRPr="00FD4EC1" w:rsidRDefault="00A82379" w:rsidP="005B2C5B">
      <w:pPr>
        <w:spacing w:after="0"/>
        <w:ind w:firstLine="851"/>
        <w:jc w:val="both"/>
        <w:rPr>
          <w:rFonts w:ascii="Times New Roman" w:hAnsi="Times New Roman"/>
          <w:bCs/>
          <w:sz w:val="28"/>
          <w:szCs w:val="28"/>
        </w:rPr>
      </w:pPr>
      <w:r w:rsidRPr="00FD4EC1">
        <w:rPr>
          <w:rFonts w:ascii="Times New Roman" w:hAnsi="Times New Roman"/>
          <w:bCs/>
          <w:sz w:val="28"/>
          <w:szCs w:val="28"/>
        </w:rPr>
        <w:t>Координационная и информационная работа Комитета по защите имущественных прав FIFA включала:</w:t>
      </w:r>
    </w:p>
    <w:p w14:paraId="28DADE4D"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b/>
          <w:bCs/>
          <w:sz w:val="28"/>
          <w:szCs w:val="28"/>
        </w:rPr>
        <w:t xml:space="preserve">* Информирование потребителей и бизнес-сообщества: </w:t>
      </w:r>
    </w:p>
    <w:p w14:paraId="6F8F01F1"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правовым последствиям нарушений и ответственности;</w:t>
      </w:r>
    </w:p>
    <w:p w14:paraId="5C4A6FD0"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Оперативное информирование: пресс-релизы по итогам заседаний Комитета, выявленным нарушениям и выданным поручениям, совещания с представителями крупных торговых сетей и т.п.;</w:t>
      </w:r>
    </w:p>
    <w:p w14:paraId="2EB062BE"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Инструменты информационного взаимодействия: разделы на официальных сайтах правоохранительных органов с методической информацией и формой обратной связи</w:t>
      </w:r>
    </w:p>
    <w:p w14:paraId="3FC8E73E"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b/>
          <w:bCs/>
          <w:sz w:val="28"/>
          <w:szCs w:val="28"/>
        </w:rPr>
        <w:t>* Координация работы системы правоохранительных органов:</w:t>
      </w:r>
    </w:p>
    <w:p w14:paraId="195C15A9"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и процедур рассмотрения отдельных категорий дел, проведение семинаров и совещаний для территориальных органов;</w:t>
      </w:r>
    </w:p>
    <w:p w14:paraId="7CB7A997"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Изменение законодательства для повышения эффективности пресечения нарушений (сроки рассмотрения, исключения стадии предупреждения и т.п.);</w:t>
      </w:r>
    </w:p>
    <w:p w14:paraId="2CF204B6"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b/>
          <w:bCs/>
          <w:sz w:val="28"/>
          <w:szCs w:val="28"/>
        </w:rPr>
        <w:t>* Межведомственное и международное взаимодействие:</w:t>
      </w:r>
    </w:p>
    <w:p w14:paraId="5BAB8186"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Межведомственная координация и информирование: рассылка через Комитет информационных писем и материалов FIFA, обмен опытом взаимодействия с территориальными органами, проведение совместных совещаний и конференций;</w:t>
      </w:r>
    </w:p>
    <w:p w14:paraId="5D94CF7D" w14:textId="77777777" w:rsidR="00A82379" w:rsidRPr="00F37862"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xml:space="preserve">- Международное взаимодействие: взаимодействие с таможенной службой Китая с целью пресечения каналов производства и вывоза товаров с незаконно </w:t>
      </w:r>
      <w:r w:rsidRPr="00F37862">
        <w:rPr>
          <w:rFonts w:ascii="Times New Roman" w:hAnsi="Times New Roman"/>
          <w:sz w:val="28"/>
          <w:szCs w:val="28"/>
        </w:rPr>
        <w:t>нанесенными товарными знаками FIFA.</w:t>
      </w:r>
    </w:p>
    <w:p w14:paraId="30E8D823" w14:textId="77777777" w:rsidR="00A82379" w:rsidRPr="00F37862" w:rsidRDefault="00A82379" w:rsidP="005B2C5B">
      <w:pPr>
        <w:spacing w:after="0"/>
        <w:ind w:firstLine="851"/>
        <w:jc w:val="both"/>
        <w:rPr>
          <w:rFonts w:ascii="Times New Roman" w:hAnsi="Times New Roman"/>
          <w:sz w:val="28"/>
          <w:szCs w:val="28"/>
        </w:rPr>
      </w:pPr>
      <w:r w:rsidRPr="00F37862">
        <w:rPr>
          <w:rFonts w:ascii="Times New Roman" w:eastAsia="Times New Roman" w:hAnsi="Times New Roman"/>
          <w:sz w:val="28"/>
          <w:szCs w:val="28"/>
          <w:lang w:eastAsia="ru-RU"/>
        </w:rPr>
        <w:t xml:space="preserve">В результате проведенной </w:t>
      </w:r>
      <w:r w:rsidRPr="00F37862">
        <w:rPr>
          <w:rFonts w:ascii="Times New Roman" w:hAnsi="Times New Roman"/>
          <w:sz w:val="28"/>
          <w:szCs w:val="28"/>
        </w:rPr>
        <w:t>работы правоохранительных ведомств по защите бренда FIFA в ходе организации и проведения мероприятий FIFA в</w:t>
      </w:r>
      <w:r w:rsidRPr="00F37862">
        <w:rPr>
          <w:rFonts w:ascii="Times New Roman" w:eastAsia="Times New Roman" w:hAnsi="Times New Roman"/>
          <w:sz w:val="28"/>
          <w:szCs w:val="28"/>
        </w:rPr>
        <w:t>сего в</w:t>
      </w:r>
      <w:r w:rsidRPr="00F37862">
        <w:rPr>
          <w:rFonts w:ascii="Times New Roman" w:eastAsia="Times New Roman" w:hAnsi="Times New Roman"/>
          <w:bCs/>
          <w:sz w:val="28"/>
          <w:szCs w:val="28"/>
        </w:rPr>
        <w:t>ыявлено 1,8 тыс. фактов нарушений:</w:t>
      </w:r>
    </w:p>
    <w:p w14:paraId="6FB87581" w14:textId="77777777" w:rsidR="00A82379" w:rsidRPr="00F37862" w:rsidRDefault="00A82379" w:rsidP="005B2C5B">
      <w:pPr>
        <w:spacing w:after="0"/>
        <w:ind w:firstLine="851"/>
        <w:jc w:val="both"/>
        <w:rPr>
          <w:rFonts w:ascii="Times New Roman" w:eastAsia="Times New Roman" w:hAnsi="Times New Roman"/>
          <w:sz w:val="28"/>
          <w:szCs w:val="28"/>
        </w:rPr>
      </w:pPr>
      <w:r w:rsidRPr="00F37862">
        <w:rPr>
          <w:rFonts w:ascii="Times New Roman" w:eastAsia="Times New Roman" w:hAnsi="Times New Roman"/>
          <w:bCs/>
          <w:sz w:val="28"/>
          <w:szCs w:val="28"/>
        </w:rPr>
        <w:t xml:space="preserve">- МВД: выявлено </w:t>
      </w:r>
      <w:r w:rsidRPr="00F37862">
        <w:rPr>
          <w:rFonts w:ascii="Times New Roman" w:eastAsia="Times New Roman" w:hAnsi="Times New Roman"/>
          <w:sz w:val="28"/>
          <w:szCs w:val="28"/>
        </w:rPr>
        <w:t>1360 нарушений, по которым возбуждены дела об административных правонарушениях, а также 13 преступлений;</w:t>
      </w:r>
    </w:p>
    <w:p w14:paraId="1280B7F3" w14:textId="77777777" w:rsidR="00A82379" w:rsidRPr="00E820B9" w:rsidRDefault="00A82379" w:rsidP="005B2C5B">
      <w:pPr>
        <w:spacing w:after="0"/>
        <w:ind w:firstLine="851"/>
        <w:jc w:val="both"/>
        <w:rPr>
          <w:rFonts w:ascii="Times New Roman" w:eastAsia="Times New Roman" w:hAnsi="Times New Roman"/>
          <w:sz w:val="28"/>
          <w:szCs w:val="28"/>
        </w:rPr>
      </w:pPr>
      <w:r w:rsidRPr="00F37862">
        <w:rPr>
          <w:rFonts w:ascii="Times New Roman" w:eastAsia="Times New Roman" w:hAnsi="Times New Roman"/>
          <w:b/>
          <w:bCs/>
          <w:sz w:val="28"/>
          <w:szCs w:val="28"/>
        </w:rPr>
        <w:t xml:space="preserve">- ФТС России: </w:t>
      </w:r>
      <w:r w:rsidRPr="00F37862">
        <w:rPr>
          <w:rFonts w:ascii="Times New Roman" w:eastAsia="Times New Roman" w:hAnsi="Times New Roman"/>
          <w:sz w:val="28"/>
          <w:szCs w:val="28"/>
        </w:rPr>
        <w:t>пресечен ввоз контрафактного товара в объеме 510 тыс.единиц, в основном</w:t>
      </w:r>
      <w:r w:rsidRPr="00E820B9">
        <w:rPr>
          <w:rFonts w:ascii="Times New Roman" w:eastAsia="Times New Roman" w:hAnsi="Times New Roman"/>
          <w:sz w:val="28"/>
          <w:szCs w:val="28"/>
        </w:rPr>
        <w:t xml:space="preserve"> производства Китайской Республики, возбуждено более 90 дел об административных правонарушениях;</w:t>
      </w:r>
    </w:p>
    <w:p w14:paraId="6F1D8FE9"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Роспотребнадзор: </w:t>
      </w:r>
      <w:r w:rsidRPr="00E820B9">
        <w:rPr>
          <w:rFonts w:ascii="Times New Roman" w:eastAsia="Times New Roman" w:hAnsi="Times New Roman"/>
          <w:sz w:val="28"/>
          <w:szCs w:val="28"/>
        </w:rPr>
        <w:t>возбуждено 37 дел об административных правонарушениях, 28 исковых заявлений направлено в суды;</w:t>
      </w:r>
    </w:p>
    <w:p w14:paraId="5C26C50B"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Роскомнадзор: </w:t>
      </w:r>
      <w:r w:rsidRPr="00E820B9">
        <w:rPr>
          <w:rFonts w:ascii="Times New Roman" w:eastAsia="Times New Roman" w:hAnsi="Times New Roman"/>
          <w:sz w:val="28"/>
          <w:szCs w:val="28"/>
        </w:rPr>
        <w:t>получено 300 судебных решений по 306 сайтам, на которых размещалась недопустимая информация (с использованием символики FIFA), с 224 сайтов информация удалена на основании предписания, к 12 сайтам, которые не выполнили предписания Роскомнадзора, был ограничен доступ;</w:t>
      </w:r>
    </w:p>
    <w:p w14:paraId="56622A4F"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ФАС России: </w:t>
      </w:r>
      <w:r w:rsidRPr="00E820B9">
        <w:rPr>
          <w:rFonts w:ascii="Times New Roman" w:eastAsia="Times New Roman" w:hAnsi="Times New Roman"/>
          <w:sz w:val="28"/>
          <w:szCs w:val="28"/>
        </w:rPr>
        <w:t>возбуждено 84 дела по фактам недобросовестной конкуренции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p>
    <w:p w14:paraId="0EFE0772" w14:textId="77777777" w:rsidR="00A82379" w:rsidRPr="007F266A" w:rsidRDefault="00A82379" w:rsidP="005B2C5B">
      <w:pPr>
        <w:spacing w:after="0"/>
        <w:ind w:firstLine="851"/>
        <w:jc w:val="both"/>
        <w:rPr>
          <w:rFonts w:ascii="Times New Roman" w:eastAsia="Times New Roman" w:hAnsi="Times New Roman"/>
          <w:sz w:val="28"/>
          <w:szCs w:val="28"/>
        </w:rPr>
      </w:pPr>
      <w:r w:rsidRPr="007F266A">
        <w:rPr>
          <w:rFonts w:ascii="Times New Roman" w:eastAsia="Times New Roman" w:hAnsi="Times New Roman"/>
          <w:sz w:val="28"/>
          <w:szCs w:val="28"/>
        </w:rPr>
        <w:t xml:space="preserve">В ходе проделанной работы </w:t>
      </w:r>
      <w:r>
        <w:rPr>
          <w:rFonts w:ascii="Times New Roman" w:eastAsia="Times New Roman" w:hAnsi="Times New Roman"/>
          <w:sz w:val="28"/>
          <w:szCs w:val="28"/>
        </w:rPr>
        <w:t xml:space="preserve">антимонопольным органом </w:t>
      </w:r>
      <w:r w:rsidRPr="007F266A">
        <w:rPr>
          <w:rFonts w:ascii="Times New Roman" w:eastAsia="Times New Roman" w:hAnsi="Times New Roman"/>
          <w:sz w:val="28"/>
          <w:szCs w:val="28"/>
        </w:rPr>
        <w:t xml:space="preserve">принят ряд организационных мер и проведена методологическая работа, заложившие основу для модели деятельности правоохранительных органов по обеспечению </w:t>
      </w:r>
      <w:r w:rsidRPr="00F37862">
        <w:rPr>
          <w:rFonts w:ascii="Times New Roman" w:eastAsia="Times New Roman" w:hAnsi="Times New Roman"/>
          <w:sz w:val="28"/>
          <w:szCs w:val="28"/>
        </w:rPr>
        <w:t>защиты имущественных прав международных спортивных ассоциаций в ходе проведения крупных спортивных мероприятий</w:t>
      </w:r>
      <w:r>
        <w:rPr>
          <w:rFonts w:ascii="Times New Roman" w:eastAsia="Times New Roman" w:hAnsi="Times New Roman"/>
          <w:sz w:val="28"/>
          <w:szCs w:val="28"/>
        </w:rPr>
        <w:t xml:space="preserve">. </w:t>
      </w:r>
      <w:r w:rsidRPr="00F37862">
        <w:rPr>
          <w:rFonts w:ascii="Times New Roman" w:eastAsia="Times New Roman" w:hAnsi="Times New Roman"/>
          <w:sz w:val="28"/>
          <w:szCs w:val="28"/>
        </w:rPr>
        <w:t>ФАС России разработана методологическая основа для пресечения недобросовестной конкуренции с использованием спортивной символики, а также модель организации и координации деятельности правоохранительных органов по борьбе с правонарушениями с использованием исключительных прав, которые могут быть использованы в ходе реализации аналогичных проектов в будущем.</w:t>
      </w:r>
    </w:p>
    <w:p w14:paraId="427065B9" w14:textId="77777777" w:rsidR="002F0122" w:rsidRDefault="002F0122" w:rsidP="00883C8E">
      <w:pPr>
        <w:spacing w:after="0" w:line="360" w:lineRule="auto"/>
        <w:jc w:val="both"/>
        <w:rPr>
          <w:rFonts w:ascii="Times New Roman" w:hAnsi="Times New Roman" w:cs="Times New Roman"/>
          <w:sz w:val="28"/>
          <w:szCs w:val="28"/>
        </w:rPr>
      </w:pPr>
    </w:p>
    <w:p w14:paraId="6CFB44B8" w14:textId="77777777" w:rsidR="00883C8E" w:rsidRPr="003E40CF" w:rsidRDefault="00883C8E" w:rsidP="00DA3F05">
      <w:pPr>
        <w:pStyle w:val="3"/>
      </w:pPr>
      <w:bookmarkStart w:id="91" w:name="_Toc7447945"/>
      <w:r w:rsidRPr="0039532F">
        <w:t>Развитие</w:t>
      </w:r>
      <w:r w:rsidRPr="003E40CF">
        <w:t xml:space="preserve"> научной и </w:t>
      </w:r>
      <w:r w:rsidRPr="0039532F">
        <w:t>образовательной</w:t>
      </w:r>
      <w:r w:rsidRPr="003E40CF">
        <w:t xml:space="preserve"> деятельности в сфере конкурентного права и антимонопольного законодательства</w:t>
      </w:r>
      <w:bookmarkEnd w:id="91"/>
      <w:r w:rsidRPr="003E40CF">
        <w:t xml:space="preserve"> </w:t>
      </w:r>
      <w:bookmarkStart w:id="92" w:name="_Toc6834325"/>
      <w:bookmarkStart w:id="93" w:name="_Toc6834612"/>
      <w:bookmarkStart w:id="94" w:name="_Toc6834815"/>
      <w:bookmarkEnd w:id="92"/>
      <w:bookmarkEnd w:id="93"/>
      <w:bookmarkEnd w:id="94"/>
    </w:p>
    <w:p w14:paraId="7E8830DD" w14:textId="77777777" w:rsidR="00883C8E" w:rsidRDefault="00883C8E" w:rsidP="00883C8E">
      <w:pPr>
        <w:spacing w:after="0" w:line="360" w:lineRule="auto"/>
        <w:jc w:val="both"/>
        <w:rPr>
          <w:rFonts w:ascii="Times New Roman" w:hAnsi="Times New Roman" w:cs="Times New Roman"/>
        </w:rPr>
      </w:pPr>
    </w:p>
    <w:p w14:paraId="49C78F63" w14:textId="77777777" w:rsidR="00420079" w:rsidRPr="00420079" w:rsidRDefault="00420079" w:rsidP="00FD326C">
      <w:pPr>
        <w:spacing w:after="0" w:line="240" w:lineRule="auto"/>
        <w:ind w:firstLine="709"/>
        <w:jc w:val="both"/>
        <w:rPr>
          <w:rFonts w:ascii="Times New Roman" w:eastAsia="Times New Roman" w:hAnsi="Times New Roman" w:cs="Times New Roman"/>
          <w:iCs/>
          <w:sz w:val="28"/>
          <w:szCs w:val="28"/>
          <w:lang w:eastAsia="ru-RU"/>
        </w:rPr>
      </w:pPr>
      <w:r w:rsidRPr="00420079">
        <w:rPr>
          <w:rFonts w:ascii="Times New Roman" w:eastAsia="Times New Roman" w:hAnsi="Times New Roman" w:cs="Times New Roman"/>
          <w:iCs/>
          <w:sz w:val="28"/>
          <w:szCs w:val="28"/>
          <w:lang w:eastAsia="ru-RU"/>
        </w:rPr>
        <w:t xml:space="preserve">В настоящее время конкурентное право и антимонопольное регулирование, как отрасль научного знания, развивается ускоренными темпами. Особое значение для правоприменительной практики имеет не только развитие законодательства о конкуренции, но и формулирование теоретических основ и концепций, необходимых для их правильного понимания и апробации. </w:t>
      </w:r>
    </w:p>
    <w:p w14:paraId="07D4A19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420079">
        <w:rPr>
          <w:rFonts w:ascii="Times New Roman" w:hAnsi="Times New Roman" w:cs="Times New Roman"/>
          <w:sz w:val="28"/>
          <w:szCs w:val="28"/>
        </w:rPr>
        <w:t xml:space="preserve">Таким образом, обретает </w:t>
      </w:r>
      <w:r w:rsidRPr="00420079">
        <w:rPr>
          <w:rFonts w:ascii="Times New Roman" w:hAnsi="Times New Roman" w:cs="Times New Roman"/>
          <w:color w:val="000000"/>
          <w:sz w:val="28"/>
          <w:szCs w:val="28"/>
        </w:rPr>
        <w:t xml:space="preserve">все большую актуальность развитие </w:t>
      </w:r>
      <w:r w:rsidRPr="00420079">
        <w:rPr>
          <w:rFonts w:ascii="Times New Roman" w:hAnsi="Times New Roman" w:cs="Times New Roman"/>
          <w:bCs/>
          <w:color w:val="000000"/>
          <w:sz w:val="28"/>
          <w:szCs w:val="28"/>
        </w:rPr>
        <w:t>научной и образовательной деятельности в сфере конкурентного права и антимонопольного законодательства.</w:t>
      </w:r>
    </w:p>
    <w:p w14:paraId="03488C9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Так, в ведущих высших учебных заведениях нашей страны уже действует более 50 специализированных кафедр конкурентного права и антимонопольного регулирования, ежегодно издаются научные монографии и учебная литература, посвященные вопросам конкурентного права, курсы конкурентного права включаются в образовательные программы в учебных заведениях высшего профессионального образования, причем в некоторых ВУЗах в качестве обязательной дисциплины. </w:t>
      </w:r>
    </w:p>
    <w:p w14:paraId="1145D85E"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На указанных кафедрах реализуется «мультидисциплинарный подход», который включает в себя изучение таких направлений как антимонопольное регулирование, государственные и муниципальные закупки, государственное регулирование тарифов, антиконкурентные соглашения и недобросовестная конкуренция. Кроме того, кафедры конкурентного права и антимонопольного регулирования занимаются созданием учебно-методических пособий, объединяющих опыт и правоприменительную практику ФАС России и её территориальных органов. Учебные дисциплины преподают сотрудники </w:t>
      </w:r>
      <w:r w:rsidRPr="00420079">
        <w:rPr>
          <w:rFonts w:ascii="Times New Roman" w:hAnsi="Times New Roman" w:cs="Times New Roman"/>
          <w:color w:val="000000"/>
          <w:sz w:val="28"/>
          <w:szCs w:val="28"/>
        </w:rPr>
        <w:br/>
        <w:t xml:space="preserve">ФАС России и представители юридического и экономического сообщества. </w:t>
      </w:r>
    </w:p>
    <w:p w14:paraId="3F8A5662"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Так, в 2018 году </w:t>
      </w:r>
      <w:r w:rsidRPr="00420079">
        <w:rPr>
          <w:rFonts w:ascii="Times New Roman" w:hAnsi="Times New Roman" w:cs="Times New Roman"/>
          <w:sz w:val="28"/>
          <w:szCs w:val="28"/>
        </w:rPr>
        <w:t xml:space="preserve">ФАС России было подготовлено учебное пособие «Процедуры в </w:t>
      </w:r>
      <w:r w:rsidRPr="00420079">
        <w:rPr>
          <w:rFonts w:ascii="Times New Roman" w:eastAsia="Times New Roman" w:hAnsi="Times New Roman" w:cs="Times New Roman"/>
          <w:sz w:val="28"/>
          <w:szCs w:val="28"/>
          <w:lang w:eastAsia="ru-RU"/>
        </w:rPr>
        <w:t>конкурентном праве» (под редакцией заместителя руководителя ФАС России С.А. Пузыревского), которое дает возможность овладеть основными теоретическими знаниями о процедурах и процессуальных нормах в системе конкурентного права и сформулировать представления о гражданской, административной и уголовной ответственности за нарушение антимонопольного законодательства и позволит применить эти знания в практической деятельности – как в сфере государственной службы, так и в сфере осуществления предпринимательской деятельности. Учебное пособие «Процедуры в конкурентном праве» удостоено премии «УСПЕХ. Лучший корпоративный юрист года» в номинации «Публикация года».</w:t>
      </w:r>
    </w:p>
    <w:p w14:paraId="3920BBFA"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Также ФАС России была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 Представленные в сборнике правовые подходы ФАС России, Обзор практики применения антимонопольного законодательства коллегиальными органами ФАС России направлены на повышение прозрачности и открытости антимонопольного регулирования.</w:t>
      </w:r>
    </w:p>
    <w:p w14:paraId="37D83F83"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Указанные публикации имеют большой спрос для сотрудников территориальных органов ФАС России, практикующих юристов и экономистов, а также предпринимательского сообщества. </w:t>
      </w:r>
    </w:p>
    <w:p w14:paraId="7E094852" w14:textId="547EB410"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Кроме того, продолжает </w:t>
      </w:r>
      <w:r w:rsidR="008055C6" w:rsidRPr="00420079">
        <w:rPr>
          <w:rFonts w:ascii="Times New Roman" w:hAnsi="Times New Roman" w:cs="Times New Roman"/>
          <w:color w:val="000000"/>
          <w:sz w:val="28"/>
          <w:szCs w:val="28"/>
        </w:rPr>
        <w:t>свою работу,</w:t>
      </w:r>
      <w:r w:rsidRPr="00420079">
        <w:rPr>
          <w:rFonts w:ascii="Times New Roman" w:hAnsi="Times New Roman" w:cs="Times New Roman"/>
          <w:color w:val="000000"/>
          <w:sz w:val="28"/>
          <w:szCs w:val="28"/>
        </w:rPr>
        <w:t xml:space="preserve"> созданный при поддержке ФАС России Научно-методический совет образовательных организаций и кафедр конкурентного права и антимонопольного регулирования. Его основной задачей является объединение усилий ФАС России, образовательных и научных организаций, научно-педагогических работников в целях развития конкурентного права и совершенствования антимонопольного регулирования, подготовки высококвалифицированных профессиональных </w:t>
      </w:r>
      <w:r w:rsidRPr="00420079">
        <w:rPr>
          <w:rFonts w:ascii="Times New Roman" w:hAnsi="Times New Roman" w:cs="Times New Roman"/>
          <w:sz w:val="28"/>
          <w:szCs w:val="28"/>
        </w:rPr>
        <w:t xml:space="preserve">специалистов, координации учебной, методической, научно-исследовательской, инновационной и воспитательной деятельности. </w:t>
      </w:r>
    </w:p>
    <w:p w14:paraId="452879C9" w14:textId="77777777" w:rsidR="00420079" w:rsidRPr="00420079" w:rsidRDefault="00420079" w:rsidP="00FD326C">
      <w:pPr>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Одним из наиболее ярких достижений ФАС России в 2018 году стало успешное окончание многолетней работы по оформлению конкурентного права как отрасли законодательства, имеющей соответствующую научную специальность и профессиональный стандарт.</w:t>
      </w:r>
    </w:p>
    <w:p w14:paraId="3CD4E192"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hAnsi="Times New Roman" w:cs="Times New Roman"/>
          <w:sz w:val="28"/>
          <w:szCs w:val="28"/>
        </w:rPr>
        <w:t xml:space="preserve">При непосредственном участии сотрудников ФАС России был подготовлен весь массив необходимых писем и документов для принятия Министерством образования и науки </w:t>
      </w:r>
      <w:r w:rsidRPr="00420079">
        <w:rPr>
          <w:rFonts w:ascii="Times New Roman" w:eastAsiaTheme="minorEastAsia" w:hAnsi="Times New Roman" w:cs="Times New Roman"/>
          <w:bCs/>
          <w:color w:val="000000" w:themeColor="text1"/>
          <w:kern w:val="24"/>
          <w:sz w:val="28"/>
          <w:szCs w:val="28"/>
        </w:rPr>
        <w:t xml:space="preserve">Российской Федерации Приказа от 23 марта 2018 г. № 209 (далее – Приказ). Этим Приказом Конкурентное право внесено в номенклатуру научных специальностей, по которым присуждаются научные степени. 2 апреля 2018 г. Приказ прошел государственную регистрацию в Минюсте России и с момента вступления его в силу научная специальность 12.00.07 включает в себя указанную отрасль права. Этому событию предшествовала большая работа по согласованию предлагаемой инициативы в целом ряде государственных и научных ведомств, выработке обоснования и разработке формулировок принимаемых норм. </w:t>
      </w:r>
    </w:p>
    <w:p w14:paraId="4DDE77C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В результате специалисты по конкурентному праву не только получили собственную научную специальность с возможностью защиты диссертаций на соискание ученых степеней кандидата и доктора юридических наук, но и могут теперь публиковать свои научные труды с дальнейшим их учетом в Российском индексе научного цитирования (РИНЦ). С этой целью, решением ВАК при Минобрнауки от 13 июля 2018 г. № 21/257 журнал «Российское конкурентное право и экономика» включен в перечень рецензируемых научных изданий, рекомендуемых для опубликования результатов диссертационных исследований.</w:t>
      </w:r>
    </w:p>
    <w:p w14:paraId="6AA6E48A"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ФАС России проводит активную деятельность по развитию конкурентного права и ее составных частей как образовательной и научной дисциплины. </w:t>
      </w:r>
    </w:p>
    <w:p w14:paraId="1F9A5FA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262626"/>
          <w:sz w:val="28"/>
          <w:szCs w:val="28"/>
        </w:rPr>
      </w:pPr>
      <w:r w:rsidRPr="00420079">
        <w:rPr>
          <w:rFonts w:ascii="Times New Roman" w:hAnsi="Times New Roman" w:cs="Times New Roman"/>
          <w:sz w:val="28"/>
          <w:szCs w:val="28"/>
        </w:rPr>
        <w:t xml:space="preserve">Так, уже в сентябре 2018 года Базовой кафедрой ФАС России РЭУ им. </w:t>
      </w:r>
      <w:r w:rsidRPr="00420079">
        <w:rPr>
          <w:rFonts w:ascii="Times New Roman" w:hAnsi="Times New Roman" w:cs="Times New Roman"/>
          <w:bCs/>
          <w:color w:val="262626"/>
          <w:sz w:val="28"/>
          <w:szCs w:val="28"/>
        </w:rPr>
        <w:t>Г.В. Плеханова</w:t>
      </w:r>
      <w:r w:rsidRPr="00420079">
        <w:rPr>
          <w:rFonts w:ascii="Times New Roman" w:hAnsi="Times New Roman" w:cs="Times New Roman"/>
          <w:color w:val="262626"/>
          <w:sz w:val="28"/>
          <w:szCs w:val="28"/>
        </w:rPr>
        <w:t xml:space="preserve"> осуществлен набор аспирантов для обучения по программам подготовки кадров высшей квалификации.</w:t>
      </w:r>
    </w:p>
    <w:p w14:paraId="00540AC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color w:val="000000"/>
          <w:sz w:val="28"/>
          <w:szCs w:val="28"/>
        </w:rPr>
        <w:t xml:space="preserve">26 марта 2018 года в соответствии с поручением Председателя Правительства России Дмитрия Медведева при Российском экономическом университете (РЭУ) имени Г.В. Плеханова начала работу Высшая школа тарифного регулирования. В торжественной церемонии открытия принял участие руководитель Федеральной антимонопольной службы России Игорь Артемьев. </w:t>
      </w:r>
    </w:p>
    <w:p w14:paraId="332EDD0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eastAsia="Times New Roman" w:hAnsi="Times New Roman" w:cs="Times New Roman"/>
          <w:color w:val="000000"/>
          <w:sz w:val="28"/>
          <w:szCs w:val="28"/>
          <w:lang w:eastAsia="ru-RU"/>
        </w:rPr>
        <w:t>В школе планируются такие учебные программы, как «Тарифное регулирование ЖКХ», «Тарифное регулирование связи», «Тарифное регулирование транспорта» и другие.</w:t>
      </w:r>
    </w:p>
    <w:p w14:paraId="27E1E967" w14:textId="77777777" w:rsidR="00420079" w:rsidRPr="00420079" w:rsidRDefault="00420079" w:rsidP="00FD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20079">
        <w:rPr>
          <w:rFonts w:ascii="Times New Roman" w:eastAsia="Times New Roman" w:hAnsi="Times New Roman" w:cs="Times New Roman"/>
          <w:iCs/>
          <w:color w:val="000000"/>
          <w:sz w:val="28"/>
          <w:szCs w:val="28"/>
          <w:lang w:eastAsia="ru-RU"/>
        </w:rPr>
        <w:t xml:space="preserve">В 2018 году </w:t>
      </w:r>
      <w:r w:rsidRPr="00420079">
        <w:rPr>
          <w:rFonts w:ascii="Times New Roman" w:eastAsia="Times New Roman" w:hAnsi="Times New Roman" w:cs="Times New Roman"/>
          <w:color w:val="000000"/>
          <w:sz w:val="28"/>
          <w:szCs w:val="28"/>
          <w:lang w:eastAsia="ru-RU"/>
        </w:rPr>
        <w:t>в качестве подразделения Института права и развития ВШЭ — Сколково</w:t>
      </w:r>
      <w:r w:rsidRPr="00420079">
        <w:rPr>
          <w:rFonts w:ascii="Times New Roman" w:eastAsia="Times New Roman" w:hAnsi="Times New Roman" w:cs="Times New Roman"/>
          <w:iCs/>
          <w:color w:val="000000"/>
          <w:sz w:val="28"/>
          <w:szCs w:val="28"/>
          <w:lang w:eastAsia="ru-RU"/>
        </w:rPr>
        <w:t xml:space="preserve"> ФАС России и Высшей школой экономики был создан Антимонопольный центр БРИКС, который должен стать межгосударственной платформой для проведения совместных антимонопольных расследований стран БРИКС в отношении глобальных компаний и рынков. </w:t>
      </w:r>
      <w:r w:rsidRPr="00420079">
        <w:rPr>
          <w:rFonts w:ascii="Times New Roman" w:eastAsia="Times New Roman" w:hAnsi="Times New Roman" w:cs="Times New Roman"/>
          <w:color w:val="000000"/>
          <w:sz w:val="28"/>
          <w:szCs w:val="28"/>
          <w:lang w:eastAsia="ru-RU"/>
        </w:rPr>
        <w:t>Его основная миссия заключается в разработке подходов и рекомендаций к политике в области защиты конкуренции, которая отражает интересы экономик стран БРИКС в условиях бурного технологического развития и глобализации.</w:t>
      </w:r>
    </w:p>
    <w:p w14:paraId="20C3DB74"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Помимо этого, ежегодно ФАС России проводит Олимпиаду по конкурентному праву среди школьников, с целью повышения уровня знаний об антимонопольном регулировании и поиске наиболее подготовленных в данной области учеников. Финалисты в свою очередь получают не только памятные подарки и сертификаты, но и преимущество при поступлении в ряд высших учебных заведений страны. </w:t>
      </w:r>
    </w:p>
    <w:p w14:paraId="14C6AC1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 xml:space="preserve">Важно отметить, что в 2018 году завершена работа по созданию профессионального стандарта </w:t>
      </w:r>
      <w:r w:rsidRPr="00420079">
        <w:rPr>
          <w:rFonts w:ascii="Times New Roman" w:eastAsiaTheme="minorEastAsia" w:hAnsi="Times New Roman" w:cs="Times New Roman"/>
          <w:bCs/>
          <w:kern w:val="24"/>
          <w:sz w:val="28"/>
          <w:szCs w:val="28"/>
        </w:rPr>
        <w:t xml:space="preserve">«Специалист в сфере конкурентного права», </w:t>
      </w:r>
      <w:r w:rsidRPr="00420079">
        <w:rPr>
          <w:rFonts w:ascii="Times New Roman" w:eastAsiaTheme="minorEastAsia" w:hAnsi="Times New Roman" w:cs="Times New Roman"/>
          <w:bCs/>
          <w:color w:val="000000" w:themeColor="text1"/>
          <w:kern w:val="24"/>
          <w:sz w:val="28"/>
          <w:szCs w:val="28"/>
        </w:rPr>
        <w:t>то есть набора навыков и умений, основанных на глубоких теоретических знаниях конкурентного права, которым должен будет соответствовать каждый, кто работает в указанной сфере. Речь идет не только о сотрудниках антимонопольных органов, но о любом специалисте, выступающем участником данных правоотношений.</w:t>
      </w:r>
    </w:p>
    <w:p w14:paraId="24C58624"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Приказом Минтруда России от 09 октября 2018 г. № 625н утвержден профессиональный стандарт «Специалист по конкурентному праву», который зарегистрирован в Минюсте России 31.10.2018 за № 52581. Стандарт разработан рабочей группой, включающей в себя экспертов не только ФАС России, но и Торгово-промышленной палаты РФ, членов Ассоциации антимонопольных экспертов и других организаций. Координация и оформление результатов их работы целиком осуществлена ФАС России. В настоящее время ФАС России ведется работа по апробации и внедрению указанного профессионального стандарта.</w:t>
      </w:r>
    </w:p>
    <w:p w14:paraId="48B7CFFF"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Следует отметить, что «</w:t>
      </w:r>
      <w:r w:rsidRPr="00420079">
        <w:rPr>
          <w:rFonts w:ascii="Times New Roman" w:eastAsiaTheme="minorEastAsia" w:hAnsi="Times New Roman" w:cs="Times New Roman"/>
          <w:bCs/>
          <w:kern w:val="24"/>
          <w:sz w:val="28"/>
          <w:szCs w:val="28"/>
          <w:lang w:eastAsia="ru-RU"/>
        </w:rPr>
        <w:t>С</w:t>
      </w:r>
      <w:r w:rsidRPr="00420079">
        <w:rPr>
          <w:rFonts w:ascii="Times New Roman" w:eastAsiaTheme="minorEastAsia" w:hAnsi="Times New Roman" w:cs="Times New Roman"/>
          <w:bCs/>
          <w:color w:val="000000" w:themeColor="text1"/>
          <w:kern w:val="24"/>
          <w:sz w:val="28"/>
          <w:szCs w:val="28"/>
          <w:lang w:eastAsia="ru-RU"/>
        </w:rPr>
        <w:t>пециалист по конкурентному праву» стал второй юридической специальностью в Российской Федерации, прошедшей официальную стандартизацию. К 2020 году предполагается обязательная стандартизация большинства существующих специальностей. Поэтому опыт ФАС России по разработке и утверждению профессионального стандарта станет образцом для других органов власти, в чьей работе задействованы специалисты в сфере юриспруденции и правоведения.</w:t>
      </w:r>
    </w:p>
    <w:p w14:paraId="4EB336F6" w14:textId="77777777" w:rsidR="00420079" w:rsidRPr="00C63961" w:rsidRDefault="00420079" w:rsidP="00FD326C">
      <w:pPr>
        <w:kinsoku w:val="0"/>
        <w:overflowPunct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63961">
        <w:rPr>
          <w:rFonts w:ascii="Times New Roman" w:eastAsiaTheme="minorEastAsia" w:hAnsi="Times New Roman" w:cs="Times New Roman"/>
          <w:bCs/>
          <w:color w:val="000000" w:themeColor="text1"/>
          <w:kern w:val="24"/>
          <w:sz w:val="28"/>
          <w:szCs w:val="28"/>
          <w:lang w:eastAsia="ru-RU"/>
        </w:rPr>
        <w:t xml:space="preserve">Таким образом, достижение ФАС России по </w:t>
      </w:r>
      <w:r w:rsidRPr="00C63961">
        <w:rPr>
          <w:rFonts w:ascii="Times New Roman" w:eastAsia="Times New Roman" w:hAnsi="Times New Roman" w:cs="Times New Roman"/>
          <w:sz w:val="28"/>
          <w:szCs w:val="28"/>
          <w:lang w:eastAsia="ru-RU"/>
        </w:rPr>
        <w:t xml:space="preserve">развитию науки и профессионального образования в сфере конкурентного права в 2018 году не только внесло значительный вклад в деятельность антимонопольных органов, но и в развитие антимонопольного регулирования в нашей стране в целом, тем самым значительно повысив свой престиж и авторитет. </w:t>
      </w:r>
    </w:p>
    <w:p w14:paraId="437C85EC" w14:textId="403C9FDA" w:rsidR="00883C8E" w:rsidRPr="00C63961" w:rsidRDefault="00C63961" w:rsidP="00FD326C">
      <w:pPr>
        <w:pStyle w:val="a5"/>
        <w:kinsoku w:val="0"/>
        <w:overflowPunct w:val="0"/>
        <w:spacing w:line="240" w:lineRule="auto"/>
        <w:ind w:left="0" w:firstLine="709"/>
        <w:jc w:val="both"/>
        <w:textAlignment w:val="baseline"/>
        <w:rPr>
          <w:rFonts w:ascii="Times New Roman" w:eastAsiaTheme="minorEastAsia" w:hAnsi="Times New Roman" w:cs="Times New Roman"/>
          <w:bCs/>
          <w:color w:val="000000" w:themeColor="text1"/>
          <w:kern w:val="24"/>
          <w:sz w:val="28"/>
          <w:szCs w:val="28"/>
        </w:rPr>
      </w:pPr>
      <w:r w:rsidRPr="00C63961">
        <w:rPr>
          <w:rFonts w:ascii="Times New Roman" w:hAnsi="Times New Roman" w:cs="Times New Roman"/>
          <w:sz w:val="28"/>
          <w:szCs w:val="28"/>
        </w:rPr>
        <w:t>Полученные результаты и наработки сами по себе являются беспрецедентным опытом и могут служить примером для других органов власти и организаций в их собственной деятельности.</w:t>
      </w:r>
    </w:p>
    <w:p w14:paraId="1B2A8B20" w14:textId="77777777" w:rsidR="00883C8E" w:rsidRPr="007C6DC9" w:rsidRDefault="00883C8E" w:rsidP="00883C8E">
      <w:pPr>
        <w:spacing w:after="0" w:line="360" w:lineRule="auto"/>
        <w:jc w:val="both"/>
        <w:rPr>
          <w:rFonts w:ascii="Times New Roman" w:hAnsi="Times New Roman" w:cs="Times New Roman"/>
        </w:rPr>
      </w:pPr>
    </w:p>
    <w:p w14:paraId="4A27FCAD" w14:textId="5F05DD39" w:rsidR="00883C8E" w:rsidRDefault="00883C8E" w:rsidP="00F6030C">
      <w:pPr>
        <w:pStyle w:val="1"/>
        <w:numPr>
          <w:ilvl w:val="1"/>
          <w:numId w:val="60"/>
        </w:numPr>
        <w:jc w:val="both"/>
      </w:pPr>
      <w:bookmarkStart w:id="95" w:name="_Toc7447946"/>
      <w:r w:rsidRPr="003E40CF">
        <w:t>Международное сотрудничество как фактор повышения эффективности реализуемой конкурентной политики</w:t>
      </w:r>
      <w:bookmarkEnd w:id="95"/>
      <w:r w:rsidRPr="003E40CF">
        <w:t xml:space="preserve"> </w:t>
      </w:r>
    </w:p>
    <w:p w14:paraId="7B155F92" w14:textId="77777777" w:rsidR="00A054BC" w:rsidRDefault="00A054BC" w:rsidP="00A054BC">
      <w:pPr>
        <w:pStyle w:val="ab"/>
        <w:spacing w:before="0" w:beforeAutospacing="0" w:after="0"/>
        <w:jc w:val="both"/>
        <w:rPr>
          <w:sz w:val="28"/>
          <w:szCs w:val="28"/>
        </w:rPr>
      </w:pPr>
    </w:p>
    <w:p w14:paraId="7E00655D" w14:textId="77777777" w:rsidR="00A054BC" w:rsidRPr="00A054BC" w:rsidRDefault="00A054BC" w:rsidP="00A054BC">
      <w:pPr>
        <w:suppressAutoHyphens/>
        <w:spacing w:after="0" w:line="240" w:lineRule="auto"/>
        <w:ind w:right="-1" w:firstLine="720"/>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703D8E67" w14:textId="77777777" w:rsidR="00A054BC" w:rsidRPr="00A054BC" w:rsidRDefault="00A054BC" w:rsidP="00A054BC">
      <w:pPr>
        <w:suppressAutoHyphens/>
        <w:spacing w:after="0" w:line="240" w:lineRule="auto"/>
        <w:ind w:right="-1"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 соответствующих Основным направлениям деятельности Правительства Российской Федерации на период до 2024 года, утвержденным Председателем Правительства Российской Федерации 29.09.2018 (№ 8028п-П13).</w:t>
      </w:r>
    </w:p>
    <w:p w14:paraId="048CFBBC" w14:textId="77777777" w:rsidR="00A054BC" w:rsidRPr="00A054BC" w:rsidRDefault="00A054BC" w:rsidP="00A054BC">
      <w:pPr>
        <w:suppressAutoHyphens/>
        <w:spacing w:after="0" w:line="240" w:lineRule="auto"/>
        <w:ind w:right="-1"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К числу таких направлений относится расширение сотрудничества с международными организациями и интеграционными объединениями.</w:t>
      </w:r>
    </w:p>
    <w:p w14:paraId="2FA20795"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 xml:space="preserve">Традиционно ФАС России принимала активное участие в деятельности Организации экономического сотрудничества и развития (ОЭСР), в частности Комитета по конкуренции ОЭСР и его рабочих групп. </w:t>
      </w:r>
    </w:p>
    <w:p w14:paraId="7609A004" w14:textId="77777777" w:rsidR="00A054BC" w:rsidRPr="00A054BC" w:rsidRDefault="00A054BC" w:rsidP="00A054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ab/>
        <w:t xml:space="preserve">В рамках мероприятий Комитета по конкуренции ОЭСР в июне 2018 года делегация ФАС России выступила с докладами по таким вопросам, как «Услуги такси и посреднических компаний в секторе перевозок такси (агрегаторов)», «Проблемы применения программ смягчения ответственности», «Неценовые последствия слияний», «Влияние электронной торговли на конкурентную политику» и «Разработка и тестирование предписаний, направленных на удовлетворение потребностей потребителей». </w:t>
      </w:r>
    </w:p>
    <w:p w14:paraId="6A4C9ED4" w14:textId="77777777" w:rsidR="00A054BC" w:rsidRDefault="00A054BC" w:rsidP="00A054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ab/>
        <w:t>В ходе заседаний Комитета по конкуренции ОЭСР в ноябре-декабре 2018 года, а также Глобального форума по конкуренции ОЭСР, также проходившего в данный период времени, делегация ФАС России представила позицию по таким вопросам, как «Развитие финансируемых государством рынков здравоохранения», «Обращение с конфиденциальной информацией в антимонопольных расследованиях», «Отлагательные эффекты ходатайств о слиянии и закрытие сделок до получения согласия антимонопольного органа», «Чрезмерное ценообразование в фармацевтическом секторе», «Региональные соглашения о конкуренции: преимущества и вызовы», «Полномочия антимонопольных органов при расследованиях», «Конкурентное законодательство и государственные предприятия». В указанный период делегация ФАС России также приняла участие в двух круглых столах в рамках совместного заседания комитетов по конкуренции и потребительской политике ОЭСР, представив доклады об индивидуальном ценообразовании в эпоху цифровизации и рассмотрении качественных показателей в экономике нулевой цены.</w:t>
      </w:r>
    </w:p>
    <w:p w14:paraId="18762214" w14:textId="77777777" w:rsidR="00A054BC" w:rsidRPr="00A054BC" w:rsidRDefault="00A054BC" w:rsidP="00A054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lang w:eastAsia="ar-SA"/>
        </w:rPr>
      </w:pPr>
      <w:r>
        <w:rPr>
          <w:rFonts w:ascii="Times New Roman" w:eastAsia="Cambria" w:hAnsi="Times New Roman" w:cs="Times New Roman"/>
          <w:sz w:val="28"/>
          <w:szCs w:val="28"/>
          <w:lang w:eastAsia="ar-SA"/>
        </w:rPr>
        <w:tab/>
      </w:r>
      <w:r w:rsidRPr="00A054BC">
        <w:rPr>
          <w:rFonts w:ascii="Times New Roman" w:eastAsia="Cambria" w:hAnsi="Times New Roman" w:cs="Times New Roman"/>
          <w:sz w:val="28"/>
          <w:szCs w:val="28"/>
          <w:lang w:eastAsia="ar-SA"/>
        </w:rPr>
        <w:t>Кроме того, в рамках взаимодействия с ОЭСР представители ФАС России приняли участие в 3-м Форуме ОЭСР по регулированию инфраструктуры на тему «В интересах общественности: делая доступ к инфраструктуре прозрачным, беспрепятственным и справедливым» и заседаниях Сети экономических регуляторов ОЭСР, проходивших в марте и апреле 2018 года.</w:t>
      </w:r>
    </w:p>
    <w:p w14:paraId="070624CC" w14:textId="77777777" w:rsidR="00A054BC" w:rsidRPr="00A054BC" w:rsidRDefault="00A054BC" w:rsidP="00A054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ab/>
        <w:t xml:space="preserve">В течение года специалисты ФАС России принимали участие в семинарах, организованных Комитетом по конкуренции ОЭСР, на темы «Расследование картелей в цифровую эпоху» и «Регулирование и конкуренция в свете цифровизации», «Комплексное рассмотрение картельных дел». </w:t>
      </w:r>
    </w:p>
    <w:p w14:paraId="11BE5D2F" w14:textId="77777777" w:rsidR="00A054BC" w:rsidRPr="00A054BC" w:rsidRDefault="00A054BC" w:rsidP="00A054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ab/>
        <w:t>В 2018 году продолжилась практика проведения совместно с ОЭСР семинаров для представителей российских и зарубежных компаний, осуществляющих свою деятельность на территории Российской Федерации, по вопросам государственного заказа и борьбы со сговорами на торгах, содействия развитию корпоративной этики и комплаенса с помощью эффективных мер корпоративного управления.</w:t>
      </w:r>
    </w:p>
    <w:p w14:paraId="4F099AF5"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bCs/>
          <w:sz w:val="28"/>
          <w:szCs w:val="28"/>
          <w:lang w:eastAsia="ar-SA"/>
        </w:rPr>
      </w:pPr>
      <w:r w:rsidRPr="00A054BC">
        <w:rPr>
          <w:rFonts w:ascii="Times New Roman" w:eastAsia="Cambria" w:hAnsi="Times New Roman" w:cs="Times New Roman"/>
          <w:sz w:val="28"/>
          <w:szCs w:val="28"/>
          <w:lang w:eastAsia="ar-SA"/>
        </w:rPr>
        <w:t xml:space="preserve">Продолжило развиваться в 2018 году и сотрудничество ФАС России </w:t>
      </w:r>
      <w:r w:rsidRPr="00A054BC">
        <w:rPr>
          <w:rFonts w:ascii="Times New Roman" w:eastAsia="Cambria" w:hAnsi="Times New Roman" w:cs="Times New Roman"/>
          <w:b/>
          <w:sz w:val="28"/>
          <w:szCs w:val="28"/>
          <w:lang w:eastAsia="ar-SA"/>
        </w:rPr>
        <w:t xml:space="preserve">с </w:t>
      </w:r>
      <w:r w:rsidRPr="00A054BC">
        <w:rPr>
          <w:rFonts w:ascii="Times New Roman" w:eastAsia="Cambria" w:hAnsi="Times New Roman" w:cs="Times New Roman"/>
          <w:sz w:val="28"/>
          <w:szCs w:val="28"/>
          <w:lang w:eastAsia="ar-SA"/>
        </w:rPr>
        <w:t>Венгерским региональным центром по конкуренции ОЭСР (РЦК ОЭСР). Сотрудники ФАС России приняли участие в ряде семинаров, проходивших непосредственно в Будапеште, в рамках которых обсуждались вопросы практической реализации полномочий антимонопольных органов, в том числе по борьбе с картелями.</w:t>
      </w:r>
    </w:p>
    <w:p w14:paraId="3E8A7C66" w14:textId="77777777" w:rsidR="00A054BC" w:rsidRPr="00A054BC" w:rsidRDefault="00A054BC" w:rsidP="00A054BC">
      <w:pPr>
        <w:suppressAutoHyphens/>
        <w:snapToGrid w:val="0"/>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bCs/>
          <w:sz w:val="28"/>
          <w:szCs w:val="28"/>
          <w:lang w:eastAsia="ar-SA"/>
        </w:rPr>
        <w:t>Один из семинаров РЦК ОЭСР традиционно прошел на территории России, в Санкт-Петербурге, и был организован при поддержке ФАС России. В рамках данного семинара обсуждались актуальные вопросы выявления и пресечения картелей.</w:t>
      </w:r>
    </w:p>
    <w:p w14:paraId="61D33543"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2018 год охарактеризовался активным участием ФАС России в рамках Конференции ООН по торговле и развитию (</w:t>
      </w:r>
      <w:r w:rsidRPr="00A054BC">
        <w:rPr>
          <w:rFonts w:ascii="Times New Roman" w:eastAsia="Cambria" w:hAnsi="Times New Roman" w:cs="Times New Roman"/>
          <w:b/>
          <w:sz w:val="28"/>
          <w:szCs w:val="28"/>
          <w:lang w:eastAsia="ar-SA"/>
        </w:rPr>
        <w:t>ЮНКТАД</w:t>
      </w:r>
      <w:r w:rsidRPr="00A054BC">
        <w:rPr>
          <w:rFonts w:ascii="Times New Roman" w:eastAsia="Cambria" w:hAnsi="Times New Roman" w:cs="Times New Roman"/>
          <w:sz w:val="28"/>
          <w:szCs w:val="28"/>
          <w:lang w:eastAsia="ar-SA"/>
        </w:rPr>
        <w:t>)</w:t>
      </w:r>
    </w:p>
    <w:p w14:paraId="7EAF2DDE" w14:textId="77777777" w:rsidR="00A054BC" w:rsidRPr="00A054BC" w:rsidRDefault="00A054BC" w:rsidP="00A054BC">
      <w:pPr>
        <w:suppressAutoHyphens/>
        <w:spacing w:after="0" w:line="240" w:lineRule="auto"/>
        <w:ind w:firstLine="708"/>
        <w:jc w:val="both"/>
        <w:rPr>
          <w:rFonts w:ascii="Cambria" w:eastAsia="Cambria" w:hAnsi="Cambria" w:cs="Cambria"/>
          <w:sz w:val="28"/>
          <w:szCs w:val="28"/>
          <w:lang w:eastAsia="ar-SA"/>
        </w:rPr>
      </w:pPr>
      <w:r w:rsidRPr="00A054BC">
        <w:rPr>
          <w:rFonts w:ascii="Times New Roman" w:eastAsia="Cambria" w:hAnsi="Times New Roman" w:cs="Times New Roman"/>
          <w:sz w:val="28"/>
          <w:szCs w:val="28"/>
          <w:lang w:eastAsia="ar-SA"/>
        </w:rPr>
        <w:t xml:space="preserve">Важным направлением международной деятельности ФАС России в последние годы является продвижение инициатив по созданию глобальных механизмов взаимодействия конкурентных ведомств в целях выявления и пресечения недобросовестных деловых практик, в том числе международных картелей, со стороны транснациональных корпораций, и нарушений, имеющих трансграничный характер. Площадкой для создания таких механизмов является ЮНКТАД. Проработка вопроса осуществляется в контексте дополнения Комплекса согласованных на многосторонней основе справедливых принципов и правил для контроля за ограничительной деловой практикой (далее – Комплекс), принятого в 1980 году Генеральной Ассамблеей ООН. </w:t>
      </w:r>
    </w:p>
    <w:p w14:paraId="217F9862"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Times New Roman" w:hAnsi="Times New Roman" w:cs="Times New Roman"/>
          <w:sz w:val="28"/>
          <w:szCs w:val="28"/>
          <w:lang w:eastAsia="ar-SA"/>
        </w:rPr>
        <w:t>Работа в данном направлении проводилась в рамках деятельности Дискуссионной группы ЮНКТАД по международному сотрудничеству, созданной в 2017 году по итогам 16-й сессии Межправительственной группы экспертов по законодательству и политике в области конкуренции ЮНКТАД (МГЭ ЮНКТАД).</w:t>
      </w:r>
    </w:p>
    <w:p w14:paraId="3705AF75" w14:textId="77777777" w:rsidR="00A054BC" w:rsidRPr="00A054BC" w:rsidRDefault="00A054BC" w:rsidP="00A054BC">
      <w:pPr>
        <w:widowControl w:val="0"/>
        <w:suppressAutoHyphens/>
        <w:spacing w:after="0" w:line="240" w:lineRule="auto"/>
        <w:ind w:firstLine="708"/>
        <w:jc w:val="both"/>
        <w:textAlignment w:val="baseline"/>
        <w:rPr>
          <w:rFonts w:ascii="Times New Roman" w:eastAsia="SimSun" w:hAnsi="Times New Roman" w:cs="Times New Roman"/>
          <w:kern w:val="1"/>
          <w:sz w:val="28"/>
          <w:szCs w:val="28"/>
          <w:lang w:eastAsia="hi-IN" w:bidi="hi-IN"/>
        </w:rPr>
      </w:pPr>
      <w:r w:rsidRPr="00A054BC">
        <w:rPr>
          <w:rFonts w:ascii="Times New Roman" w:eastAsia="SimSun" w:hAnsi="Times New Roman" w:cs="Times New Roman"/>
          <w:kern w:val="1"/>
          <w:sz w:val="28"/>
          <w:szCs w:val="28"/>
          <w:lang w:eastAsia="hi-IN" w:bidi="hi-IN"/>
        </w:rPr>
        <w:t>В состав Дискуссионной группы входят представители антимонопольных органов более чем из 50 заинтересованных стран.</w:t>
      </w:r>
    </w:p>
    <w:p w14:paraId="7028FCC2" w14:textId="77777777" w:rsidR="00A054BC" w:rsidRPr="00A054BC" w:rsidRDefault="00A054BC" w:rsidP="00A054BC">
      <w:pPr>
        <w:widowControl w:val="0"/>
        <w:suppressAutoHyphens/>
        <w:spacing w:after="0" w:line="240" w:lineRule="auto"/>
        <w:ind w:firstLine="708"/>
        <w:jc w:val="both"/>
        <w:textAlignment w:val="baseline"/>
        <w:rPr>
          <w:rFonts w:ascii="Times New Roman" w:eastAsia="SimSun" w:hAnsi="Times New Roman" w:cs="Times New Roman"/>
          <w:kern w:val="1"/>
          <w:sz w:val="28"/>
          <w:szCs w:val="28"/>
          <w:lang w:eastAsia="hi-IN" w:bidi="hi-IN"/>
        </w:rPr>
      </w:pPr>
      <w:r w:rsidRPr="00A054BC">
        <w:rPr>
          <w:rFonts w:ascii="Times New Roman" w:eastAsia="SimSun" w:hAnsi="Times New Roman" w:cs="Times New Roman"/>
          <w:kern w:val="1"/>
          <w:sz w:val="28"/>
          <w:szCs w:val="28"/>
          <w:lang w:eastAsia="hi-IN" w:bidi="hi-IN"/>
        </w:rPr>
        <w:t>В течение 2018 года заседания Дискуссионной группы проходили на регулярной основе, как правило, в формате видеоконференций, который позволяет обеспечить участие в заседаниях максимального количества ее членов.</w:t>
      </w:r>
    </w:p>
    <w:p w14:paraId="6F7595D6"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 xml:space="preserve">В июле 2018 года вопрос о результатах деятельности Дискуссионной группы был рассмотрен на 17-й сессии МГЭ ЮНКТАД. В частности, был представлен </w:t>
      </w:r>
      <w:r w:rsidRPr="00A054BC">
        <w:rPr>
          <w:rFonts w:ascii="Times New Roman" w:eastAsia="Times New Roman" w:hAnsi="Times New Roman" w:cs="Times New Roman"/>
          <w:sz w:val="28"/>
          <w:szCs w:val="28"/>
          <w:lang w:eastAsia="ar-SA"/>
        </w:rPr>
        <w:t xml:space="preserve">Отчет по обзору препятствий международному сотрудничеству, подготовленный Дискуссионной группой, а также предложения государств-членов по улучшению международного сотрудничества. С докладом также выступил представитель ФАС России, в котором был сделан акцент </w:t>
      </w:r>
      <w:r w:rsidRPr="00A054BC">
        <w:rPr>
          <w:rFonts w:ascii="Times New Roman" w:eastAsia="Cambria" w:hAnsi="Times New Roman" w:cs="Times New Roman"/>
          <w:sz w:val="28"/>
          <w:szCs w:val="28"/>
          <w:lang w:eastAsia="ar-SA"/>
        </w:rPr>
        <w:t>на важности проведенной работы и необходимости ее дальнейшего продолжения.</w:t>
      </w:r>
    </w:p>
    <w:p w14:paraId="0D021A39"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Позиция России о необходимости дальнейшего продолжения работы Дискуссионной группы была поддержана Аргентиной, Арменией, Беларусью, Египтом, Замбией, Казахстаном, Киргизией, Маврикием, Македонией, Монголией, Папуа Новой Гвинеей, Перу, Сербией, Свазилендом, Таджикистаном, Тунисом, Узбекистаном, Шри Ланкой, Эквадором и ЮАР.</w:t>
      </w:r>
    </w:p>
    <w:p w14:paraId="24B4AA57"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По итогам состоявшихся обсуждений мандат деятельности Дискуссионной группы был продлен еще на один год.</w:t>
      </w:r>
    </w:p>
    <w:p w14:paraId="41F796D5"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Учитывая, что в ходе обсуждений проходивших в рамках заседаний Дискуссионной группы, государствами-членами были рассмотрены несколько возможных вариантов практической реализации инициативы, в рамках Дискуссионной группы был создан, так называемый, проектный комитет.</w:t>
      </w:r>
    </w:p>
    <w:p w14:paraId="5262514E"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состав проектного комитета вошли активные участники деятельности Дискуссионной групп, такие как Австрия, Армения, Беларусь, Италия, Казахстан, Малайзия, Мексика, Россия, США, Эквадор, ЮАР, Япония. Целью деятельности проектного комитета является достижение консенсусного решения по форме практической реализации инициативы.</w:t>
      </w:r>
    </w:p>
    <w:p w14:paraId="20D5F4B4"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рамках проектного комитета, заседания которого начиная с октября 2018 года проходили на регулярной основе, обсуждались предложения России, Мексики, США и Японии.</w:t>
      </w:r>
    </w:p>
    <w:p w14:paraId="4B196F49"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bCs/>
          <w:sz w:val="28"/>
          <w:szCs w:val="28"/>
          <w:lang w:eastAsia="ar-SA"/>
        </w:rPr>
      </w:pPr>
      <w:r w:rsidRPr="00A054BC">
        <w:rPr>
          <w:rFonts w:ascii="Times New Roman" w:eastAsia="Cambria" w:hAnsi="Times New Roman" w:cs="Times New Roman"/>
          <w:sz w:val="28"/>
          <w:szCs w:val="28"/>
          <w:lang w:eastAsia="ar-SA"/>
        </w:rPr>
        <w:t>Следует отметить, что в ходе работы проектного комитета рассматривались различные позиции, в том числе, в целом о целесообразности создания нового документа, закрепляющего инструменты сотрудничества конкурентных ведомств.</w:t>
      </w:r>
    </w:p>
    <w:p w14:paraId="29CF31D1"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bCs/>
          <w:sz w:val="28"/>
          <w:szCs w:val="28"/>
          <w:lang w:eastAsia="ar-SA"/>
        </w:rPr>
        <w:t xml:space="preserve">К концу 2018 года позиция о нецелесообразности создания такого документа была переломлена, проектным комитетом достигнуто единое мнение о целесообразности его разработки и принятия в рамках ЮНКТАД в 2020 году в рамках </w:t>
      </w:r>
      <w:r w:rsidRPr="00A054BC">
        <w:rPr>
          <w:rFonts w:ascii="Times New Roman" w:eastAsia="Cambria" w:hAnsi="Times New Roman" w:cs="Times New Roman"/>
          <w:sz w:val="28"/>
          <w:szCs w:val="28"/>
          <w:lang w:eastAsia="ar-SA"/>
        </w:rPr>
        <w:t>8-й Конференции по пересмотру всех аспектов Комплекса согласованных на многосторонней основе справедливых принципов и правил для контроля за ограничительной деловой практикой.</w:t>
      </w:r>
    </w:p>
    <w:p w14:paraId="0CB6E0CB"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Продолжилась в 2018 году и работа по продвижению инициативы ФАС России по принятию Конвенции о борьбе с картелями. Вопрос прорабатывался с МИД России и Минэкономразвития России, а также обсуждался с зарубежными партнёрами, в том числе по СНГ.</w:t>
      </w:r>
    </w:p>
    <w:p w14:paraId="5EDA7242"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По результатам проработки данного вопроса выработано понимание того, что площадкой для практической реализации инициативы также должна стать ЮНКТАД, а конкретные шаги должны коррелироваться с усилиями, предпринимаемыми ФАС России, по продвижению инициативы по дополнению Комплекса.</w:t>
      </w:r>
    </w:p>
    <w:p w14:paraId="7D5E35C0"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 xml:space="preserve">Важнейшее направление международного сотрудничества в сфере конкурентной политики – это работа в рамках </w:t>
      </w:r>
      <w:r w:rsidRPr="00A054BC">
        <w:rPr>
          <w:rFonts w:ascii="Times New Roman" w:eastAsia="Cambria" w:hAnsi="Times New Roman" w:cs="Times New Roman"/>
          <w:b/>
          <w:sz w:val="28"/>
          <w:szCs w:val="28"/>
          <w:lang w:eastAsia="ar-SA"/>
        </w:rPr>
        <w:t>Международной конкурентной сети (МКС)</w:t>
      </w:r>
      <w:r w:rsidRPr="00A054BC">
        <w:rPr>
          <w:rFonts w:ascii="Times New Roman" w:eastAsia="Cambria" w:hAnsi="Times New Roman" w:cs="Times New Roman"/>
          <w:sz w:val="28"/>
          <w:szCs w:val="28"/>
          <w:lang w:eastAsia="ar-SA"/>
        </w:rPr>
        <w:t>, что обусловлено, как авторитетом данной международной организации, так и тем, что ФАС России начиная с 2006 года является членом Координационного комитета МКС – руководящего органа этой организации, и принимает активное участие в его деятельности.</w:t>
      </w:r>
    </w:p>
    <w:p w14:paraId="2240F68C"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2018 году представители ФАС России приняли активное участие в мероприятиях МКС, в том числе в организации и проведении заседаний Рабочих групп МКС и информационном наполнении данных мероприятий.</w:t>
      </w:r>
    </w:p>
    <w:p w14:paraId="313F0CA3" w14:textId="77777777" w:rsidR="00A054BC" w:rsidRPr="00A054BC" w:rsidRDefault="00A054BC" w:rsidP="00A054BC">
      <w:pPr>
        <w:suppressAutoHyphens/>
        <w:spacing w:after="0" w:line="240" w:lineRule="auto"/>
        <w:ind w:firstLine="360"/>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Представители ФАС России регулярно принимали участие в телеконференциях и вебинарах Координационного комитета МКС и его Рабочих групп, которые проходили 2-3 раза в месяц.</w:t>
      </w:r>
    </w:p>
    <w:p w14:paraId="5AD49065"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ходе заседания Координационного комитета МКС в марте 2018 года ФАС России была переизбрана сопредседателем 2-ой подгруппы Рабочей группы МКС по картелям.</w:t>
      </w:r>
    </w:p>
    <w:p w14:paraId="27B461F6"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Cambria" w:hAnsi="Times New Roman" w:cs="Times New Roman"/>
          <w:sz w:val="28"/>
          <w:szCs w:val="28"/>
          <w:lang w:eastAsia="ar-SA"/>
        </w:rPr>
        <w:t>В рамках деятельности данной Рабочей группы ФАС России совместно с Итальянским конкурентным ведомством подготовила главу Пособия Международной конкурентной сети по борьбе с картелями, посвящённую развитию частного правоприменения в делах о картелях, презентация которой прошла в октябре 218 года.</w:t>
      </w:r>
    </w:p>
    <w:p w14:paraId="4E1EEA17"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Times New Roman" w:hAnsi="Times New Roman" w:cs="Times New Roman"/>
          <w:sz w:val="28"/>
          <w:szCs w:val="28"/>
          <w:lang w:eastAsia="ar-SA"/>
        </w:rPr>
        <w:t>Кроме того, представители ФАС России приняли участие 17-ой Ежегодной Конференции МКС – ключевом мероприятии данной международной организации, которая состоялась в марте 2018 году в г. Нью-Дели (Индия).</w:t>
      </w:r>
    </w:p>
    <w:p w14:paraId="13075863"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ходе данной конференции в г. Нью-Дели представители ФАС России выступили в качестве докладчиков</w:t>
      </w:r>
      <w:r w:rsidRPr="00A054BC">
        <w:rPr>
          <w:rFonts w:ascii="Times New Roman" w:eastAsia="Times New Roman" w:hAnsi="Times New Roman" w:cs="Times New Roman"/>
          <w:sz w:val="28"/>
          <w:szCs w:val="28"/>
          <w:lang w:eastAsia="ar-SA"/>
        </w:rPr>
        <w:t xml:space="preserve"> сессий: «</w:t>
      </w:r>
      <w:r w:rsidRPr="00A054BC">
        <w:rPr>
          <w:rFonts w:ascii="Times New Roman" w:eastAsia="Cambria" w:hAnsi="Times New Roman" w:cs="Times New Roman"/>
          <w:sz w:val="28"/>
          <w:szCs w:val="28"/>
          <w:lang w:eastAsia="ar-SA"/>
        </w:rPr>
        <w:t>Экстратерриториальное действие конкурентного законодательства</w:t>
      </w:r>
      <w:r w:rsidRPr="00A054BC">
        <w:rPr>
          <w:rFonts w:ascii="Times New Roman" w:eastAsia="Times New Roman" w:hAnsi="Times New Roman" w:cs="Times New Roman"/>
          <w:sz w:val="28"/>
          <w:szCs w:val="28"/>
          <w:lang w:eastAsia="ar-SA"/>
        </w:rPr>
        <w:t>», «</w:t>
      </w:r>
      <w:r w:rsidRPr="00A054BC">
        <w:rPr>
          <w:rFonts w:ascii="Times New Roman" w:eastAsia="Cambria" w:hAnsi="Times New Roman" w:cs="Times New Roman"/>
          <w:sz w:val="28"/>
          <w:szCs w:val="28"/>
          <w:lang w:eastAsia="ar-SA"/>
        </w:rPr>
        <w:t>Международное сотрудничество правоприменителей: необходимо ли углублять и расширять международное сотрудничество в целях противодействия картелям и антиконкурентным соглашениям в условиях цифровой глобальной экономики</w:t>
      </w:r>
      <w:r w:rsidRPr="00A054BC">
        <w:rPr>
          <w:rFonts w:ascii="Times New Roman" w:eastAsia="Times New Roman" w:hAnsi="Times New Roman" w:cs="Times New Roman"/>
          <w:sz w:val="28"/>
          <w:szCs w:val="28"/>
          <w:lang w:eastAsia="ar-SA"/>
        </w:rPr>
        <w:t xml:space="preserve">», </w:t>
      </w:r>
      <w:r w:rsidRPr="00A054BC">
        <w:rPr>
          <w:rFonts w:ascii="Times New Roman" w:eastAsia="Cambria" w:hAnsi="Times New Roman" w:cs="Times New Roman"/>
          <w:sz w:val="28"/>
          <w:szCs w:val="28"/>
          <w:lang w:eastAsia="ar-SA"/>
        </w:rPr>
        <w:t>«Вертикальные ограничения: оценка паритетных ценовых соглашений на обычных и электронных рынках», а также</w:t>
      </w:r>
      <w:r w:rsidRPr="00A054BC">
        <w:rPr>
          <w:rFonts w:ascii="Times New Roman" w:eastAsia="Times New Roman" w:hAnsi="Times New Roman" w:cs="Times New Roman"/>
          <w:sz w:val="28"/>
          <w:szCs w:val="28"/>
          <w:lang w:eastAsia="ar-SA"/>
        </w:rPr>
        <w:t xml:space="preserve"> специальной сессии, посвященной </w:t>
      </w:r>
      <w:r w:rsidRPr="00A054BC">
        <w:rPr>
          <w:rFonts w:ascii="Times New Roman" w:eastAsia="Cambria" w:hAnsi="Times New Roman" w:cs="Times New Roman"/>
          <w:sz w:val="28"/>
          <w:szCs w:val="28"/>
          <w:lang w:eastAsia="ar-SA"/>
        </w:rPr>
        <w:t>вопросам рассмотрения мегаслияний в агропромышленном секторе</w:t>
      </w:r>
      <w:r w:rsidRPr="00A054BC">
        <w:rPr>
          <w:rFonts w:ascii="Times New Roman" w:eastAsia="Times New Roman" w:hAnsi="Times New Roman" w:cs="Times New Roman"/>
          <w:sz w:val="28"/>
          <w:szCs w:val="28"/>
          <w:lang w:eastAsia="ar-SA"/>
        </w:rPr>
        <w:t>.</w:t>
      </w:r>
    </w:p>
    <w:p w14:paraId="1BD69440"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 xml:space="preserve">В 2017 году поступательно продолжало развиваться сотрудничество ФАС России со странами Азиатско-Тихоокеанского региона (АТР), которое осуществлялось как в режиме двусторонних связей с конкурентными ведомствами данного региона, так и в рамках Форума </w:t>
      </w:r>
      <w:r w:rsidRPr="00A054BC">
        <w:rPr>
          <w:rFonts w:ascii="Times New Roman" w:eastAsia="Cambria" w:hAnsi="Times New Roman" w:cs="Times New Roman"/>
          <w:b/>
          <w:sz w:val="28"/>
          <w:szCs w:val="28"/>
          <w:lang w:eastAsia="ar-SA"/>
        </w:rPr>
        <w:t>АТЭС</w:t>
      </w:r>
      <w:r w:rsidRPr="00A054BC">
        <w:rPr>
          <w:rFonts w:ascii="Times New Roman" w:eastAsia="Cambria" w:hAnsi="Times New Roman" w:cs="Times New Roman"/>
          <w:sz w:val="28"/>
          <w:szCs w:val="28"/>
          <w:lang w:eastAsia="ar-SA"/>
        </w:rPr>
        <w:t>.</w:t>
      </w:r>
    </w:p>
    <w:p w14:paraId="12021D44"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целях реализации Комплексного плана действий Российской Федерации в Форуме в 2016-2018 годах, а также в рамках развития структурных реформ в целях реализации «Обновленного плана структурных реформ АТЭС» ФАС России принимала участие в мероприятиях АТЭС с целью предоставления позиции России по ряду ключевых экономических проблем в рамках компетенции ФАС России и продвижения ее в итоговых документах Форума.</w:t>
      </w:r>
    </w:p>
    <w:p w14:paraId="76296E26" w14:textId="77777777" w:rsidR="00A054BC" w:rsidRPr="00A054BC" w:rsidRDefault="00A054BC" w:rsidP="00A054BC">
      <w:pPr>
        <w:suppressAutoHyphens/>
        <w:spacing w:after="0" w:line="240" w:lineRule="auto"/>
        <w:ind w:firstLine="709"/>
        <w:jc w:val="both"/>
        <w:rPr>
          <w:rFonts w:ascii="Calibri" w:eastAsia="Calibri" w:hAnsi="Calibri" w:cs="Calibri"/>
          <w:sz w:val="28"/>
          <w:szCs w:val="28"/>
          <w:lang w:eastAsia="ar-SA"/>
        </w:rPr>
      </w:pPr>
      <w:r w:rsidRPr="00A054BC">
        <w:rPr>
          <w:rFonts w:ascii="Times New Roman" w:eastAsia="Calibri" w:hAnsi="Times New Roman" w:cs="Times New Roman"/>
          <w:sz w:val="28"/>
          <w:szCs w:val="28"/>
          <w:lang w:eastAsia="ar-SA"/>
        </w:rPr>
        <w:t>Представители ФАС России принимали участие в деятельности Рабочей группы по конкурентному законодательству и политике и Экономического комитета Форума АТЭС и организованных в рамках ее деятельности мероприятиях.</w:t>
      </w:r>
    </w:p>
    <w:p w14:paraId="2E73ADB4"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Times New Roman" w:hAnsi="Times New Roman" w:cs="Times New Roman"/>
          <w:sz w:val="28"/>
          <w:szCs w:val="28"/>
          <w:lang w:eastAsia="ar-SA"/>
        </w:rPr>
        <w:t>С учетом председательства в 2018 году в Форуме АТЭС Папуа-Новая Гвинея ряд таких мероприятий по вопросам конкуренции прошли г. Порт-Морсби, в частности, учебные семинары по обмену лучшими практиками режима контроля за слиянием в экономиках АТЭС, институционального развития в свободной экономической зоне Азиатско-Тихоокеанского региона.</w:t>
      </w:r>
    </w:p>
    <w:p w14:paraId="26DB9CA5"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Times New Roman" w:hAnsi="Times New Roman" w:cs="Times New Roman"/>
          <w:sz w:val="28"/>
          <w:szCs w:val="28"/>
          <w:lang w:eastAsia="ar-SA"/>
        </w:rPr>
        <w:t>Также в 2018 году ФАС России продолжала работу по</w:t>
      </w:r>
      <w:r w:rsidRPr="00A054BC">
        <w:rPr>
          <w:rFonts w:ascii="Times New Roman" w:eastAsia="Cambria" w:hAnsi="Times New Roman" w:cs="Times New Roman"/>
          <w:sz w:val="28"/>
          <w:szCs w:val="28"/>
          <w:lang w:eastAsia="ar-SA"/>
        </w:rPr>
        <w:t xml:space="preserve"> выполнению Индивидуального плана действий Российской Федерации по реализации «Богорских целей» в части, касающейся разделов «Инвестиции», «Конкурентная политика», «Государственные закупки», «Обзор дерегулирования/регулирования».</w:t>
      </w:r>
    </w:p>
    <w:p w14:paraId="52154001" w14:textId="77777777" w:rsidR="00A054BC" w:rsidRPr="00A054BC" w:rsidRDefault="00A054BC" w:rsidP="00A054BC">
      <w:pPr>
        <w:suppressAutoHyphens/>
        <w:spacing w:after="0" w:line="240" w:lineRule="auto"/>
        <w:ind w:firstLine="720"/>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Активно участвуя в мероприятиях, проводимых указанными международными организациями, ФАС России реализует свой высокий потенциал для продвижения интересов России в сфере конкурентной политики на международной арене.</w:t>
      </w:r>
    </w:p>
    <w:p w14:paraId="14454CF1" w14:textId="77777777" w:rsidR="00A054BC" w:rsidRPr="00A054BC" w:rsidRDefault="00A054BC" w:rsidP="00A054BC">
      <w:pPr>
        <w:suppressAutoHyphens/>
        <w:spacing w:after="0" w:line="240" w:lineRule="auto"/>
        <w:ind w:right="-1"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Еще одной важной задачей, определенной Правительством Российской Федерации, в рамках интеграции России в мировую экономическую систему, является развитие сотрудничества в рамках крупных интеграционных объединений.</w:t>
      </w:r>
    </w:p>
    <w:p w14:paraId="41A58694"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Сотрудничество по вопросам защиты и развития конкуренции в таком формате в 2018 году представляло собой одно из важных направлений международной деятельности ФАС России и было связано с работой в рамках СНГ, Евразийского экономического союза (ЕАЭС, Союз), и БРИКС.</w:t>
      </w:r>
    </w:p>
    <w:p w14:paraId="0628AB1E" w14:textId="77777777" w:rsidR="00A054BC" w:rsidRPr="00A054BC" w:rsidRDefault="00A054BC" w:rsidP="00A054BC">
      <w:pPr>
        <w:suppressAutoHyphens/>
        <w:spacing w:after="0" w:line="240" w:lineRule="auto"/>
        <w:ind w:firstLine="720"/>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 xml:space="preserve">Основной площадкой для сотрудничества в рамках </w:t>
      </w:r>
      <w:r w:rsidRPr="00A054BC">
        <w:rPr>
          <w:rFonts w:ascii="Times New Roman" w:eastAsia="Cambria" w:hAnsi="Times New Roman" w:cs="Times New Roman"/>
          <w:b/>
          <w:sz w:val="28"/>
          <w:szCs w:val="28"/>
          <w:lang w:eastAsia="ar-SA"/>
        </w:rPr>
        <w:t xml:space="preserve">СНГ </w:t>
      </w:r>
      <w:r w:rsidRPr="00A054BC">
        <w:rPr>
          <w:rFonts w:ascii="Times New Roman" w:eastAsia="Cambria" w:hAnsi="Times New Roman" w:cs="Times New Roman"/>
          <w:sz w:val="28"/>
          <w:szCs w:val="28"/>
          <w:lang w:eastAsia="ar-SA"/>
        </w:rPr>
        <w:t>являлся Межгосударственный совет по антимонопольной политике (МСАП), являющийся органом отраслевого сотрудничества СНГ, а также созданный при МСАП в 2006 году Штаб по совместным расследованиям нарушений антимонопольного законодательства государств-частников СНГ (далее – Штаб).</w:t>
      </w:r>
    </w:p>
    <w:p w14:paraId="61395F16" w14:textId="77777777" w:rsidR="00A054BC" w:rsidRPr="00A054BC" w:rsidRDefault="00A054BC" w:rsidP="00A054BC">
      <w:pPr>
        <w:suppressAutoHyphens/>
        <w:spacing w:after="0" w:line="240" w:lineRule="auto"/>
        <w:ind w:firstLine="720"/>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2018 году традиционно состоялось два заседания МСАП, которые прошли в мае и сентябре 2018 года в г. Минске и г. Сочи, соответственно.</w:t>
      </w:r>
    </w:p>
    <w:p w14:paraId="7101A9E1" w14:textId="77777777" w:rsidR="00A054BC" w:rsidRPr="00A054BC" w:rsidRDefault="00A054BC" w:rsidP="00A054BC">
      <w:pPr>
        <w:suppressAutoHyphens/>
        <w:spacing w:after="0" w:line="240" w:lineRule="auto"/>
        <w:ind w:firstLine="720"/>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ходе прошедших заседаний МСАП обсуждались вопросы формирования конкурентной политики в условиях развития цифровой экономики, развития законодательства по борьбе с картелями и создания системы выявления и пресечения картелей на торгах в Российской Федерации, повышения эффективности системы контроля за осуществлением государственных закупок, создания Совета рынка продовольственных товаров государств - участников СНГ, внедрения института комплаенса в Российской Федерации, состояния и тенденции развития рекламного рынка государств – участников СНГ.</w:t>
      </w:r>
    </w:p>
    <w:p w14:paraId="67DF033D" w14:textId="77777777" w:rsidR="00A054BC" w:rsidRPr="00A054BC" w:rsidRDefault="00A054BC" w:rsidP="00A054BC">
      <w:pPr>
        <w:suppressAutoHyphens/>
        <w:spacing w:after="0" w:line="240" w:lineRule="auto"/>
        <w:ind w:firstLine="720"/>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Ключевым вопросом на прошедшим заседаниях МСАП, был вопрос о результатах деятельности Штаба.</w:t>
      </w:r>
    </w:p>
    <w:p w14:paraId="718C2794"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2018 году Штабом была завершена работа над рядом докладов, подготовленных по результатам проведенных исследований, получивших одобрение Экономического совета СНГ, а именно:</w:t>
      </w:r>
    </w:p>
    <w:p w14:paraId="28D7529A"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Доклад о состоянии конкуренции на рынке жилья экономического класса в государствах-участниках СНГ;</w:t>
      </w:r>
    </w:p>
    <w:p w14:paraId="67889EE8"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Доклад о состоянии конкуренции на рынках производства нерудных строительных материалов в государствах-участниках СНГ;</w:t>
      </w:r>
    </w:p>
    <w:p w14:paraId="7F4516A0"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Доклад о формировании конкурентной политики в государствах – участниках СНГ в условиях развития цифровой экономики.</w:t>
      </w:r>
    </w:p>
    <w:p w14:paraId="1881EAFE"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Отдельно следует отметить, что вопрос формирования конкурентной политики в условиях развития цифровой экономики представляется весьма актуальным для антимонопольных органов всего мира, в том числе и государств-участников СНГ, что и обусловило необходимость проведения соответствующего исследования и подготовку доклада по данной тематике.</w:t>
      </w:r>
    </w:p>
    <w:p w14:paraId="4B20D748"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Целью подготовки Доклада о формировании конкурентной политики в государствах – участниках СНГ в условиях развития цифровой экономики являлись определение общей характеристики цифровой экономики в государствах – участниках СНГ, анализ новых вызовов для конкурентного регулирования в условиях цифровой экономики, а также проведение оценки готовности конкурентного законодательства к новым вызовам и необходимости внесения изменений в законодательство государств – участников СНГ.</w:t>
      </w:r>
    </w:p>
    <w:p w14:paraId="45EFCA29" w14:textId="77777777" w:rsidR="00A054BC" w:rsidRPr="00A054BC" w:rsidRDefault="00A054BC" w:rsidP="00A054BC">
      <w:pPr>
        <w:suppressAutoHyphens/>
        <w:spacing w:after="0" w:line="240" w:lineRule="auto"/>
        <w:ind w:firstLine="720"/>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Следует отметить, что прошедший год являлся юбилейным годом для МСАП – в 2018 году исполнилось 25 лет со дня его образования.</w:t>
      </w:r>
    </w:p>
    <w:p w14:paraId="1B2B5B0B" w14:textId="77777777" w:rsidR="00A054BC" w:rsidRPr="00A054BC" w:rsidRDefault="00A054BC" w:rsidP="00A054BC">
      <w:pPr>
        <w:suppressAutoHyphens/>
        <w:spacing w:after="0" w:line="240" w:lineRule="auto"/>
        <w:ind w:firstLine="720"/>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связи с этим к данному событию была приурочена подготовка Доклада «Межгосударственный совет по антимонопольной политике: практические результаты деятельности», обобщивший информацию о реализации в государствах-участниках СНГ решений и рекомендаций, принятых по итогам проведенных исследований, в том числе на рынках пассажирских авиаперевозок, телекоммуникаций, услуг продажи продовольственных товаров в розничных торговых сетях, нефти и нефтепродуктов и лекарственных средств. По решению членов МСАП, в целом одобривших данный доклад, в 2019 году он будет представлен в Исполнительный комитет СНГ для рассмотрения в установленном порядке.</w:t>
      </w:r>
    </w:p>
    <w:p w14:paraId="695067CC" w14:textId="77777777" w:rsidR="00A054BC" w:rsidRPr="00A054BC" w:rsidRDefault="00A054BC" w:rsidP="00A054BC">
      <w:pPr>
        <w:suppressAutoHyphens/>
        <w:spacing w:after="0" w:line="240" w:lineRule="auto"/>
        <w:ind w:firstLine="720"/>
        <w:jc w:val="both"/>
        <w:rPr>
          <w:rFonts w:ascii="Times New Roman" w:eastAsia="Cambria" w:hAnsi="Times New Roman" w:cs="Times New Roman"/>
          <w:bCs/>
          <w:sz w:val="28"/>
          <w:szCs w:val="28"/>
          <w:lang w:eastAsia="ar-SA"/>
        </w:rPr>
      </w:pPr>
      <w:r w:rsidRPr="00A054BC">
        <w:rPr>
          <w:rFonts w:ascii="Times New Roman" w:eastAsia="Cambria" w:hAnsi="Times New Roman" w:cs="Times New Roman"/>
          <w:sz w:val="28"/>
          <w:szCs w:val="28"/>
          <w:lang w:eastAsia="ar-SA"/>
        </w:rPr>
        <w:t>С учетом ранее принятых решений МСАП в 2018 году антимонопольными органами государств-участников СНГ также была продолжена работа по выработке согласованной позиции по вопросу создания эффективных механизмов сотрудничества конкурентных ведомств при правоприменении, обсуждаемому на площадке ЮНКТАД.</w:t>
      </w:r>
    </w:p>
    <w:p w14:paraId="4CAADCCB" w14:textId="77777777" w:rsidR="00A054BC" w:rsidRPr="00A054BC" w:rsidRDefault="00A054BC" w:rsidP="00A054BC">
      <w:pPr>
        <w:suppressAutoHyphens/>
        <w:spacing w:after="0" w:line="240" w:lineRule="auto"/>
        <w:ind w:firstLine="720"/>
        <w:jc w:val="both"/>
        <w:rPr>
          <w:rFonts w:ascii="Times New Roman" w:eastAsia="Cambria" w:hAnsi="Times New Roman" w:cs="Times New Roman"/>
          <w:sz w:val="28"/>
          <w:szCs w:val="28"/>
          <w:lang w:eastAsia="ar-SA"/>
        </w:rPr>
      </w:pPr>
      <w:r w:rsidRPr="00A054BC">
        <w:rPr>
          <w:rFonts w:ascii="Times New Roman" w:eastAsia="Cambria" w:hAnsi="Times New Roman" w:cs="Times New Roman"/>
          <w:bCs/>
          <w:sz w:val="28"/>
          <w:szCs w:val="28"/>
          <w:lang w:eastAsia="ar-SA"/>
        </w:rPr>
        <w:t>Еще один важный вопрос, прорабатываемый на площадке МСАП, это вопрос разработки проекта Модельного разъяснения антимонопольным органам государств-участников СНГ по применению механизма отказа от конфиденциальности (вейвера) при рассмотрении сделок экономической концентрации. С инициативой разработки данного документа выступила ФАС России, которой подготовлены Рекомендации Президиума ФАС России по применению механизма отказа от конфиденциальности (вейвера) при рассмотрении сделок экономической концентрации. Предложение ФАС России получило одобрение членов МСАП, работу над документом планируется завершить в 2019 году.</w:t>
      </w:r>
    </w:p>
    <w:p w14:paraId="51E52FDC"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 xml:space="preserve">2018 год стал годом активного развития взаимодействия антимонопольных органов государств-членов </w:t>
      </w:r>
      <w:r w:rsidRPr="00A054BC">
        <w:rPr>
          <w:rFonts w:ascii="Times New Roman" w:eastAsia="Cambria" w:hAnsi="Times New Roman" w:cs="Times New Roman"/>
          <w:b/>
          <w:sz w:val="28"/>
          <w:szCs w:val="28"/>
          <w:lang w:eastAsia="ar-SA"/>
        </w:rPr>
        <w:t>ЕАЭС</w:t>
      </w:r>
      <w:r w:rsidRPr="00A054BC">
        <w:rPr>
          <w:rFonts w:ascii="Times New Roman" w:eastAsia="Cambria" w:hAnsi="Times New Roman" w:cs="Times New Roman"/>
          <w:sz w:val="28"/>
          <w:szCs w:val="28"/>
          <w:lang w:eastAsia="ar-SA"/>
        </w:rPr>
        <w:t xml:space="preserve"> и Евразийской экономической комиссией (ЕЭК) в практическом плане.</w:t>
      </w:r>
    </w:p>
    <w:p w14:paraId="6069FC23"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течение 2018 года ФАС России взаимодействовала с ЕЭК по вопросам 27 поступивших заявлений (материалов) о признаках нарушения общих правил конкуренции, в том числе по предоставлению ЕЭК необходимой информации, выполнению мотивированных запросов ЕЭК о проведении отдельных процессуальных действий и т.д.</w:t>
      </w:r>
    </w:p>
    <w:p w14:paraId="5CFAB629"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Другим важным направлением сотрудничества антимонопольных органов государств-членов ЕАЭС и ЕЭК в прошедшем году было совершенствование договорно-правовой базы.</w:t>
      </w:r>
    </w:p>
    <w:p w14:paraId="192B2EDE"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 xml:space="preserve">В отчетном периоде государствами – членами ЕАЭС было согласовано предложение по внесению изменений в Договор о Евразийском экономическом союзе от 29.05.2014 (далее – Договор о Союзе), направленных на внедрение в право Союза механизмов «предупреждения» и «предостережения» нарушений общих правил конкуренции. </w:t>
      </w:r>
    </w:p>
    <w:p w14:paraId="28B1CAAC"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Данные механизмы, положительно зарекомендовавшие себя в государства-членах Союза, в частности в Российской Федерации, позволят в короткие сроки без долгих процедур расследования восстанавливать условия конкуренции на трансграничных рынках ЕАЭС.</w:t>
      </w:r>
    </w:p>
    <w:p w14:paraId="47B90206"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качестве временной меры, до вступления в силу соответствующих изменений в Договор о Союзе, в Порядок рассмотрения заявлений о нарушении общих правил конкуренции (утверждены Решением Совета ЕЭК от 23 ноября 2012 года  № 97) включены нормы, предусматривающие возможность формирования ЕЭК в отношении хозяйствующего субъекта (субъекта рынка), в действиях которого усматриваются признаки нарушения общих правил конкуренции, предложений, направленных на урегулирование возможного нарушения и восстановления конкуренции на товарном рынке.</w:t>
      </w:r>
    </w:p>
    <w:p w14:paraId="1F8F7C58"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shd w:val="clear" w:color="auto" w:fill="FFFFFF"/>
          <w:lang w:eastAsia="ar-SA"/>
        </w:rPr>
      </w:pPr>
      <w:r w:rsidRPr="00A054BC">
        <w:rPr>
          <w:rFonts w:ascii="Times New Roman" w:eastAsia="Cambria" w:hAnsi="Times New Roman" w:cs="Times New Roman"/>
          <w:sz w:val="28"/>
          <w:szCs w:val="28"/>
          <w:lang w:eastAsia="ar-SA"/>
        </w:rPr>
        <w:t>С момента вступления в силу указанных изменений ЕЭК было подготовлено 6 таких предложений.</w:t>
      </w:r>
    </w:p>
    <w:p w14:paraId="5EA1FF7A" w14:textId="77777777" w:rsidR="00A054BC" w:rsidRPr="00A054BC" w:rsidRDefault="00A054BC" w:rsidP="00A054BC">
      <w:pPr>
        <w:widowControl w:val="0"/>
        <w:tabs>
          <w:tab w:val="left" w:pos="1134"/>
        </w:tabs>
        <w:suppressAutoHyphens/>
        <w:spacing w:after="0" w:line="240" w:lineRule="auto"/>
        <w:ind w:firstLine="709"/>
        <w:jc w:val="both"/>
        <w:rPr>
          <w:rFonts w:ascii="Times New Roman" w:eastAsia="Calibri" w:hAnsi="Times New Roman" w:cs="Times New Roman"/>
          <w:sz w:val="28"/>
          <w:szCs w:val="28"/>
          <w:shd w:val="clear" w:color="auto" w:fill="FFFFFF"/>
          <w:lang w:eastAsia="ar-SA"/>
        </w:rPr>
      </w:pPr>
      <w:r w:rsidRPr="00A054BC">
        <w:rPr>
          <w:rFonts w:ascii="Times New Roman" w:eastAsia="Calibri" w:hAnsi="Times New Roman" w:cs="Times New Roman"/>
          <w:sz w:val="28"/>
          <w:szCs w:val="28"/>
          <w:shd w:val="clear" w:color="auto" w:fill="FFFFFF"/>
          <w:lang w:eastAsia="ar-SA"/>
        </w:rPr>
        <w:t xml:space="preserve">Помимо этого, в 2018 году была завершена работа над Порядком подачи в Евразийскую экономическую комиссию обращений государств-членов Евразийского экономического союза по фактам введения государственного ценового регулирования, их рассмотрения Евразийской экономической комиссией и проведения консультаций, который был утвержден Решением Коллегии ЕЭК </w:t>
      </w:r>
      <w:r w:rsidRPr="00A054BC">
        <w:rPr>
          <w:rFonts w:ascii="Times New Roman" w:eastAsia="Calibri" w:hAnsi="Times New Roman" w:cs="Times New Roman"/>
          <w:sz w:val="28"/>
          <w:szCs w:val="28"/>
          <w:lang w:eastAsia="ar-SA"/>
        </w:rPr>
        <w:t>от 25 декабря 2018 года № 221.</w:t>
      </w:r>
    </w:p>
    <w:p w14:paraId="07D2DE6A" w14:textId="77777777" w:rsidR="00A054BC" w:rsidRPr="00A054BC" w:rsidRDefault="00A054BC" w:rsidP="00A054BC">
      <w:pPr>
        <w:tabs>
          <w:tab w:val="left" w:pos="1134"/>
        </w:tabs>
        <w:suppressAutoHyphens/>
        <w:spacing w:after="0" w:line="240" w:lineRule="auto"/>
        <w:ind w:firstLine="709"/>
        <w:jc w:val="both"/>
        <w:rPr>
          <w:rFonts w:ascii="Times New Roman" w:eastAsia="Calibri" w:hAnsi="Times New Roman" w:cs="Times New Roman"/>
          <w:sz w:val="28"/>
          <w:szCs w:val="28"/>
          <w:lang w:eastAsia="ar-SA"/>
        </w:rPr>
      </w:pPr>
      <w:r w:rsidRPr="00A054BC">
        <w:rPr>
          <w:rFonts w:ascii="Times New Roman" w:eastAsia="Calibri" w:hAnsi="Times New Roman" w:cs="Times New Roman"/>
          <w:sz w:val="28"/>
          <w:szCs w:val="28"/>
          <w:shd w:val="clear" w:color="auto" w:fill="FFFFFF"/>
          <w:lang w:eastAsia="ar-SA"/>
        </w:rPr>
        <w:t>Кроме того, на заседании Совета ЕЭК 24 октября 2018 года был подписан Протокол о присоединении Республики Армения к Соглашению о порядке защиты конфиденциальной информации и ответственности за ее разглашение при осуществлении Комиссией полномочий по контролю за соблюдением единых правил конкуренции. К настоящему времени в Российской Федерации завершены процедуры, необходимые для вступления в силу данного Протокола, о чем в установленном порядке МИД России уведомил ЕЭК.</w:t>
      </w:r>
    </w:p>
    <w:p w14:paraId="3FAB3BFC"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течение 2018 года продолжило развиваться сотрудничество с ЕЭК по вопросам адвокатирования конкуренции. Было налажено сотрудничество пресс-служб национальных органов государств-членов ЕАЭС и ЕЭК, на регулярной основе начала работу Общественная приемная ЕЭК, в работе которой принимали участие представители ФАС России.</w:t>
      </w:r>
    </w:p>
    <w:p w14:paraId="27290438"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 xml:space="preserve">Важной инициативой ЕЭК, поддержанной антимонопольными органами государств-членов ЕАЭС, стало предложение по реализации механизма публичной инициативы. Публичная инициатива – это механизм получения «обратной связи» или «сигналов» от бизнеса, государственных органов и иных лиц о проблемах с конкуренцией на тех или иных рынках. Реализация публичной инициативы будет осуществляться посредством анкетирования неопределённого круга лиц, соответствующая информация о проводимой работе будет размещаться на официальных сайтах ЕЭК и антимонопольных органов государств-членов ЕАЭС. На основе анализа полученной информации будут приниматься решения об инициировании принятия мер антимонопольного реагирования. </w:t>
      </w:r>
    </w:p>
    <w:p w14:paraId="6B93B1BB"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Практическая реализация механизма публичной инициативы запланирована на 2019 год.</w:t>
      </w:r>
    </w:p>
    <w:p w14:paraId="1C164786" w14:textId="77777777" w:rsidR="00A054BC" w:rsidRPr="00A054BC" w:rsidRDefault="00A054BC" w:rsidP="00A054BC">
      <w:pPr>
        <w:suppressAutoHyphens/>
        <w:spacing w:after="0" w:line="240" w:lineRule="auto"/>
        <w:ind w:right="141" w:firstLine="709"/>
        <w:jc w:val="both"/>
        <w:rPr>
          <w:rFonts w:ascii="Times New Roman" w:eastAsia="Calibri" w:hAnsi="Times New Roman" w:cs="Times New Roman"/>
          <w:sz w:val="28"/>
          <w:szCs w:val="28"/>
          <w:lang w:eastAsia="ar-SA"/>
        </w:rPr>
      </w:pPr>
      <w:r w:rsidRPr="00A054BC">
        <w:rPr>
          <w:rFonts w:ascii="Times New Roman" w:eastAsia="Calibri" w:hAnsi="Times New Roman" w:cs="Times New Roman"/>
          <w:sz w:val="28"/>
          <w:szCs w:val="28"/>
          <w:lang w:eastAsia="ar-SA"/>
        </w:rPr>
        <w:t>Отдельный блок мероприятий, связанных с совершенствованием Договора о Союзе и реализованных в 2018 году, касался проработки предложений по внесению изменений в Перечень случаев осуществления закупок из одного источника либо у единственного поставщика (исполнителя, подрядчика) (Приложение № 3 к Протоколу о порядке регулирования закупок Договора о Союзе) в части исключения из него критерия численности работников с ограниченными возможностями в общественных объединениях инвалидов.</w:t>
      </w:r>
    </w:p>
    <w:p w14:paraId="1DC2AB6F"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Важным представляется дальнейшее развитие сотрудничества ЕЭК и антимонопольных органов государств-членов ЕАЭС, обеспечивающего повышение эффективности проводимой ими правоприменительной деятельности в целях защиты и развития конкуренции на рынках ЕАЭС, как одного из важнейших факторов эффективного функционирования Союза.</w:t>
      </w:r>
    </w:p>
    <w:p w14:paraId="50378D4D" w14:textId="77777777" w:rsidR="00A054BC" w:rsidRPr="00A054BC" w:rsidRDefault="00A054BC" w:rsidP="00A054BC">
      <w:pPr>
        <w:suppressAutoHyphens/>
        <w:spacing w:after="0" w:line="240" w:lineRule="auto"/>
        <w:ind w:right="141" w:firstLine="709"/>
        <w:jc w:val="both"/>
        <w:rPr>
          <w:rFonts w:ascii="Times New Roman" w:eastAsia="Calibri" w:hAnsi="Times New Roman" w:cs="Times New Roman"/>
          <w:sz w:val="28"/>
          <w:szCs w:val="28"/>
          <w:lang w:eastAsia="ar-SA"/>
        </w:rPr>
      </w:pPr>
      <w:r w:rsidRPr="00A054BC">
        <w:rPr>
          <w:rFonts w:ascii="Times New Roman" w:eastAsia="Calibri" w:hAnsi="Times New Roman" w:cs="Times New Roman"/>
          <w:sz w:val="28"/>
          <w:szCs w:val="28"/>
          <w:lang w:eastAsia="ar-SA"/>
        </w:rPr>
        <w:t xml:space="preserve">Кроме того, в течение 2018 года на площадке ЕЭК с участием ФАС России осуществлялось обсуждение </w:t>
      </w:r>
      <w:r w:rsidRPr="00A054BC">
        <w:rPr>
          <w:rFonts w:ascii="Times New Roman" w:eastAsia="Cambria" w:hAnsi="Times New Roman" w:cs="Times New Roman"/>
          <w:sz w:val="28"/>
          <w:szCs w:val="28"/>
          <w:lang w:eastAsia="ar-SA"/>
        </w:rPr>
        <w:t>вопросов:</w:t>
      </w:r>
    </w:p>
    <w:p w14:paraId="7E34A3DA" w14:textId="77777777" w:rsidR="00A054BC" w:rsidRPr="00A054BC" w:rsidRDefault="00A054BC" w:rsidP="00A054BC">
      <w:pPr>
        <w:suppressAutoHyphens/>
        <w:spacing w:after="0" w:line="240" w:lineRule="auto"/>
        <w:ind w:right="141" w:firstLine="709"/>
        <w:jc w:val="both"/>
        <w:rPr>
          <w:rFonts w:ascii="Times New Roman" w:eastAsia="Calibri" w:hAnsi="Times New Roman" w:cs="Times New Roman"/>
          <w:sz w:val="28"/>
          <w:szCs w:val="28"/>
          <w:lang w:eastAsia="ar-SA"/>
        </w:rPr>
      </w:pPr>
      <w:r w:rsidRPr="00A054BC">
        <w:rPr>
          <w:rFonts w:ascii="Times New Roman" w:eastAsia="Calibri" w:hAnsi="Times New Roman" w:cs="Times New Roman"/>
          <w:sz w:val="28"/>
          <w:szCs w:val="28"/>
          <w:lang w:eastAsia="ar-SA"/>
        </w:rPr>
        <w:t>взаимного признания государствами-членами ЕАЭС банковских гарантий в рамках осуществления государственного заказа, взаимного признания электронной цифровой подписи, изготовленной в соответствии с законодательством государств - членов ЕАЭС;</w:t>
      </w:r>
    </w:p>
    <w:p w14:paraId="447EDD14" w14:textId="77777777" w:rsidR="00A054BC" w:rsidRPr="00A054BC" w:rsidRDefault="00A054BC" w:rsidP="00A054BC">
      <w:pPr>
        <w:suppressAutoHyphens/>
        <w:spacing w:after="0" w:line="240" w:lineRule="auto"/>
        <w:ind w:right="141" w:firstLine="709"/>
        <w:jc w:val="both"/>
        <w:rPr>
          <w:rFonts w:ascii="Times New Roman" w:eastAsia="Calibri" w:hAnsi="Times New Roman" w:cs="Times New Roman"/>
          <w:sz w:val="28"/>
          <w:szCs w:val="28"/>
          <w:lang w:eastAsia="ar-SA"/>
        </w:rPr>
      </w:pPr>
      <w:r w:rsidRPr="00A054BC">
        <w:rPr>
          <w:rFonts w:ascii="Times New Roman" w:eastAsia="Calibri" w:hAnsi="Times New Roman" w:cs="Times New Roman"/>
          <w:sz w:val="28"/>
          <w:szCs w:val="28"/>
          <w:lang w:eastAsia="ar-SA"/>
        </w:rPr>
        <w:t>гармонизации законодательства государств-членов ЕАЭС (Республики Армении, Республики Киргизии) в целях устранения выявленных несоответствий норм национального законодательства по обеспечению беспрепятственного участия хозяйствующих субъектов других стран-членов ЕАЭС во взаимных государственных закупках товаров, работ и услуг, Договору о Союзе;</w:t>
      </w:r>
    </w:p>
    <w:p w14:paraId="51F41DE8" w14:textId="77777777" w:rsidR="00A054BC" w:rsidRPr="00A054BC" w:rsidRDefault="00A054BC" w:rsidP="00A054BC">
      <w:pPr>
        <w:suppressAutoHyphens/>
        <w:autoSpaceDE w:val="0"/>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разработки проекта правил определения страны происхождения товаров, работ и услуг для целей закупок, утверждаемых ЕЭК, принятие которых обеспечит равные условия конкуренции для поставщиков на рынке закупок ЕАЭС и предоставление национального режима товарам, работам и услугам, происходящим с территории государств-членов Союза.</w:t>
      </w:r>
    </w:p>
    <w:p w14:paraId="1D2C3EBA"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Cambria" w:hAnsi="Times New Roman" w:cs="Times New Roman"/>
          <w:sz w:val="28"/>
          <w:szCs w:val="28"/>
          <w:lang w:eastAsia="ar-SA"/>
        </w:rPr>
        <w:t>Обсуждение данных вопросов продолжается.</w:t>
      </w:r>
    </w:p>
    <w:p w14:paraId="456F1932"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Times New Roman" w:hAnsi="Times New Roman" w:cs="Times New Roman"/>
          <w:sz w:val="28"/>
          <w:szCs w:val="28"/>
          <w:lang w:eastAsia="ar-SA"/>
        </w:rPr>
        <w:t>В течение 2018 года также продолжилась проработка вопроса о легализации «параллельного импорта».</w:t>
      </w:r>
    </w:p>
    <w:p w14:paraId="522672C6"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Times New Roman" w:hAnsi="Times New Roman" w:cs="Times New Roman"/>
          <w:sz w:val="28"/>
          <w:szCs w:val="28"/>
          <w:lang w:eastAsia="ar-SA"/>
        </w:rPr>
        <w:t xml:space="preserve">ФАС России совместно с уполномоченными органами государств-членов ЕАЭС и ЕЭК велась разработка организационно-правовых мер по введению исключений из действующего регионального принципа исчерпания прав на товарные знаки в отношении отдельных категорий товаров, а также по определению критериев определения данных групп товаров, в том числе исходя из цены, доступности и качества товара, импортируемого на российский рынок, в сравнении с аналогичным товаром в зарубежных странах с учетом обеспечения необходимых условий транспортировки, уровня потенциального риска для покупателей в случае приобретения контрафактной продукции, доступности товара для потребителя и иных факторов. </w:t>
      </w:r>
    </w:p>
    <w:p w14:paraId="280DE714"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Times New Roman" w:hAnsi="Times New Roman" w:cs="Times New Roman"/>
          <w:sz w:val="28"/>
          <w:szCs w:val="28"/>
          <w:lang w:eastAsia="ar-SA"/>
        </w:rPr>
        <w:t>Указанная инициатива была рассмотрена в ходе заседания Евразийского межправительственного совета, состоявшегося 27 ноября 2018 года в                              г. Минске (Республика Беларусь). С учетом состоявшегося обсуждения работа по совершенствованию режима исчерпания исключительных прав на товарный знак на территории ЕАЭС продолжается.</w:t>
      </w:r>
    </w:p>
    <w:p w14:paraId="3866B93E" w14:textId="77777777" w:rsidR="00A054BC" w:rsidRPr="00A054BC" w:rsidRDefault="00A054BC" w:rsidP="00A054BC">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A054BC">
        <w:rPr>
          <w:rFonts w:ascii="Times New Roman" w:eastAsia="Times New Roman" w:hAnsi="Times New Roman" w:cs="Times New Roman"/>
          <w:sz w:val="28"/>
          <w:szCs w:val="28"/>
          <w:lang w:eastAsia="ar-SA"/>
        </w:rPr>
        <w:t xml:space="preserve">Интенсивно в 2018 году проходила работа в формате </w:t>
      </w:r>
      <w:r w:rsidRPr="00A054BC">
        <w:rPr>
          <w:rFonts w:ascii="Times New Roman" w:eastAsia="Times New Roman" w:hAnsi="Times New Roman" w:cs="Times New Roman"/>
          <w:b/>
          <w:sz w:val="28"/>
          <w:szCs w:val="28"/>
          <w:lang w:eastAsia="ar-SA"/>
        </w:rPr>
        <w:t>БРИКС</w:t>
      </w:r>
      <w:r w:rsidRPr="00A054BC">
        <w:rPr>
          <w:rFonts w:ascii="Times New Roman" w:eastAsia="Times New Roman" w:hAnsi="Times New Roman" w:cs="Times New Roman"/>
          <w:sz w:val="28"/>
          <w:szCs w:val="28"/>
          <w:lang w:eastAsia="ar-SA"/>
        </w:rPr>
        <w:t xml:space="preserve">. Традиционно состоялось два заседания </w:t>
      </w:r>
      <w:r w:rsidRPr="00A054BC">
        <w:rPr>
          <w:rFonts w:ascii="Times New Roman" w:eastAsia="Times New Roman" w:hAnsi="Times New Roman" w:cs="Times New Roman"/>
          <w:bCs/>
          <w:sz w:val="28"/>
          <w:szCs w:val="28"/>
          <w:lang w:eastAsia="ar-SA"/>
        </w:rPr>
        <w:t xml:space="preserve">Координационного комитета БРИКС по антимонопольной политике, в состав которого входят руководители конкурентных ведомств объединения, в рамках заседаний которого обсуждаются итоги и перспективные направления совместной работы антимонопольных органов БРИКС. Заседания прошли марте 2018 года в </w:t>
      </w:r>
      <w:r w:rsidRPr="00A054BC">
        <w:rPr>
          <w:rFonts w:ascii="Times New Roman" w:eastAsia="Times New Roman" w:hAnsi="Times New Roman" w:cs="Times New Roman"/>
          <w:sz w:val="28"/>
          <w:szCs w:val="28"/>
          <w:lang w:eastAsia="ar-SA"/>
        </w:rPr>
        <w:t>г. Нью-Дели (Индия) и в сентябре 2018 года в г. Сочи.</w:t>
      </w:r>
    </w:p>
    <w:p w14:paraId="57DD443B"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bCs/>
          <w:sz w:val="28"/>
          <w:szCs w:val="28"/>
          <w:lang w:eastAsia="ar-SA"/>
        </w:rPr>
        <w:t xml:space="preserve">В сентябре 2018 года в Сочи также состоялось заседание </w:t>
      </w:r>
      <w:r w:rsidRPr="00A054BC">
        <w:rPr>
          <w:rFonts w:ascii="Times New Roman" w:eastAsia="Cambria" w:hAnsi="Times New Roman" w:cs="Times New Roman"/>
          <w:sz w:val="28"/>
          <w:szCs w:val="28"/>
          <w:lang w:eastAsia="ar-SA"/>
        </w:rPr>
        <w:t>Рабочей группы БРИКС по исследованию проблем конкуренции в фармацевтическом секторе, основной темой которого являлась тема: «Антиконкурентные практики глобальных игроков фармацевтического рынка (</w:t>
      </w:r>
      <w:r w:rsidRPr="00A054BC">
        <w:rPr>
          <w:rFonts w:ascii="Times New Roman" w:eastAsia="Cambria" w:hAnsi="Times New Roman" w:cs="Times New Roman"/>
          <w:sz w:val="28"/>
          <w:szCs w:val="28"/>
          <w:lang w:val="en-US" w:eastAsia="ar-SA"/>
        </w:rPr>
        <w:t>Big</w:t>
      </w:r>
      <w:r w:rsidRPr="00A054BC">
        <w:rPr>
          <w:rFonts w:ascii="Times New Roman" w:eastAsia="Cambria" w:hAnsi="Times New Roman" w:cs="Times New Roman"/>
          <w:sz w:val="28"/>
          <w:szCs w:val="28"/>
          <w:lang w:eastAsia="ar-SA"/>
        </w:rPr>
        <w:t xml:space="preserve"> </w:t>
      </w:r>
      <w:r w:rsidRPr="00A054BC">
        <w:rPr>
          <w:rFonts w:ascii="Times New Roman" w:eastAsia="Cambria" w:hAnsi="Times New Roman" w:cs="Times New Roman"/>
          <w:sz w:val="28"/>
          <w:szCs w:val="28"/>
          <w:lang w:val="en-US" w:eastAsia="ar-SA"/>
        </w:rPr>
        <w:t>Pharma</w:t>
      </w:r>
      <w:r w:rsidRPr="00A054BC">
        <w:rPr>
          <w:rFonts w:ascii="Times New Roman" w:eastAsia="Cambria" w:hAnsi="Times New Roman" w:cs="Times New Roman"/>
          <w:sz w:val="28"/>
          <w:szCs w:val="28"/>
          <w:lang w:eastAsia="ar-SA"/>
        </w:rPr>
        <w:t>): ответ антимонопольных ведомств стран БРИКС+». Впервые заседание данной Рабочей группы проходило в формате круглого стола с участием не только антимонопольных регуляторов БРИКС, но и руководства международного фармацевтического бизнеса.</w:t>
      </w:r>
    </w:p>
    <w:p w14:paraId="5E8F7AED"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октябре 2018 года в г. Сан-Паулу (Бразилия) состоялось первое заседание Рабочей группы БРИКС по исследованию проблем конкуренции на цифровых рынках на тему: «Конкурентная политика и цифровая экономика: как конкурентные ведомства БРИКС борются с новыми вызовами?», участие в котором прияли представители ФАС России.</w:t>
      </w:r>
    </w:p>
    <w:p w14:paraId="416BBABA" w14:textId="77777777" w:rsidR="00A054BC" w:rsidRPr="00A054BC" w:rsidRDefault="00A054BC" w:rsidP="00A054BC">
      <w:pPr>
        <w:suppressAutoHyphens/>
        <w:spacing w:after="0" w:line="240" w:lineRule="auto"/>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ab/>
        <w:t>В течение 2018 года представители антимонопольных органов БРИКС принимали активное участие в международных мероприятиях, организованных непосредственно ФАС России или с ее участием, проходивших в России (Петербургский международный юридический форум, Международное мероприятие «Неделя конкуренции в России», Международная научно-практическая Конференция Антимонопольная политика: наука, практика, образование). Ряд встреч прошел по инициативе ФАС России на международных площадках, в частности в рамках заседаний Комитета по конкуренции ОЭСР, заседания Межправительственной группы экспертов по законодательству и политике в области конкуренции ЮНКТАД.</w:t>
      </w:r>
    </w:p>
    <w:p w14:paraId="5CE7493C" w14:textId="77777777" w:rsidR="00A054BC" w:rsidRPr="00A054BC" w:rsidRDefault="00A054BC" w:rsidP="00A054BC">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Times New Roman" w:hAnsi="Times New Roman" w:cs="Times New Roman"/>
          <w:sz w:val="28"/>
          <w:szCs w:val="28"/>
          <w:lang w:eastAsia="ar-SA"/>
        </w:rPr>
        <w:t>Отдельное следует отметить дальнейшее развитие практического взаимодействия антимонопольных органов БРИКС при правоприменении, в частности при рассмотрении глобальных сделок экономической концентрации. В 2018 году такое взаимодействие осуществлялось в рамках рассмотрения антимонопольными органами ряда стран мира, в том числе стран БРИКС, сделки по приобретению компанией «Байер АГ» (Германия) голосующих акций компании «Монсанто Кампани» (США). Целью такого взаимодействия являлись обмен опытом и подходами к рассмотрению сделки.</w:t>
      </w:r>
    </w:p>
    <w:p w14:paraId="2FF17091" w14:textId="77777777" w:rsidR="00A054BC" w:rsidRPr="00A054BC" w:rsidRDefault="00A054BC" w:rsidP="00A054BC">
      <w:pPr>
        <w:suppressAutoHyphens/>
        <w:spacing w:after="0" w:line="240" w:lineRule="auto"/>
        <w:ind w:right="-1"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Кроме того, 2018 год стал годом начала подготовки к ключевому мероприятию антимонопольных органов БРИКС – Конференции по конкуренции под эгидой БРИКС. Начиная с 2009 года, после проведения по инициативе ФАС России первой конференции в г. Казани, данная конференция стала регулярной и проходит один раз в два года поочередно в странах Объединения.</w:t>
      </w:r>
    </w:p>
    <w:p w14:paraId="5C78487C" w14:textId="77777777" w:rsidR="00A054BC" w:rsidRPr="00A054BC" w:rsidRDefault="00A054BC" w:rsidP="00A054BC">
      <w:pPr>
        <w:suppressAutoHyphens/>
        <w:spacing w:after="0" w:line="240" w:lineRule="auto"/>
        <w:ind w:right="-1"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 xml:space="preserve">В целях проведения </w:t>
      </w:r>
      <w:r w:rsidRPr="00A054BC">
        <w:rPr>
          <w:rFonts w:ascii="Times New Roman" w:eastAsia="Cambria" w:hAnsi="Times New Roman" w:cs="Times New Roman"/>
          <w:sz w:val="28"/>
          <w:szCs w:val="28"/>
          <w:lang w:val="en-US" w:eastAsia="ar-SA"/>
        </w:rPr>
        <w:t>VI</w:t>
      </w:r>
      <w:r w:rsidRPr="00A054BC">
        <w:rPr>
          <w:rFonts w:ascii="Times New Roman" w:eastAsia="Cambria" w:hAnsi="Times New Roman" w:cs="Times New Roman"/>
          <w:sz w:val="28"/>
          <w:szCs w:val="28"/>
          <w:lang w:eastAsia="ar-SA"/>
        </w:rPr>
        <w:t xml:space="preserve"> Конференции в Москве в сентябре 2019 года принято распоряжение Правительства Российской Федерации от 23.02.2018    № 309-р, сформирован Организационный комитет по подготовке и проведению конференции.</w:t>
      </w:r>
    </w:p>
    <w:p w14:paraId="0D81A6C6" w14:textId="77777777" w:rsidR="00A054BC" w:rsidRPr="00A054BC" w:rsidRDefault="00A054BC" w:rsidP="00A054BC">
      <w:pPr>
        <w:suppressAutoHyphens/>
        <w:spacing w:after="0" w:line="240" w:lineRule="auto"/>
        <w:ind w:right="-1"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Совместно с партнерами по БРИКС сформирована программа Конференции, решен ряд вопросов организационно-технического характера.</w:t>
      </w:r>
    </w:p>
    <w:p w14:paraId="41E7B8B8" w14:textId="77777777" w:rsidR="00A054BC" w:rsidRPr="00A054BC" w:rsidRDefault="00A054BC" w:rsidP="00A054BC">
      <w:pPr>
        <w:suppressAutoHyphens/>
        <w:spacing w:after="0" w:line="240" w:lineRule="auto"/>
        <w:ind w:right="-1"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Проведение Конференции БРИКС станет важным этапом в подготовке к председательству России в БРИКС в 2020 году, участие в подготовке концепции и плана которого ФАС России также принимала активное участие в 2018 году.</w:t>
      </w:r>
    </w:p>
    <w:p w14:paraId="71A64CEC"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Важным событием 2018 года в рамках сотрудничества в формате БРИКС стало начало функционирования на базе Национального исследовательского университета «Высшая школа экономики» Антимонопольного центра БРИКС (далее – Центр БРИКС).</w:t>
      </w:r>
    </w:p>
    <w:p w14:paraId="13E1F106"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2017 году Президент Российской Федерации В.В. Путин поддержал идею ФАС России по созданию в России международного центра БРИКС в сфере антимонопольного права и политики (Указание Президента Российской Федерации от 26.04.2017 № Пр-813). Начиная с этого времени ФАС России проводилась проработка возможности создания такого центра.</w:t>
      </w:r>
    </w:p>
    <w:p w14:paraId="5DE82D3F"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Деятельность Центра БРИКС призвана стать важным подспорьем в работе конкурентных ведомств объединения по обеспечению справедливых правил игры на социально-значимых рынках и созданию условий для более эффективного развития конкурентной среды на всем пространстве БРИКС, а также способствовать институционализации сотрудничества антимонопольных ведомств и научных кругов стран БРИКС.</w:t>
      </w:r>
    </w:p>
    <w:p w14:paraId="2F1CC153"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 xml:space="preserve">В 2017 году продолжило развиваться международное сотрудничество ФАС России в рамках деятельности </w:t>
      </w:r>
      <w:r w:rsidRPr="00A054BC">
        <w:rPr>
          <w:rFonts w:ascii="Times New Roman" w:eastAsia="Cambria" w:hAnsi="Times New Roman" w:cs="Times New Roman"/>
          <w:b/>
          <w:sz w:val="28"/>
          <w:szCs w:val="28"/>
          <w:lang w:eastAsia="ar-SA"/>
        </w:rPr>
        <w:t>Региональной ассоциации органов регулирования энергетики (ЭРРА)</w:t>
      </w:r>
      <w:r w:rsidRPr="00A054BC">
        <w:rPr>
          <w:rFonts w:ascii="Times New Roman" w:eastAsia="Cambria" w:hAnsi="Times New Roman" w:cs="Times New Roman"/>
          <w:sz w:val="28"/>
          <w:szCs w:val="28"/>
          <w:lang w:eastAsia="ar-SA"/>
        </w:rPr>
        <w:t>, действительным членом которой в соответствии с распоряжением Правительства Российской Федерации</w:t>
      </w:r>
      <w:r w:rsidRPr="00A054BC">
        <w:rPr>
          <w:rFonts w:ascii="Times New Roman" w:eastAsia="Cambria" w:hAnsi="Times New Roman" w:cs="Times New Roman"/>
          <w:b/>
          <w:sz w:val="28"/>
          <w:szCs w:val="28"/>
          <w:lang w:eastAsia="ar-SA"/>
        </w:rPr>
        <w:t xml:space="preserve"> </w:t>
      </w:r>
      <w:r w:rsidRPr="00A054BC">
        <w:rPr>
          <w:rFonts w:ascii="Times New Roman" w:eastAsia="Cambria" w:hAnsi="Times New Roman" w:cs="Times New Roman"/>
          <w:sz w:val="28"/>
          <w:szCs w:val="28"/>
          <w:lang w:eastAsia="ar-SA"/>
        </w:rPr>
        <w:t>от 04 марта 2016 года № 378-р является ФАС России.</w:t>
      </w:r>
    </w:p>
    <w:p w14:paraId="7D315528"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течение прошедшего года представители ФАС России принимали активное участие в работе ЭРРА, участвовали и выступили с докладами на заседании Общего собрания ЭРРА, заседаниях Комитета по лицензированию и конкуренции, Рабочей группы по вопросам потребителей и розничных рынков, а также заседании Председателей ЭРРА.</w:t>
      </w:r>
    </w:p>
    <w:p w14:paraId="689CCEB9" w14:textId="77777777" w:rsidR="00A054BC" w:rsidRPr="00A054BC" w:rsidRDefault="00A054BC" w:rsidP="00A054BC">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A054BC">
        <w:rPr>
          <w:rFonts w:ascii="Times New Roman" w:eastAsia="Cambria" w:hAnsi="Times New Roman" w:cs="Times New Roman"/>
          <w:sz w:val="28"/>
          <w:szCs w:val="28"/>
          <w:lang w:eastAsia="ar-SA"/>
        </w:rPr>
        <w:t>Следует отметить, что впервые Общее собрание ЭРРА и заседание Председателей ЭРРА прошли в России, в г. Сочи в апреле 2018 года и были организованы при содействии ФАС России.</w:t>
      </w:r>
    </w:p>
    <w:p w14:paraId="62B37E53" w14:textId="77777777" w:rsidR="00A054BC" w:rsidRPr="00A054BC" w:rsidRDefault="00A054BC" w:rsidP="00A054BC">
      <w:pPr>
        <w:suppressAutoHyphens/>
        <w:spacing w:after="0" w:line="240" w:lineRule="auto"/>
        <w:ind w:firstLine="709"/>
        <w:jc w:val="both"/>
        <w:rPr>
          <w:rFonts w:ascii="Cambria" w:eastAsia="Cambria" w:hAnsi="Cambria" w:cs="Cambria"/>
          <w:sz w:val="28"/>
          <w:szCs w:val="28"/>
          <w:lang w:eastAsia="ar-SA"/>
        </w:rPr>
      </w:pPr>
      <w:r w:rsidRPr="00A054BC">
        <w:rPr>
          <w:rFonts w:ascii="Times New Roman" w:eastAsia="Times New Roman" w:hAnsi="Times New Roman" w:cs="Times New Roman"/>
          <w:color w:val="000000"/>
          <w:sz w:val="28"/>
          <w:szCs w:val="28"/>
          <w:lang w:eastAsia="ar-SA"/>
        </w:rPr>
        <w:t>Получило дальнейшее развитие</w:t>
      </w:r>
      <w:r w:rsidRPr="00A054BC">
        <w:rPr>
          <w:rFonts w:ascii="Times New Roman" w:eastAsia="Times New Roman" w:hAnsi="Times New Roman" w:cs="Times New Roman"/>
          <w:b/>
          <w:color w:val="000000"/>
          <w:sz w:val="28"/>
          <w:szCs w:val="28"/>
          <w:lang w:eastAsia="ar-SA"/>
        </w:rPr>
        <w:t xml:space="preserve"> двустороннее сотрудничество с антимонопольными ведомствами зарубежных стран.</w:t>
      </w:r>
    </w:p>
    <w:p w14:paraId="1B021E4E"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Times New Roman" w:hAnsi="Times New Roman" w:cs="Times New Roman"/>
          <w:sz w:val="28"/>
          <w:szCs w:val="28"/>
          <w:lang w:eastAsia="ar-SA"/>
        </w:rPr>
        <w:t>К настоящему времени российский антимонопольный орган имеет значительный договорной портфель, расширяя который ФАС России исходит из понимания необходимости заключения соглашений с зарубежными партнерами, закрепляющих современные механизмы сотрудничества при правоприменении.</w:t>
      </w:r>
    </w:p>
    <w:p w14:paraId="3B515C3F"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shd w:val="clear" w:color="auto" w:fill="FFFFFF"/>
          <w:lang w:eastAsia="ar-SA"/>
        </w:rPr>
      </w:pPr>
      <w:r w:rsidRPr="00A054BC">
        <w:rPr>
          <w:rFonts w:ascii="Times New Roman" w:eastAsia="Times New Roman" w:hAnsi="Times New Roman" w:cs="Times New Roman"/>
          <w:sz w:val="28"/>
          <w:szCs w:val="28"/>
          <w:lang w:eastAsia="ar-SA"/>
        </w:rPr>
        <w:t xml:space="preserve">Важным событием 2018 года стала реализации договоренности о разработке и подписании </w:t>
      </w:r>
      <w:r w:rsidRPr="00A054BC">
        <w:rPr>
          <w:rFonts w:ascii="Times New Roman" w:eastAsia="Times New Roman" w:hAnsi="Times New Roman" w:cs="Times New Roman"/>
          <w:sz w:val="28"/>
          <w:szCs w:val="28"/>
          <w:shd w:val="clear" w:color="auto" w:fill="FFFFFF"/>
          <w:lang w:eastAsia="ar-SA"/>
        </w:rPr>
        <w:t>Соглашения между Правительством Российской Федерации и Правительством Республики Беларусь о сотрудничестве в области защиты конкуренции (далее – Соглашение). К концу 2018 года в двух странах были завершены внутригосударственные процедуры, необходимые для подписания Соглашения (в Российской Федерации принято распоряжение Правительства Российской Федерации от 27 сентября 2018 года № 2051-р). 27 февраля 2019 года на площадке ФАС России Соглашение было подписано.</w:t>
      </w:r>
    </w:p>
    <w:p w14:paraId="3B4CA26C" w14:textId="77777777" w:rsidR="00A054BC" w:rsidRPr="00A054BC" w:rsidRDefault="00A054BC" w:rsidP="00A054BC">
      <w:pPr>
        <w:suppressAutoHyphens/>
        <w:spacing w:after="0" w:line="240" w:lineRule="auto"/>
        <w:ind w:firstLine="709"/>
        <w:jc w:val="both"/>
        <w:rPr>
          <w:rFonts w:ascii="Cambria" w:eastAsia="Cambria" w:hAnsi="Cambria" w:cs="Cambria"/>
          <w:sz w:val="28"/>
          <w:szCs w:val="28"/>
          <w:lang w:eastAsia="ar-SA"/>
        </w:rPr>
      </w:pPr>
      <w:r w:rsidRPr="00A054BC">
        <w:rPr>
          <w:rFonts w:ascii="Times New Roman" w:eastAsia="Cambria" w:hAnsi="Times New Roman" w:cs="Times New Roman"/>
          <w:sz w:val="28"/>
          <w:szCs w:val="28"/>
          <w:shd w:val="clear" w:color="auto" w:fill="FFFFFF"/>
          <w:lang w:eastAsia="ar-SA"/>
        </w:rPr>
        <w:t xml:space="preserve">Целью Соглашения является создание правовой основы для осуществления практического взаимодействия антимонопольных органов двух стран при правоприменении. Соглашение закрепило такие формы взаимодействия как </w:t>
      </w:r>
      <w:r w:rsidRPr="00A054BC">
        <w:rPr>
          <w:rFonts w:ascii="Times New Roman" w:eastAsia="Cambria" w:hAnsi="Times New Roman" w:cs="Times New Roman"/>
          <w:sz w:val="28"/>
          <w:szCs w:val="28"/>
          <w:lang w:eastAsia="ar-SA"/>
        </w:rPr>
        <w:t>обмен информацией, в том числе конфиденциальной, направление уведомлений, запросов о предоставлении информации и документов, поручений о проведении отдельных процессуальных действий и об осуществлении правоприменительной деятельности, а также предложений о координации правоприменительной деятельности. Соглашение предусматривает подробное раскрытие условий применения каждой из содержащихся в нем форм взаимодействия при правоприменении.</w:t>
      </w:r>
    </w:p>
    <w:p w14:paraId="05FFD24B"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Times New Roman" w:hAnsi="Times New Roman" w:cs="Times New Roman"/>
          <w:sz w:val="28"/>
          <w:szCs w:val="28"/>
          <w:lang w:eastAsia="ar-SA"/>
        </w:rPr>
        <w:t>Важным представляется тот факт, что Соглашение в отличие от Договора о Евразийском экономическом союзе 29.05.2014 определяет сферу его распространения не только на отношения хозяйствующих субъектов государств сторон, но и на отношения хозяйствующих субъектов третьих стран, деятельность которых оказывает влияние на состояние конкуренции на рынках государств сторон.</w:t>
      </w:r>
    </w:p>
    <w:p w14:paraId="42333E8B"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Times New Roman" w:hAnsi="Times New Roman" w:cs="Times New Roman"/>
          <w:sz w:val="28"/>
          <w:szCs w:val="28"/>
          <w:lang w:eastAsia="ar-SA"/>
        </w:rPr>
        <w:t xml:space="preserve">Таким образом, Соглашение стало первым двусторонним международным договором, закрепляющим </w:t>
      </w:r>
      <w:r w:rsidRPr="00A054BC">
        <w:rPr>
          <w:rFonts w:ascii="Times New Roman" w:eastAsia="Cambria" w:hAnsi="Times New Roman" w:cs="Times New Roman"/>
          <w:sz w:val="28"/>
          <w:szCs w:val="28"/>
          <w:lang w:eastAsia="ar-SA"/>
        </w:rPr>
        <w:t>столь прогрессивные механизмы сотрудничества антимонопольных органов при правоприменении.</w:t>
      </w:r>
    </w:p>
    <w:p w14:paraId="42F33649" w14:textId="77777777" w:rsidR="00A054BC" w:rsidRPr="00A054BC" w:rsidRDefault="00A054BC" w:rsidP="00A054BC">
      <w:pPr>
        <w:suppressAutoHyphens/>
        <w:spacing w:after="0" w:line="240" w:lineRule="auto"/>
        <w:ind w:firstLine="709"/>
        <w:jc w:val="both"/>
        <w:rPr>
          <w:rFonts w:ascii="Cambria" w:eastAsia="Cambria" w:hAnsi="Cambria" w:cs="Cambria"/>
          <w:color w:val="000000"/>
          <w:szCs w:val="28"/>
          <w:lang w:eastAsia="ar-SA"/>
        </w:rPr>
      </w:pPr>
      <w:r w:rsidRPr="00A054BC">
        <w:rPr>
          <w:rFonts w:ascii="Times New Roman" w:eastAsia="Cambria" w:hAnsi="Times New Roman" w:cs="Times New Roman"/>
          <w:sz w:val="28"/>
          <w:szCs w:val="28"/>
          <w:lang w:eastAsia="ar-SA"/>
        </w:rPr>
        <w:t>Еще одним документом, подписанным в рамках двустороннего сотрудничества антимонопольных органов государств-участников СНГ, стал Меморандум о взаимопонимании и сотрудничестве в области антимонопольной политики между Федеральной антимонопольной службой (Российская Федерация) и Антимонопольной службой при Правительстве Республики Таджикистан, подписанный в г. Душанбе в мае 2018 года.</w:t>
      </w:r>
    </w:p>
    <w:p w14:paraId="0776558E"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Times New Roman" w:hAnsi="Times New Roman" w:cs="Times New Roman"/>
          <w:color w:val="000000"/>
          <w:sz w:val="28"/>
          <w:szCs w:val="28"/>
          <w:lang w:eastAsia="ar-SA"/>
        </w:rPr>
        <w:t>Продолжало развиваться сотрудничество ФАС России с зарубежными конкурентными ведомствами в рамках реализации ранее заключенных двусторонних документов. Формами реализации такого сотрудничества являлись обмен информацией, проведение консультаций в рамках правоприменительной деятельности, традиционно состоялся ряд встреч экспертов ФАС России в конкурентных ведомствах Болгарии, Венгрии, Финляндии, Сербии.</w:t>
      </w:r>
    </w:p>
    <w:p w14:paraId="61BCE38E"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color w:val="000000"/>
          <w:sz w:val="28"/>
          <w:szCs w:val="28"/>
          <w:lang w:eastAsia="ar-SA"/>
        </w:rPr>
      </w:pPr>
      <w:r w:rsidRPr="00A054BC">
        <w:rPr>
          <w:rFonts w:ascii="Times New Roman" w:eastAsia="Cambria" w:hAnsi="Times New Roman" w:cs="Times New Roman"/>
          <w:sz w:val="28"/>
          <w:szCs w:val="28"/>
          <w:lang w:eastAsia="ar-SA"/>
        </w:rPr>
        <w:t>В свою очередь представители ряда конкурентных ведомств таких стран, как Австрия, Азербайджан, Армения, Беларусь, Болгария, Чехия, Турция, Казахстан, Кыргызстан, Таджикистан, Узбекистан, Эстония приняли участие в ежегодно организуемой ФАС России стажировке, которая прошла в марте 2018 года в г. Казани на базе Учебно-методического центра ФАС России. Тема стажировки – «Новые подходы к определению рынков при проведении антимонопольных расследований».</w:t>
      </w:r>
    </w:p>
    <w:p w14:paraId="2672968E" w14:textId="77777777" w:rsidR="00A054BC" w:rsidRPr="00A054BC" w:rsidRDefault="00A054BC" w:rsidP="00A054BC">
      <w:pPr>
        <w:suppressAutoHyphens/>
        <w:spacing w:after="0" w:line="240" w:lineRule="auto"/>
        <w:ind w:firstLine="709"/>
        <w:jc w:val="both"/>
        <w:rPr>
          <w:rFonts w:ascii="Times New Roman" w:eastAsia="ヒラギノ角ゴ Pro W3" w:hAnsi="Times New Roman" w:cs="Times New Roman"/>
          <w:color w:val="000000"/>
          <w:sz w:val="28"/>
          <w:szCs w:val="28"/>
          <w:lang w:eastAsia="ar-SA"/>
        </w:rPr>
      </w:pPr>
      <w:r w:rsidRPr="00A054BC">
        <w:rPr>
          <w:rFonts w:ascii="Times New Roman" w:eastAsia="Cambria" w:hAnsi="Times New Roman" w:cs="Times New Roman"/>
          <w:color w:val="000000"/>
          <w:sz w:val="28"/>
          <w:szCs w:val="28"/>
          <w:lang w:eastAsia="ar-SA"/>
        </w:rPr>
        <w:t>Целью проведения мероприятий такого формата является не только изучение опыта стран, проводящих стажировки в конкретных областях антимонопольного регулирования, но и адвокатирование конкуренции, обмен опытом между участниками в форме прямого диалога. Подобного рода мероприятия также способствуют установлению рабочих контактов между специалистами антимонопольных органов, обеспечивая при необходимости оперативное решение вопросов, возникающих в практической деятельности.</w:t>
      </w:r>
    </w:p>
    <w:p w14:paraId="15068281" w14:textId="77777777" w:rsidR="00A054BC" w:rsidRPr="00A054BC" w:rsidRDefault="00A054BC" w:rsidP="00A054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lang w:eastAsia="ar-SA"/>
        </w:rPr>
      </w:pPr>
      <w:r w:rsidRPr="00A054BC">
        <w:rPr>
          <w:rFonts w:ascii="Times New Roman" w:eastAsia="ヒラギノ角ゴ Pro W3" w:hAnsi="Times New Roman" w:cs="Times New Roman"/>
          <w:color w:val="000000"/>
          <w:sz w:val="28"/>
          <w:szCs w:val="28"/>
          <w:lang w:eastAsia="ar-SA"/>
        </w:rPr>
        <w:tab/>
        <w:t xml:space="preserve">В 2018 году была </w:t>
      </w:r>
      <w:r w:rsidRPr="00A054BC">
        <w:rPr>
          <w:rFonts w:ascii="Times New Roman" w:eastAsia="ヒラギノ角ゴ Pro W3" w:hAnsi="Times New Roman" w:cs="Times New Roman"/>
          <w:b/>
          <w:color w:val="000000"/>
          <w:sz w:val="28"/>
          <w:szCs w:val="28"/>
          <w:lang w:eastAsia="ar-SA"/>
        </w:rPr>
        <w:t>продолжена работа по повышению узнаваемости ФАС России в глазах широкого международного сообщества</w:t>
      </w:r>
      <w:r w:rsidRPr="00A054BC">
        <w:rPr>
          <w:rFonts w:ascii="Times New Roman" w:eastAsia="ヒラギノ角ゴ Pro W3" w:hAnsi="Times New Roman" w:cs="Times New Roman"/>
          <w:color w:val="000000"/>
          <w:sz w:val="28"/>
          <w:szCs w:val="28"/>
          <w:lang w:eastAsia="ar-SA"/>
        </w:rPr>
        <w:t xml:space="preserve"> (включая научное сообщество, зарубежные конкурентные ведомства и тарифные регуляторы, экспертов и другие заинтересованные стороны), усиления присутствия ФАС России в зарубежном информационном пространстве и повышения значимости мнения Службы при обсуждении вопросов глобальной конкурентной повестки</w:t>
      </w:r>
      <w:r w:rsidRPr="00A054BC">
        <w:rPr>
          <w:rFonts w:ascii="Times New Roman" w:eastAsia="Cambria" w:hAnsi="Times New Roman" w:cs="Times New Roman"/>
          <w:sz w:val="28"/>
          <w:szCs w:val="28"/>
          <w:lang w:eastAsia="ar-SA"/>
        </w:rPr>
        <w:t xml:space="preserve"> и как результат – повышение авторитета России на мировой арене.</w:t>
      </w:r>
    </w:p>
    <w:p w14:paraId="35C95C31"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Одним из направлений данной работы является участие ФАС России в Рейтинге эффективности деятельности конкурентных ведомств, публикуемым изданием «Всемирный обзор по конкуренции» (ВОК) (далее – Рейтинг).</w:t>
      </w:r>
    </w:p>
    <w:p w14:paraId="08E288AA"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Рейтинг является результатом ежегодного исследования деятельности мировых лидеров среди конкурентных ведомств. В него включены только ведущие конкурентные ведомства, чья правоприменительная практика соответствуют высоким мировым стандартам.</w:t>
      </w:r>
    </w:p>
    <w:p w14:paraId="75A19275"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Рейтинг ВОК позволяет получить оценку деятельности ФАС России со стороны представителей зарубежной и российской юридической и деловой общественности, привлекаемых ВОК к участию в работе по подготовке Рейтинга.</w:t>
      </w:r>
    </w:p>
    <w:p w14:paraId="527C9541" w14:textId="77777777" w:rsidR="00A054BC" w:rsidRPr="00A054BC" w:rsidRDefault="00A054BC" w:rsidP="00A054BC">
      <w:pPr>
        <w:suppressAutoHyphens/>
        <w:autoSpaceDE w:val="0"/>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Эксперты, привлекаемые ВОК для работы по составлению Рейтинга, оценивают эффективность деятельности каждого ведомства в таких областях, как контроль слияний, предупреждение и расследование картельных сговоров, злоупотреблений доминирующим положением, работа по адвокатированию конкуренции и др.</w:t>
      </w:r>
    </w:p>
    <w:p w14:paraId="1076B71B" w14:textId="77777777" w:rsidR="00A054BC" w:rsidRPr="00A054BC" w:rsidRDefault="00A054BC" w:rsidP="00A054BC">
      <w:pPr>
        <w:suppressAutoHyphens/>
        <w:spacing w:after="0" w:line="240" w:lineRule="auto"/>
        <w:ind w:firstLine="709"/>
        <w:jc w:val="both"/>
        <w:rPr>
          <w:rFonts w:ascii="Cambria" w:eastAsia="Cambria" w:hAnsi="Cambria" w:cs="Cambria"/>
          <w:sz w:val="28"/>
          <w:szCs w:val="28"/>
          <w:lang w:eastAsia="ar-SA"/>
        </w:rPr>
      </w:pPr>
      <w:r w:rsidRPr="00A054BC">
        <w:rPr>
          <w:rFonts w:ascii="Times New Roman" w:eastAsia="Cambria" w:hAnsi="Times New Roman" w:cs="Times New Roman"/>
          <w:sz w:val="28"/>
          <w:szCs w:val="28"/>
          <w:lang w:eastAsia="ar-SA"/>
        </w:rPr>
        <w:t xml:space="preserve">Оценка в рамках Рейтинга осуществляется по 5-ти балльной шкале с разбивкой ведомств по количеству баллов (звёзд) на группы: элита, очень хорошо, хорошо и удовлетворительно. </w:t>
      </w:r>
    </w:p>
    <w:p w14:paraId="355B4E24"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Times New Roman" w:hAnsi="Times New Roman" w:cs="Times New Roman"/>
          <w:sz w:val="28"/>
          <w:szCs w:val="28"/>
          <w:lang w:eastAsia="ar-SA"/>
        </w:rPr>
        <w:t>В 2017 году в Рейтинге участвовало 38 конкурентных ведомств. Из Рейтинга выбыло Конкурентное ведомство Пакистана, однако вошла Комиссия по конкуренции ЮАР, получившая 3 звезды. Позиции других антимонопольных органов также немного изменились. Дополнительные ползвезды получили конкурентные ведомства таких стран, как Португалия (3,5), Мексика (3,5), Бельгия (3* и Индия (2,5). На ползвезды понизились позиции в Рейтинге у конкурентных ведомств Нидерландов (3* и Польши (2,5).</w:t>
      </w:r>
    </w:p>
    <w:p w14:paraId="0AD191EC"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Times New Roman" w:hAnsi="Times New Roman" w:cs="Times New Roman"/>
          <w:sz w:val="28"/>
          <w:szCs w:val="28"/>
          <w:lang w:eastAsia="ar-SA"/>
        </w:rPr>
        <w:t xml:space="preserve">По итогам 2017 года ФАС России по-прежнему получила 3 звезды (оценка «хорошо»). ВОК охарактеризовал результативность деятельности ведомства как «стабильную». </w:t>
      </w:r>
    </w:p>
    <w:p w14:paraId="24D7D238"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Times New Roman" w:hAnsi="Times New Roman" w:cs="Times New Roman"/>
          <w:sz w:val="28"/>
          <w:szCs w:val="28"/>
          <w:lang w:eastAsia="ar-SA"/>
        </w:rPr>
        <w:t>Вместе с тем следует отметить, что в 2017 году снова изменились границы распределения мест между ведомствами. Учитывая подъем Португалии и Мексики на уровень 3,5 звезд, ФАС России теперь занимает место в диапазоне 19 — 33 (в 2016 году диапазон ведомств с тремя звездами начинался с 18 места, а в период с 2011 по 2015 гг. - с 17 места).</w:t>
      </w:r>
    </w:p>
    <w:p w14:paraId="06A86CC3" w14:textId="77777777" w:rsidR="00A054BC" w:rsidRPr="00A054BC" w:rsidRDefault="00A054BC" w:rsidP="00A054BC">
      <w:pPr>
        <w:suppressAutoHyphens/>
        <w:spacing w:after="0" w:line="240" w:lineRule="auto"/>
        <w:ind w:firstLine="709"/>
        <w:jc w:val="both"/>
        <w:rPr>
          <w:rFonts w:ascii="Times New Roman" w:eastAsia="Times New Roman" w:hAnsi="Times New Roman" w:cs="Times New Roman"/>
          <w:sz w:val="28"/>
          <w:szCs w:val="28"/>
          <w:lang w:eastAsia="ar-SA"/>
        </w:rPr>
      </w:pPr>
      <w:r w:rsidRPr="00A054BC">
        <w:rPr>
          <w:rFonts w:ascii="Times New Roman" w:eastAsia="Times New Roman" w:hAnsi="Times New Roman" w:cs="Times New Roman"/>
          <w:sz w:val="28"/>
          <w:szCs w:val="28"/>
          <w:lang w:eastAsia="ar-SA"/>
        </w:rPr>
        <w:t>ФАС России входит в одну группу конкурентных ведомств, получивших 3 звезды, таких стран как Австрия, Бельгия, Израиль, Сингапур, Турция Финляндия, Чили, ЮАР и др.</w:t>
      </w:r>
    </w:p>
    <w:p w14:paraId="06613415" w14:textId="77777777" w:rsidR="00A054BC" w:rsidRPr="00A054BC" w:rsidRDefault="00A054BC" w:rsidP="00A054BC">
      <w:pPr>
        <w:suppressAutoHyphens/>
        <w:spacing w:after="0" w:line="240" w:lineRule="auto"/>
        <w:ind w:firstLine="709"/>
        <w:jc w:val="both"/>
        <w:rPr>
          <w:rFonts w:ascii="Times New Roman" w:eastAsia="Cambria" w:hAnsi="Times New Roman" w:cs="Times New Roman"/>
          <w:sz w:val="28"/>
          <w:szCs w:val="28"/>
          <w:lang w:eastAsia="ar-SA"/>
        </w:rPr>
      </w:pPr>
      <w:r w:rsidRPr="00A054BC">
        <w:rPr>
          <w:rFonts w:ascii="Times New Roman" w:eastAsia="Times New Roman" w:hAnsi="Times New Roman" w:cs="Times New Roman"/>
          <w:sz w:val="28"/>
          <w:szCs w:val="28"/>
          <w:lang w:eastAsia="ar-SA"/>
        </w:rPr>
        <w:t>В своем комментарии ВОК отмечает, что ФАС России сократила общее количество антимонопольных дел, чтобы сосредоточиться на более сложных из них, а также роль России в некоторых крупных глобальных слияниях, включая сделку Bayer/Monsanto.</w:t>
      </w:r>
    </w:p>
    <w:p w14:paraId="5A17C8CB" w14:textId="77777777" w:rsidR="00A054BC" w:rsidRPr="00A054BC" w:rsidRDefault="00A054BC" w:rsidP="00A054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ab/>
        <w:t>Важным направлением деятельности российского конкурентного ведомства является</w:t>
      </w:r>
      <w:r w:rsidRPr="00A054BC">
        <w:rPr>
          <w:rFonts w:ascii="Times New Roman" w:eastAsia="Cambria" w:hAnsi="Times New Roman" w:cs="Times New Roman"/>
          <w:b/>
          <w:sz w:val="28"/>
          <w:szCs w:val="28"/>
          <w:lang w:eastAsia="ar-SA"/>
        </w:rPr>
        <w:t xml:space="preserve"> антимонопольный надзор при осуществлении внешнеэкономической деятельности.</w:t>
      </w:r>
    </w:p>
    <w:p w14:paraId="5D7EF24E" w14:textId="77777777" w:rsidR="00A054BC" w:rsidRPr="00A054BC" w:rsidRDefault="00A054BC" w:rsidP="00A054BC">
      <w:pPr>
        <w:suppressAutoHyphens/>
        <w:spacing w:after="0" w:line="240" w:lineRule="auto"/>
        <w:ind w:firstLine="708"/>
        <w:jc w:val="both"/>
        <w:rPr>
          <w:rFonts w:ascii="Times New Roman" w:eastAsia="Calibri" w:hAnsi="Times New Roman" w:cs="Times New Roman"/>
          <w:sz w:val="28"/>
          <w:szCs w:val="28"/>
          <w:lang w:eastAsia="ar-SA"/>
        </w:rPr>
      </w:pPr>
      <w:r w:rsidRPr="00A054BC">
        <w:rPr>
          <w:rFonts w:ascii="Times New Roman" w:eastAsia="Calibri" w:hAnsi="Times New Roman" w:cs="Times New Roman"/>
          <w:sz w:val="28"/>
          <w:szCs w:val="28"/>
          <w:lang w:eastAsia="ar-SA"/>
        </w:rPr>
        <w:t>ФАС России принимала активное участие в работе Комитета по торговле Евразийской экономической Комиссии (далее – Комитет) и деятельности рабочих групп по таможенно-тарифному регулированию и защитным мерам во внешней торговле, нетарифному регулированию подкомиссии по таможенно-тарифному и нетарифному регулированию, защитным мерам во внешней торговле Правительственной Комиссии по экономическому развитию и интеграции (далее- Подкомиссия).</w:t>
      </w:r>
    </w:p>
    <w:p w14:paraId="6A227D04" w14:textId="77777777" w:rsidR="00A054BC" w:rsidRPr="00A054BC" w:rsidRDefault="00A054BC" w:rsidP="00A054BC">
      <w:pPr>
        <w:suppressAutoHyphens/>
        <w:spacing w:after="0" w:line="240" w:lineRule="auto"/>
        <w:ind w:right="142"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 xml:space="preserve">В 2018 года ФАС России были подготовлены заключения </w:t>
      </w:r>
      <w:r w:rsidRPr="00A054BC">
        <w:rPr>
          <w:rFonts w:ascii="Times New Roman" w:eastAsia="Cambria" w:hAnsi="Times New Roman" w:cs="Times New Roman"/>
          <w:bCs/>
          <w:iCs/>
          <w:sz w:val="28"/>
          <w:szCs w:val="28"/>
          <w:lang w:eastAsia="ar-SA"/>
        </w:rPr>
        <w:t>о последствиях воздействия антидемпинговой меры в отношении стальных цельнокатаных колес, происходящих из Украины, и г</w:t>
      </w:r>
      <w:r w:rsidRPr="00A054BC">
        <w:rPr>
          <w:rFonts w:ascii="Times New Roman" w:eastAsia="Cambria" w:hAnsi="Times New Roman" w:cs="Times New Roman"/>
          <w:sz w:val="28"/>
          <w:szCs w:val="28"/>
          <w:lang w:eastAsia="ar-SA"/>
        </w:rPr>
        <w:t>рафитированных электродов, происходящих из Индии.</w:t>
      </w:r>
    </w:p>
    <w:p w14:paraId="4822E4C2" w14:textId="77777777" w:rsidR="00A054BC" w:rsidRPr="00A054BC" w:rsidRDefault="00A054BC" w:rsidP="00A054BC">
      <w:pPr>
        <w:suppressAutoHyphens/>
        <w:spacing w:after="0" w:line="240" w:lineRule="auto"/>
        <w:ind w:right="142" w:firstLine="709"/>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 xml:space="preserve">В течение 2018 года </w:t>
      </w:r>
      <w:r w:rsidRPr="00A054BC">
        <w:rPr>
          <w:rFonts w:ascii="Times New Roman" w:eastAsia="Cambria" w:hAnsi="Times New Roman" w:cs="Times New Roman"/>
          <w:bCs/>
          <w:iCs/>
          <w:sz w:val="28"/>
          <w:szCs w:val="28"/>
          <w:lang w:eastAsia="ar-SA"/>
        </w:rPr>
        <w:t>с целью недопущения роста цен на территории ЕАЭС на стальные цельнокатаные колеса и уголки стальные горячекатаные в течении срока действия антидемпинговых мер, а также своевременного пересмотра указанных мер,</w:t>
      </w:r>
      <w:r w:rsidRPr="00A054BC">
        <w:rPr>
          <w:rFonts w:ascii="Times New Roman" w:eastAsia="Cambria" w:hAnsi="Times New Roman" w:cs="Times New Roman"/>
          <w:sz w:val="28"/>
          <w:szCs w:val="28"/>
          <w:lang w:eastAsia="ar-SA"/>
        </w:rPr>
        <w:t xml:space="preserve"> ФАС России в соответствии с распоряжениями Председателя Коллегии ЕЭК от 03.10.2017 № 139 и от 28.02.2018 № 39 осуществлялись полугодовые мониторинги цен</w:t>
      </w:r>
    </w:p>
    <w:p w14:paraId="7DAECC4D" w14:textId="77777777" w:rsidR="00A054BC" w:rsidRPr="00A054BC" w:rsidRDefault="00A054BC" w:rsidP="00A054BC">
      <w:pPr>
        <w:suppressAutoHyphens/>
        <w:spacing w:after="0" w:line="240" w:lineRule="auto"/>
        <w:ind w:right="141"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 рамках внутригосударственного согласования ФАС России была подготовлена позиция по вопросу применения антидемпинговой меры в отношении гербицидов, происходящих из ЕС.</w:t>
      </w:r>
    </w:p>
    <w:p w14:paraId="35E0A068" w14:textId="77777777" w:rsidR="00A054BC" w:rsidRPr="00A054BC" w:rsidRDefault="00A054BC" w:rsidP="00A054BC">
      <w:pPr>
        <w:suppressAutoHyphens/>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 xml:space="preserve">Одним из вопросов, позиция ФАС России по которому была учтена в рамках рассмотрения на Подкомиссии, был вопрос о введении временного запрета на вывоз из Российской Федерации макулатуры, а также установления запретительных вывозных таможенных пошлин на макулатуру. </w:t>
      </w:r>
      <w:r w:rsidRPr="00A054BC">
        <w:rPr>
          <w:rFonts w:ascii="Times New Roman" w:eastAsia="Times New Roman" w:hAnsi="Times New Roman" w:cs="Times New Roman"/>
          <w:sz w:val="28"/>
          <w:szCs w:val="28"/>
          <w:lang w:eastAsia="ar-SA"/>
        </w:rPr>
        <w:t>По мнению ФАС России, для поддержки перерабатывающей отрасли должны быть разработаны иные меры, которые обеспечат значительное увеличение уровня заготовки макулатуры, который может быть сопоставим с уровнем развитых стран (например, введение утилизационного сбора на упаковку, средства от которого могут быть направлены на стимулирование сбора макулатуры). В результате неоднократных обсуждений, в которых ФАС России поступательно отстаивала позицию, данный вопрос был снят с рассмотрения Подкомиссией.</w:t>
      </w:r>
    </w:p>
    <w:p w14:paraId="05768822" w14:textId="77777777" w:rsidR="00A054BC" w:rsidRPr="00A054BC" w:rsidRDefault="00A054BC" w:rsidP="00A054BC">
      <w:pPr>
        <w:suppressAutoHyphens/>
        <w:autoSpaceDE w:val="0"/>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Также была учтена позиция ФАС России в рамках согласования проекта постановления Правительства Российской Федерации «О лицензировании импорта кормового лизина». Данный проект постановления не был согласован ФАС России, поскольку, введение лицензирования импорта кормового лизина могло бы привести к значительному его дефициту на внутреннем рынке, пагубно сказаться на конкуренции в животноводческой отрасли, и как следствие привести к росту цен на мясо и птицу, что негативно отразилось бы на конечном потребителе.</w:t>
      </w:r>
    </w:p>
    <w:p w14:paraId="2F51255E" w14:textId="77777777" w:rsidR="00A054BC" w:rsidRPr="00A054BC" w:rsidRDefault="00A054BC" w:rsidP="00A054BC">
      <w:pPr>
        <w:suppressAutoHyphens/>
        <w:autoSpaceDE w:val="0"/>
        <w:spacing w:after="0" w:line="240" w:lineRule="auto"/>
        <w:ind w:firstLine="708"/>
        <w:jc w:val="both"/>
        <w:rPr>
          <w:rFonts w:ascii="Times New Roman" w:eastAsia="Cambria" w:hAnsi="Times New Roman" w:cs="Times New Roman"/>
          <w:iCs/>
          <w:sz w:val="28"/>
          <w:szCs w:val="28"/>
          <w:lang w:eastAsia="ar-SA"/>
        </w:rPr>
      </w:pPr>
      <w:r w:rsidRPr="00A054BC">
        <w:rPr>
          <w:rFonts w:ascii="Times New Roman" w:eastAsia="Cambria" w:hAnsi="Times New Roman" w:cs="Times New Roman"/>
          <w:sz w:val="28"/>
          <w:szCs w:val="28"/>
          <w:lang w:eastAsia="ar-SA"/>
        </w:rPr>
        <w:t xml:space="preserve">В рамках выработки российской позиции по вопросу </w:t>
      </w:r>
      <w:r w:rsidRPr="00A054BC">
        <w:rPr>
          <w:rFonts w:ascii="Times New Roman" w:eastAsia="Cambria" w:hAnsi="Times New Roman" w:cs="Times New Roman"/>
          <w:bCs/>
          <w:iCs/>
          <w:sz w:val="28"/>
          <w:szCs w:val="28"/>
          <w:lang w:eastAsia="ar-SA"/>
        </w:rPr>
        <w:t>установления нулевых ставок ввозных таможенных пошлин на графитированные электроды и некоторые виды углеграфитовой продукции</w:t>
      </w:r>
      <w:r w:rsidRPr="00A054BC">
        <w:rPr>
          <w:rFonts w:ascii="Times New Roman" w:eastAsia="Cambria" w:hAnsi="Times New Roman" w:cs="Times New Roman"/>
          <w:sz w:val="28"/>
          <w:szCs w:val="28"/>
          <w:lang w:eastAsia="ar-SA"/>
        </w:rPr>
        <w:t xml:space="preserve"> была также учтена позиция ФАС России.</w:t>
      </w:r>
    </w:p>
    <w:p w14:paraId="571356A5" w14:textId="77777777" w:rsidR="00A054BC" w:rsidRPr="00A054BC" w:rsidRDefault="00A054BC" w:rsidP="00A054BC">
      <w:pPr>
        <w:suppressAutoHyphens/>
        <w:autoSpaceDE w:val="0"/>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iCs/>
          <w:sz w:val="28"/>
          <w:szCs w:val="28"/>
          <w:lang w:eastAsia="ar-SA"/>
        </w:rPr>
        <w:t>С учетом сложившихся в 2017-2018 годах на рынке граифитированных электродов условий (острый дефицит на ГЭ, как на мировом рынке, так и рынке Российской Федерации, а также беспрецедентный рост цен на данную продукцию на внутреннем рынке и на рынке ЕАЭС) ФАС России высказалась о целесообразности отмены ввозных таможенных пошлин на указанную продукцию. Кроме того, ФАС России поддержала предложение о целесообразности выделения подовых блоков из товарной подсубпозиции 8545 19 000 0 и бортовых блоков из товарной подсубпозиции 8545 90 900 0, предназначенных исключительно для электролиза алюминия, с установлением на них ставок ввозных таможенных пошлин в размере 0% и 5% на временной основе, сроком на 1 год.</w:t>
      </w:r>
    </w:p>
    <w:p w14:paraId="1BEFED6E" w14:textId="77777777" w:rsidR="00A054BC" w:rsidRPr="00A054BC" w:rsidRDefault="00A054BC" w:rsidP="00A054BC">
      <w:pPr>
        <w:suppressAutoHyphens/>
        <w:autoSpaceDE w:val="0"/>
        <w:spacing w:after="0" w:line="240" w:lineRule="auto"/>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ab/>
        <w:t xml:space="preserve">При рассмотрении на Подкомиссии вопроса </w:t>
      </w:r>
      <w:r w:rsidRPr="00A054BC">
        <w:rPr>
          <w:rFonts w:ascii="Times New Roman" w:eastAsia="Cambria" w:hAnsi="Times New Roman" w:cs="Times New Roman"/>
          <w:bCs/>
          <w:iCs/>
          <w:sz w:val="28"/>
          <w:szCs w:val="28"/>
          <w:lang w:eastAsia="ar-SA"/>
        </w:rPr>
        <w:t xml:space="preserve">установления нулевых ставок ввозных таможенных пошлин на кремний кристаллический, используемый при производстве пластин в солнечных батареях, ФАС России высказалась в </w:t>
      </w:r>
      <w:r w:rsidRPr="00A054BC">
        <w:rPr>
          <w:rFonts w:ascii="Times New Roman" w:eastAsia="Cambria" w:hAnsi="Times New Roman" w:cs="Times New Roman"/>
          <w:iCs/>
          <w:sz w:val="28"/>
          <w:szCs w:val="28"/>
          <w:lang w:eastAsia="ar-SA"/>
        </w:rPr>
        <w:t xml:space="preserve">поддержку </w:t>
      </w:r>
      <w:r w:rsidRPr="00A054BC">
        <w:rPr>
          <w:rFonts w:ascii="Times New Roman" w:eastAsia="Cambria" w:hAnsi="Times New Roman" w:cs="Times New Roman"/>
          <w:bCs/>
          <w:iCs/>
          <w:sz w:val="28"/>
          <w:szCs w:val="28"/>
          <w:lang w:eastAsia="ar-SA"/>
        </w:rPr>
        <w:t>данного</w:t>
      </w:r>
      <w:r w:rsidRPr="00A054BC">
        <w:rPr>
          <w:rFonts w:ascii="Times New Roman" w:eastAsia="Cambria" w:hAnsi="Times New Roman" w:cs="Times New Roman"/>
          <w:iCs/>
          <w:sz w:val="28"/>
          <w:szCs w:val="28"/>
          <w:lang w:eastAsia="ar-SA"/>
        </w:rPr>
        <w:t xml:space="preserve"> предложения. По мнению ФАС России, предложенная мера позволит снизить себестоимость пластин, используемых для изготовления фотоэлектрических преобразователей, применяемых в солнечных батареях. Это создаст условия для повышения конкурентоспособности отечественных инновационных товаров. Кремний, содержащий не менее 99,99 мас. % кремния, на территории ЕАЭС в настоящее время не производится.</w:t>
      </w:r>
    </w:p>
    <w:p w14:paraId="5E74679B" w14:textId="77777777" w:rsidR="00A054BC" w:rsidRPr="00A054BC" w:rsidRDefault="00A054BC" w:rsidP="00A054BC">
      <w:pPr>
        <w:suppressAutoHyphens/>
        <w:autoSpaceDE w:val="0"/>
        <w:spacing w:after="0" w:line="240" w:lineRule="auto"/>
        <w:ind w:firstLine="708"/>
        <w:jc w:val="both"/>
        <w:rPr>
          <w:rFonts w:ascii="Times New Roman" w:eastAsia="Cambria" w:hAnsi="Times New Roman" w:cs="Times New Roman"/>
          <w:sz w:val="28"/>
          <w:szCs w:val="28"/>
          <w:lang w:eastAsia="ar-SA"/>
        </w:rPr>
      </w:pPr>
      <w:r w:rsidRPr="00A054BC">
        <w:rPr>
          <w:rFonts w:ascii="Times New Roman" w:eastAsia="Cambria" w:hAnsi="Times New Roman" w:cs="Times New Roman"/>
          <w:sz w:val="28"/>
          <w:szCs w:val="28"/>
          <w:lang w:eastAsia="ar-SA"/>
        </w:rPr>
        <w:t>Всего в</w:t>
      </w:r>
      <w:r w:rsidRPr="00A054BC">
        <w:rPr>
          <w:rFonts w:ascii="Times New Roman" w:eastAsia="Cambria" w:hAnsi="Times New Roman" w:cs="Times New Roman"/>
          <w:i/>
          <w:sz w:val="28"/>
          <w:szCs w:val="28"/>
          <w:lang w:eastAsia="ar-SA"/>
        </w:rPr>
        <w:t xml:space="preserve"> </w:t>
      </w:r>
      <w:r w:rsidRPr="00A054BC">
        <w:rPr>
          <w:rFonts w:ascii="Times New Roman" w:eastAsia="Cambria" w:hAnsi="Times New Roman" w:cs="Times New Roman"/>
          <w:sz w:val="28"/>
          <w:szCs w:val="28"/>
          <w:lang w:eastAsia="ar-SA"/>
        </w:rPr>
        <w:t>2018 году ФАС России было рассмотрено 96 заявлений и обращений о корректировке ставок ввозных и вывозных таможенных пошлин, охватывающих 77 товарных позиции ТН ВЭД ЕАЭС, и 147 заявлений и обращений, касающихся мер нетарифного регулирования и общих вопросов регулирования внешнеторговой деятельности, включая вопросы регулирования в рамках ЕАЭС.</w:t>
      </w:r>
    </w:p>
    <w:p w14:paraId="32B78C90" w14:textId="77777777" w:rsidR="00A054BC" w:rsidRDefault="00A054BC" w:rsidP="00A054BC">
      <w:pPr>
        <w:pStyle w:val="ab"/>
        <w:spacing w:before="0" w:beforeAutospacing="0" w:after="0"/>
        <w:jc w:val="both"/>
        <w:rPr>
          <w:sz w:val="28"/>
          <w:szCs w:val="28"/>
        </w:rPr>
      </w:pPr>
    </w:p>
    <w:p w14:paraId="46982F54" w14:textId="77777777" w:rsidR="00D50687" w:rsidRPr="00E46A41" w:rsidRDefault="00D50687" w:rsidP="00E46A41">
      <w:pPr>
        <w:pStyle w:val="ab"/>
        <w:spacing w:before="0" w:beforeAutospacing="0" w:after="0"/>
        <w:ind w:firstLine="709"/>
        <w:jc w:val="both"/>
        <w:rPr>
          <w:sz w:val="28"/>
          <w:szCs w:val="28"/>
        </w:rPr>
      </w:pPr>
      <w:r w:rsidRPr="00E46A41">
        <w:rPr>
          <w:sz w:val="28"/>
          <w:szCs w:val="28"/>
        </w:rPr>
        <w:t>Согласно Концепции формирования общего электроэнергетического рынка Евразийского экономического союза (далее — Союза) ФАС России совместно с заинтересованными федеральными органами исполнительной власти Российской Федерации участвует в формировании общего электроэнергетического рынка Союза.</w:t>
      </w:r>
    </w:p>
    <w:p w14:paraId="575C7A23" w14:textId="77777777" w:rsidR="00D50687" w:rsidRPr="00E46A41" w:rsidRDefault="00D50687" w:rsidP="00E46A41">
      <w:pPr>
        <w:pStyle w:val="ab"/>
        <w:spacing w:before="0" w:beforeAutospacing="0" w:after="0"/>
        <w:ind w:firstLine="709"/>
        <w:jc w:val="both"/>
        <w:rPr>
          <w:sz w:val="28"/>
          <w:szCs w:val="28"/>
        </w:rPr>
      </w:pPr>
      <w:r w:rsidRPr="00E46A41">
        <w:rPr>
          <w:sz w:val="28"/>
          <w:szCs w:val="28"/>
        </w:rPr>
        <w:t>Так, в рамках взаимодействия ФАС России с Евразийской экономической комиссией в 2018 году были проведены совещания по вопросам выполнения мероприятий программы формирования общего электроэнергетического рынка Союза, в том числе по вопросам разработки единых правил доступа к услугам субъектов естественных монополий в сфере электроэнергетики.</w:t>
      </w:r>
    </w:p>
    <w:p w14:paraId="11C67BA4" w14:textId="77777777" w:rsidR="00D50687" w:rsidRPr="00E46A41" w:rsidRDefault="00D50687" w:rsidP="00E46A41">
      <w:pPr>
        <w:pStyle w:val="ab"/>
        <w:spacing w:before="0" w:beforeAutospacing="0" w:after="0"/>
        <w:ind w:firstLine="709"/>
        <w:jc w:val="both"/>
        <w:rPr>
          <w:sz w:val="28"/>
          <w:szCs w:val="28"/>
        </w:rPr>
      </w:pPr>
      <w:r w:rsidRPr="00E46A41">
        <w:rPr>
          <w:sz w:val="28"/>
          <w:szCs w:val="28"/>
        </w:rPr>
        <w:t>Необходимо отметить, что согласно Концепции формирования общего электроэнергетического рынка Союза на 1 и 2 кв. 2019 года запланировано заключение и вступление в силу международного договора о формировании общего электроэнергетического рынка Союза, содержащего в том числе единые правила доступа к услугам субъектов естественных монополий в сфере электроэнергетики.</w:t>
      </w:r>
    </w:p>
    <w:p w14:paraId="0681FDC6" w14:textId="77777777" w:rsidR="0038356F" w:rsidRPr="00FC22B6" w:rsidRDefault="0038356F" w:rsidP="000B76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2018 году подготовлен и одобрен Экономическим Советом СНГ Доклад</w:t>
      </w:r>
      <w:r w:rsidRPr="00FC22B6">
        <w:rPr>
          <w:rFonts w:ascii="Times New Roman" w:hAnsi="Times New Roman" w:cs="Times New Roman"/>
          <w:sz w:val="28"/>
          <w:szCs w:val="28"/>
        </w:rPr>
        <w:t xml:space="preserve"> </w:t>
      </w:r>
      <w:r>
        <w:rPr>
          <w:rFonts w:ascii="Times New Roman" w:hAnsi="Times New Roman" w:cs="Times New Roman"/>
          <w:sz w:val="28"/>
          <w:szCs w:val="28"/>
        </w:rPr>
        <w:t>«</w:t>
      </w:r>
      <w:r w:rsidRPr="00FC22B6">
        <w:rPr>
          <w:rFonts w:ascii="Times New Roman" w:hAnsi="Times New Roman" w:cs="Times New Roman"/>
          <w:sz w:val="28"/>
          <w:szCs w:val="28"/>
        </w:rPr>
        <w:t>О формировании конкурентной политики в государствах – участниках СНГ в условиях развития цифровой экономики</w:t>
      </w:r>
      <w:r>
        <w:rPr>
          <w:rFonts w:ascii="Times New Roman" w:hAnsi="Times New Roman" w:cs="Times New Roman"/>
          <w:sz w:val="28"/>
          <w:szCs w:val="28"/>
        </w:rPr>
        <w:t>»</w:t>
      </w:r>
      <w:r w:rsidRPr="00FC22B6">
        <w:rPr>
          <w:rFonts w:ascii="Times New Roman" w:hAnsi="Times New Roman" w:cs="Times New Roman"/>
          <w:sz w:val="28"/>
          <w:szCs w:val="28"/>
        </w:rPr>
        <w:t>.</w:t>
      </w:r>
    </w:p>
    <w:p w14:paraId="43F15B70" w14:textId="77777777" w:rsidR="0038356F" w:rsidRPr="00FC22B6" w:rsidRDefault="0038356F" w:rsidP="000B76DF">
      <w:pPr>
        <w:spacing w:after="0" w:line="240" w:lineRule="auto"/>
        <w:ind w:firstLine="709"/>
        <w:jc w:val="both"/>
        <w:rPr>
          <w:rFonts w:ascii="Times New Roman" w:hAnsi="Times New Roman" w:cs="Times New Roman"/>
          <w:sz w:val="28"/>
          <w:szCs w:val="28"/>
        </w:rPr>
      </w:pPr>
      <w:r w:rsidRPr="00FC22B6">
        <w:rPr>
          <w:rFonts w:ascii="Times New Roman" w:hAnsi="Times New Roman" w:cs="Times New Roman"/>
          <w:sz w:val="28"/>
          <w:szCs w:val="28"/>
        </w:rPr>
        <w:t>Доклад подготовлен в соответствии с решением 48-го заседания Межгосударственного совета по антимонопольной политике (МСАП).</w:t>
      </w:r>
    </w:p>
    <w:p w14:paraId="1D4DAE9B" w14:textId="77777777" w:rsidR="0038356F" w:rsidRPr="00FC22B6" w:rsidRDefault="0038356F" w:rsidP="000B76DF">
      <w:pPr>
        <w:spacing w:after="0" w:line="240" w:lineRule="auto"/>
        <w:ind w:firstLine="709"/>
        <w:jc w:val="both"/>
        <w:rPr>
          <w:rFonts w:ascii="Times New Roman" w:hAnsi="Times New Roman" w:cs="Times New Roman"/>
          <w:sz w:val="28"/>
          <w:szCs w:val="28"/>
        </w:rPr>
      </w:pPr>
      <w:r w:rsidRPr="00FC22B6">
        <w:rPr>
          <w:rFonts w:ascii="Times New Roman" w:hAnsi="Times New Roman" w:cs="Times New Roman"/>
          <w:sz w:val="28"/>
          <w:szCs w:val="28"/>
        </w:rPr>
        <w:t>В работе над Докладом приняли участие антимонопольные органы Республики Армения, Республики Беларусь, Республики Казахстан, Кыргызской Республики, Российской Федерации и Республики Таджикистан.</w:t>
      </w:r>
    </w:p>
    <w:p w14:paraId="48303EC2" w14:textId="77777777" w:rsidR="0038356F" w:rsidRDefault="0038356F" w:rsidP="000B76DF">
      <w:pPr>
        <w:spacing w:after="0" w:line="240" w:lineRule="auto"/>
        <w:ind w:firstLine="709"/>
        <w:jc w:val="both"/>
        <w:rPr>
          <w:rFonts w:ascii="Times New Roman" w:hAnsi="Times New Roman" w:cs="Times New Roman"/>
          <w:sz w:val="28"/>
          <w:szCs w:val="28"/>
        </w:rPr>
      </w:pPr>
      <w:r w:rsidRPr="00FC22B6">
        <w:rPr>
          <w:rFonts w:ascii="Times New Roman" w:hAnsi="Times New Roman" w:cs="Times New Roman"/>
          <w:sz w:val="28"/>
          <w:szCs w:val="28"/>
        </w:rPr>
        <w:t>Целью подготовки Доклада являлось определение общей характеристики цифровой экономики в государствах – участниках СНГ, анализ новых вызовов для конкурентного регулирования в условиях цифровой экономики, а также проведение оценки готовности конкурентного законодательства к новым вызовам и необходимости внесения изменений в законодательство государств – участников СНГ.</w:t>
      </w:r>
    </w:p>
    <w:p w14:paraId="7DE47921"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Участники работы основывались на том, что </w:t>
      </w:r>
      <w:r w:rsidRPr="007F1AC0">
        <w:rPr>
          <w:rFonts w:ascii="Times New Roman" w:hAnsi="Times New Roman" w:cs="Times New Roman"/>
          <w:sz w:val="28"/>
          <w:szCs w:val="28"/>
        </w:rPr>
        <w:t>конкуренция всегда являлась неотъемлемой составляющей успеха экономического развития, в новых условиях цифровой экономики конкуренция обеспечивает еще и инновационное развитие в будущем, даже если угрозы для него не очевидны на текущий момент. Сейчас наступил период, когда формируются базовые экономические заделы, которые в будущем будут определять глобальное инновационное развитие. Можно с достаточной уверенностью сказать, что период этот не будет настолько длительным, чтобы действия стран по формированию условий для развития цифровой экономики в условиях эффективной конкуренции совершались неторопливо и постепенно.</w:t>
      </w:r>
    </w:p>
    <w:p w14:paraId="4107F354"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Важно на этом этапе сосредоточить совместные усилия государств – членов СНГ на выработке эффективной антимонопольной политики и ее применению.</w:t>
      </w:r>
    </w:p>
    <w:p w14:paraId="690EBF98"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В первой части Доклада проанализированы основные направления программных документов (национальных программ и стратегий) государств – членов, в также мероприятия, реализуемые во исполнение программных документов. Также, проведен анализ международной практики по реализации цифровых институциональных изменений.</w:t>
      </w:r>
    </w:p>
    <w:p w14:paraId="75D92180"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В целом государства – участники СНГ в настоящее время предпринимают необходимые и разумные меры по формированию благоприятной среды, необходимой для становления цифровой экономики – как в существующих реалиях, так и учитывающие будущее инновационное развитие.</w:t>
      </w:r>
    </w:p>
    <w:p w14:paraId="25E7324C"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Государственные программы, реализуемые в настоящее время, в государствах – участниках СНГ схожи и охватывают следующие базовые направления:</w:t>
      </w:r>
    </w:p>
    <w:p w14:paraId="31815EC2"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развитие человеческого потенциала и обеспечение кадровых заделов для развития цифровой экономики, повышение благосостояния граждан и повсеместный доступ к благам цифровой экономики;</w:t>
      </w:r>
    </w:p>
    <w:p w14:paraId="4B1D0773"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развитие инфраструктуры ИКТ и обеспечение ее безопасного функционирования;</w:t>
      </w:r>
    </w:p>
    <w:p w14:paraId="33B3B1DA"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формирование необходимых институтов для функционирования отраслей экономик, обеспечение их цифровизации в текущем периоде и становление условий для инновационного развития экономик, развитие научного потенциала.</w:t>
      </w:r>
    </w:p>
    <w:p w14:paraId="0FBAC154"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цифровизация взаимодействия государства и граждан, государства и бизнеса, бизнеса и бизнеса.</w:t>
      </w:r>
    </w:p>
    <w:p w14:paraId="0A9771C9"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Хотя программы развития цифровой экономики и общества находятся, в большинстве, на начальном этапе реализации, предварительно можно сказать, мероприятия, реализуемые во исполнение программных документов, не направлены на формирование необходимых условий для развития конкуренции.</w:t>
      </w:r>
    </w:p>
    <w:p w14:paraId="6EF4DD52"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Так, многие программы формируют условия для монополизации инфраструктуры цифровой экономики – как физической инфраструктуры ИКТ, так и в сфере формирования электронной инфраструктуры данных, определяя единственных поставщиков услуг на самом начальном этапе.</w:t>
      </w:r>
    </w:p>
    <w:p w14:paraId="42DB808F"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Прослеживается, что государства привычно разделяют технологии оказания услуг, рассматривая рынки не как единую цифровую систему, а как различные технологические уклады, и соответственно стремятся к регулированию правоотношений в цифровой экономике по технологическому принципу.</w:t>
      </w:r>
    </w:p>
    <w:p w14:paraId="79DFCBD5"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Судя по подходам, формируемым государствами – участниками СНГ при реализации программ цифровой экономики, государства осознают важность и степень влияния больших данных на все сферы жизни в условиях цифровой экономики, уделяют должное внимание безопасности обращения данных и необходимости их защиты, однако не предпринимается надлежащих мер по обеспечению формирования взаимоувязанных распределенных экосистем цифровой экономики, а также необходимой стандартизации процедур, что также может привести к ограничению конкуренции, и в последующем – замедлении цифрового развития.</w:t>
      </w:r>
    </w:p>
    <w:p w14:paraId="199B9B13"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Рынки в цифровой экономике не функционируют изолированно, в отрыве от глобальных рынков, и государства – участники СНГ, понимая важность скорейшей цифровой трансформации для развития экономик и обеспечения их конкурентоспособности на мировой арене, проводят необходимые мероприятия по цифровизации правоотношений и развитию человеческого потенциала.</w:t>
      </w:r>
    </w:p>
    <w:p w14:paraId="0198E293"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Вместе с этим, реализация государственных программ не предусматривает обеспечение конкурентоспособности национальных предприятий на глобальных рынках с учетом рыночной власти транснациональных корпораций, в том числе не предусматривают разработки надлежащих мер защиты конкуренции в условиях все нарастающей глобализации экономики.</w:t>
      </w:r>
    </w:p>
    <w:p w14:paraId="6138DD7E"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Исходя из изложенного, государствам – участникам СНГ при планировании, реализации мероприятий по развитию цифровой экономики необходимо:</w:t>
      </w:r>
    </w:p>
    <w:p w14:paraId="5D961E8A"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исходить из необходимости обеспечения условий для развития конкуренции;</w:t>
      </w:r>
    </w:p>
    <w:p w14:paraId="631E6B6C"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исходить из необходимости реализации принципов технологической и сетевой нейтральности в регулировании;</w:t>
      </w:r>
    </w:p>
    <w:p w14:paraId="210BFF87"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обеспечить функционирование единого электронного пространства на базе взаимоувязанных инфокоммуникационных инфраструктур, в том числе путем принятия единых правил и стандартов;</w:t>
      </w:r>
    </w:p>
    <w:p w14:paraId="6456AA18"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не допускать монополизации рынков, в том числе путем определения единственного поставщика, за исключением случаев, когда такие решения обусловлены интересами безопасности государства, защиты жизни и здоровья граждан.</w:t>
      </w:r>
    </w:p>
    <w:p w14:paraId="6BC84291" w14:textId="77777777" w:rsidR="0038356F" w:rsidRPr="007F1AC0" w:rsidRDefault="0038356F" w:rsidP="000B76DF">
      <w:pPr>
        <w:spacing w:after="0" w:line="240" w:lineRule="auto"/>
        <w:ind w:firstLine="709"/>
        <w:jc w:val="both"/>
        <w:rPr>
          <w:rFonts w:ascii="Times New Roman" w:hAnsi="Times New Roman" w:cs="Times New Roman"/>
          <w:sz w:val="28"/>
          <w:szCs w:val="28"/>
        </w:rPr>
      </w:pPr>
    </w:p>
    <w:p w14:paraId="7CAEAB6F"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Во второй части Доклада проведен анализ новых вызовов для конкурентного регулирования в условиях цифровой экономики, в том числе проведен детальный анализ:</w:t>
      </w:r>
    </w:p>
    <w:p w14:paraId="53F3BDC7"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применения антимонопольного законодательства к объектам интеллектуальных прав;</w:t>
      </w:r>
    </w:p>
    <w:p w14:paraId="48C47041"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изменений подходов к контролю экономической концентрации;</w:t>
      </w:r>
    </w:p>
    <w:p w14:paraId="33135C35"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новых подходы к проведению анализа рынка;</w:t>
      </w:r>
    </w:p>
    <w:p w14:paraId="08C53AFE"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особенности рассмотрения дел о нарушении антимонопольного законодательства;</w:t>
      </w:r>
    </w:p>
    <w:p w14:paraId="1174DEAB"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выявление и пресечение антиконкурентных соглашений с использованием цифровых технологий.</w:t>
      </w:r>
    </w:p>
    <w:p w14:paraId="4B8F0908"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На основании проведенного анализа и с учетом международного опыта дана оценка готовности конкурентного законодательства к новым вызовам и необходимости внесения изменений в законодательство.</w:t>
      </w:r>
    </w:p>
    <w:p w14:paraId="495A599D"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В докладе приводится описание основных угроз в области конкуренции, основных направлений развития необходимого инструментария для надлежащей защиты конкуренции и можно с уверенностью сказать, что антимонопольные органы государств – участников СНГ сталкиваются и будут сталкиваться со схожими, а зачастую – с такими же проблемами в области защиты и развития конкуренции, что ожидаемо, учитывая характер глобальных цифровых правоотношений.</w:t>
      </w:r>
    </w:p>
    <w:p w14:paraId="2A2CB07B"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Вполне логично, что изменение товара, способов его обращения, формирование многосторонних рынков с новыми качественными характеристиками, снижение транзакционных издержек – все те выгоды, которые несет нам цифровая экономика – они же порождают угрозы для конкуренции, не только схожие по характеру правоотношений в государствах – участниках СНГ, но и одинаковые по влиянию конкретных компаний на конкурентоспособность национальных экономик, поскольку транснациональные корпорации действуют во всех странах.</w:t>
      </w:r>
    </w:p>
    <w:p w14:paraId="0F7B2D5D"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При этом, в отличие от других стран, где идет активное обсуждение совершенствования методов антимонопольного воздействия, а в некоторых странах уже приняты необходимые поправки в законодательство и разработаны необходимые руководства, программы государств – участников СНГ не содержат даже упоминания о необходимости усиления антимонопольного регулирования и защиты конкуренции (только в Российской Федерации предусмотрено единственное мероприятие по адаптации антимонопольного законодательства).</w:t>
      </w:r>
    </w:p>
    <w:p w14:paraId="0387F1A0"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Сложившаяся ситуация тем более вызывает опасения, что скорости формирования рыночной власти в условиях цифровой экономики многократно превышают темпы становления рынков в условиях индустриального уклада, что наглядно продемонстрировано в настоящем докладе на примере формирования рыночной власти транснациональных корпораций.</w:t>
      </w:r>
    </w:p>
    <w:p w14:paraId="114D3A61"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Очевидно, что сейчас наблюдается тренд к созданию транснациональными корпорациями многосторонних систем, охватывающих не только несколько рынков в традиционном понимании, но и несколько отраслей, к формированию колоссального влияния на самые чувствительные для развития национального благосостояния сферы.</w:t>
      </w:r>
    </w:p>
    <w:p w14:paraId="5AC55801"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Отдельно следует отметить, что складывающиеся монопольные и олигопольные глобальные кластеры защищены правом интеллектуальной собственности, что необходимо учитывать при разработке необходимых мер защиты конкуренции в государствах – участниках СНГ. Здесь важно отметить положительный опыт Республики Казахстан, где уже приняты необходимые изменения в антимонопольное законодательство и запрещено совершать действия, являющиеся реализацией исключительных прав, если это приводит к ограничению конкуренции.</w:t>
      </w:r>
    </w:p>
    <w:p w14:paraId="5FCE041D"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Исходя из анализа сделок, рассматриваемых антимонопольными органами государств – участников СНГ, дел о нарушении антимонопольного законодательства, особенностей товарных рынков в условиях цифровой экономики, а также исходя из учета тенденций развития цифровых инструментов и их проникновения во все сферы деятельности, качественного инновационного изменения традиционных рынков, важно отметить, что базовые аспекты защиты конкуренции, в основном, применимы к новым отношениям в цифровой экономике.</w:t>
      </w:r>
    </w:p>
    <w:p w14:paraId="7D80BFFF"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Однако следует признать, что для эффективной защиты конкуренции действующего в настоящее время антимонопольного инструментария недостаточно и в самое ближайшее время государства могут столкнуться с отсутствием механизмов защиты конкуренции на наиболее значимых, в том числе на социально значимых рынках.</w:t>
      </w:r>
    </w:p>
    <w:p w14:paraId="4F529651"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Государствам – участникам СНГ следует в самое ближайшее время принять меры по совершенствованию антимонопольного законодательства, в том числе предусмотреть:</w:t>
      </w:r>
    </w:p>
    <w:p w14:paraId="2E5D84DB"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возможность пресечения ограничения конкуренции в сферах, связанных с реализацией исключительных прав на результаты интеллектуальной деятельности и приравненных к ним средствам индивидуализации;</w:t>
      </w:r>
    </w:p>
    <w:p w14:paraId="54BEA0D2"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возможность пресечения ограничения конкуренции лицами, не являющимися резидентами государства и (или) осуществляющими деятельность за пределами территории государства;</w:t>
      </w:r>
    </w:p>
    <w:p w14:paraId="302C7B45"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введения дополнительных инструментов проведения анализа рынка и, в частности, установления доминирующего положения с учетом специфики цифровых рынков;</w:t>
      </w:r>
    </w:p>
    <w:p w14:paraId="3581DDE2"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введения дополнительных инструментов, обеспечивающих полное и всестороннее рассмотрение сделок с учетом особенностей функционирования рынков в условиях цифровой экономики;</w:t>
      </w:r>
    </w:p>
    <w:p w14:paraId="5229FC72" w14:textId="77777777" w:rsidR="0038356F" w:rsidRPr="007F1AC0" w:rsidRDefault="0038356F" w:rsidP="000B76DF">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 введения механизмов понуждения к исполнению требований об обеспечении условий конкуренции, соразмерных выявленному правонарушению, учитывающих особенности функционирования цифровых рынков, а также аспекты глобализации рынков.</w:t>
      </w:r>
    </w:p>
    <w:p w14:paraId="2FC676FC" w14:textId="77777777" w:rsidR="0038356F" w:rsidRPr="004E3D80" w:rsidRDefault="0038356F" w:rsidP="004E3D80">
      <w:pPr>
        <w:spacing w:after="0" w:line="240" w:lineRule="auto"/>
        <w:ind w:firstLine="709"/>
        <w:jc w:val="both"/>
        <w:rPr>
          <w:rFonts w:ascii="Times New Roman" w:hAnsi="Times New Roman" w:cs="Times New Roman"/>
          <w:sz w:val="28"/>
          <w:szCs w:val="28"/>
        </w:rPr>
      </w:pPr>
      <w:r w:rsidRPr="007F1AC0">
        <w:rPr>
          <w:rFonts w:ascii="Times New Roman" w:hAnsi="Times New Roman" w:cs="Times New Roman"/>
          <w:sz w:val="28"/>
          <w:szCs w:val="28"/>
        </w:rPr>
        <w:t>Также, антимонопольным органам государств – участников СНГ необходимо обеспечить постоянный обмен практиками о защите конкуренции, который наилучшим образом будет способствовать выработке разумных подходов в деятельности антимонопольных органов, выявлению и пресечения нарушений, формированию условий для развития конкуренции с учетом интересов наших стран.</w:t>
      </w:r>
    </w:p>
    <w:p w14:paraId="6BCF65A8" w14:textId="77777777" w:rsidR="004E3D80" w:rsidRPr="008E50AC" w:rsidRDefault="004E3D80" w:rsidP="004E3D80">
      <w:pPr>
        <w:spacing w:after="0" w:line="240" w:lineRule="auto"/>
        <w:ind w:firstLine="709"/>
        <w:jc w:val="both"/>
        <w:rPr>
          <w:rFonts w:ascii="Times New Roman" w:hAnsi="Times New Roman" w:cs="Times New Roman"/>
          <w:color w:val="000000" w:themeColor="text1"/>
          <w:sz w:val="28"/>
          <w:szCs w:val="28"/>
        </w:rPr>
      </w:pPr>
      <w:r w:rsidRPr="008E50AC">
        <w:rPr>
          <w:rFonts w:ascii="Times New Roman" w:hAnsi="Times New Roman" w:cs="Times New Roman"/>
          <w:color w:val="000000" w:themeColor="text1"/>
          <w:sz w:val="28"/>
          <w:szCs w:val="28"/>
        </w:rPr>
        <w:t xml:space="preserve">Зачастую, в силу глобализации экономических процессов, картели оказывают негативное влияние на развитие </w:t>
      </w:r>
      <w:r>
        <w:rPr>
          <w:rFonts w:ascii="Times New Roman" w:hAnsi="Times New Roman" w:cs="Times New Roman"/>
          <w:color w:val="000000" w:themeColor="text1"/>
          <w:sz w:val="28"/>
          <w:szCs w:val="28"/>
        </w:rPr>
        <w:t xml:space="preserve">всей </w:t>
      </w:r>
      <w:r w:rsidRPr="008E50AC">
        <w:rPr>
          <w:rFonts w:ascii="Times New Roman" w:hAnsi="Times New Roman" w:cs="Times New Roman"/>
          <w:color w:val="000000" w:themeColor="text1"/>
          <w:sz w:val="28"/>
          <w:szCs w:val="28"/>
        </w:rPr>
        <w:t xml:space="preserve">мировой экономики. В тоже время, универсальный международный механизм противодействия картелям </w:t>
      </w:r>
      <w:r>
        <w:rPr>
          <w:rFonts w:ascii="Times New Roman" w:hAnsi="Times New Roman" w:cs="Times New Roman"/>
          <w:color w:val="000000" w:themeColor="text1"/>
          <w:sz w:val="28"/>
          <w:szCs w:val="28"/>
        </w:rPr>
        <w:t xml:space="preserve">в настоящее время </w:t>
      </w:r>
      <w:r w:rsidRPr="008E50AC">
        <w:rPr>
          <w:rFonts w:ascii="Times New Roman" w:hAnsi="Times New Roman" w:cs="Times New Roman"/>
          <w:color w:val="000000" w:themeColor="text1"/>
          <w:sz w:val="28"/>
          <w:szCs w:val="28"/>
        </w:rPr>
        <w:t xml:space="preserve">отсутствует. Действующие международные конвенции и договоры о правовой помощи касаются уголовных и гражданских дел, и не регламентируют вопросы взаимодействия государственных органов в административной сфере, в частности, при расследовании дел о нарушении антимонопольного законодательства. </w:t>
      </w:r>
    </w:p>
    <w:p w14:paraId="0E7BBC25" w14:textId="77777777" w:rsidR="004E3D80" w:rsidRPr="008E50AC" w:rsidRDefault="004E3D80" w:rsidP="004E3D80">
      <w:pPr>
        <w:spacing w:after="0" w:line="240" w:lineRule="auto"/>
        <w:ind w:firstLine="709"/>
        <w:jc w:val="both"/>
        <w:rPr>
          <w:rFonts w:ascii="Times New Roman" w:hAnsi="Times New Roman" w:cs="Times New Roman"/>
          <w:color w:val="000000" w:themeColor="text1"/>
          <w:sz w:val="28"/>
          <w:szCs w:val="28"/>
        </w:rPr>
      </w:pPr>
      <w:r w:rsidRPr="008E50AC">
        <w:rPr>
          <w:rFonts w:ascii="Times New Roman" w:hAnsi="Times New Roman" w:cs="Times New Roman"/>
          <w:color w:val="000000" w:themeColor="text1"/>
          <w:sz w:val="28"/>
          <w:szCs w:val="28"/>
        </w:rPr>
        <w:t>Действующие двусторонние и многосторонние соглашения</w:t>
      </w:r>
      <w:r>
        <w:rPr>
          <w:rFonts w:ascii="Times New Roman" w:hAnsi="Times New Roman" w:cs="Times New Roman"/>
          <w:color w:val="000000" w:themeColor="text1"/>
          <w:sz w:val="28"/>
          <w:szCs w:val="28"/>
        </w:rPr>
        <w:t xml:space="preserve"> о взаимодействии</w:t>
      </w:r>
      <w:r w:rsidRPr="008E50AC">
        <w:rPr>
          <w:rFonts w:ascii="Times New Roman" w:hAnsi="Times New Roman" w:cs="Times New Roman"/>
          <w:color w:val="000000" w:themeColor="text1"/>
          <w:sz w:val="28"/>
          <w:szCs w:val="28"/>
        </w:rPr>
        <w:t xml:space="preserve"> при расследовании картелей носят чаще декларативный характер и не обязательны для исполнения </w:t>
      </w:r>
      <w:r>
        <w:rPr>
          <w:rFonts w:ascii="Times New Roman" w:hAnsi="Times New Roman" w:cs="Times New Roman"/>
          <w:color w:val="000000" w:themeColor="text1"/>
          <w:sz w:val="28"/>
          <w:szCs w:val="28"/>
        </w:rPr>
        <w:t>антимонопольными органами</w:t>
      </w:r>
      <w:r w:rsidRPr="008E50AC">
        <w:rPr>
          <w:rFonts w:ascii="Times New Roman" w:hAnsi="Times New Roman" w:cs="Times New Roman"/>
          <w:color w:val="000000" w:themeColor="text1"/>
          <w:sz w:val="28"/>
          <w:szCs w:val="28"/>
        </w:rPr>
        <w:t xml:space="preserve"> государств.</w:t>
      </w:r>
    </w:p>
    <w:p w14:paraId="3BED9050" w14:textId="77777777" w:rsidR="004E3D80" w:rsidRPr="008E50AC" w:rsidRDefault="004E3D80" w:rsidP="004E3D80">
      <w:pPr>
        <w:spacing w:after="0" w:line="240" w:lineRule="auto"/>
        <w:ind w:firstLine="709"/>
        <w:jc w:val="both"/>
        <w:rPr>
          <w:rFonts w:ascii="Times New Roman" w:hAnsi="Times New Roman" w:cs="Times New Roman"/>
          <w:color w:val="000000" w:themeColor="text1"/>
          <w:sz w:val="28"/>
          <w:szCs w:val="28"/>
        </w:rPr>
      </w:pPr>
      <w:r w:rsidRPr="008E50AC">
        <w:rPr>
          <w:rFonts w:ascii="Times New Roman" w:hAnsi="Times New Roman" w:cs="Times New Roman"/>
          <w:color w:val="000000" w:themeColor="text1"/>
          <w:sz w:val="28"/>
          <w:szCs w:val="28"/>
        </w:rPr>
        <w:t>Для эффективного расследования картелей необходимо практическое международное сотрудничество конкурентных ведомств и правоохранительных органов на основе международных правовых актов.</w:t>
      </w:r>
    </w:p>
    <w:p w14:paraId="23C621BC" w14:textId="77777777" w:rsidR="004E3D80" w:rsidRPr="008E50AC" w:rsidRDefault="004E3D80" w:rsidP="004E3D80">
      <w:pPr>
        <w:spacing w:after="0" w:line="240" w:lineRule="auto"/>
        <w:ind w:firstLine="709"/>
        <w:jc w:val="both"/>
        <w:rPr>
          <w:rFonts w:ascii="Times New Roman" w:hAnsi="Times New Roman" w:cs="Times New Roman"/>
          <w:color w:val="000000" w:themeColor="text1"/>
          <w:sz w:val="28"/>
          <w:szCs w:val="28"/>
        </w:rPr>
      </w:pPr>
      <w:r w:rsidRPr="008E50AC">
        <w:rPr>
          <w:rFonts w:ascii="Times New Roman" w:hAnsi="Times New Roman" w:cs="Times New Roman"/>
          <w:color w:val="000000" w:themeColor="text1"/>
          <w:sz w:val="28"/>
          <w:szCs w:val="28"/>
        </w:rPr>
        <w:t>На современном этапе развития международных отношений проблемы, возникающие в ходе противодействия правонарушениям и преступлениям, имеющим трансграничный характер, решаются путем принятия заинтересованными странами международных конвенций под эгидой Организации Объединённых Наций (далее – ООН), Всемирной торговой Организации (далее - ВТО) и других крупных международных организаций. Например, приняты и успешно применяются положения К</w:t>
      </w:r>
      <w:r>
        <w:rPr>
          <w:rFonts w:ascii="Times New Roman" w:hAnsi="Times New Roman" w:cs="Times New Roman"/>
          <w:color w:val="000000" w:themeColor="text1"/>
          <w:sz w:val="28"/>
          <w:szCs w:val="28"/>
        </w:rPr>
        <w:t>онвенции по</w:t>
      </w:r>
      <w:r w:rsidRPr="008E50AC">
        <w:rPr>
          <w:rFonts w:ascii="Times New Roman" w:hAnsi="Times New Roman" w:cs="Times New Roman"/>
          <w:color w:val="000000" w:themeColor="text1"/>
          <w:sz w:val="28"/>
          <w:szCs w:val="28"/>
        </w:rPr>
        <w:t xml:space="preserve"> борьбе с подкупом иностранных должностных лиц</w:t>
      </w:r>
      <w:r>
        <w:rPr>
          <w:rFonts w:ascii="Times New Roman" w:hAnsi="Times New Roman" w:cs="Times New Roman"/>
          <w:color w:val="000000" w:themeColor="text1"/>
          <w:sz w:val="28"/>
          <w:szCs w:val="28"/>
        </w:rPr>
        <w:t xml:space="preserve"> при осуществлении международных коммерческих сделок (Париж, 17 декабря 1997)</w:t>
      </w:r>
      <w:r w:rsidRPr="008E50AC">
        <w:rPr>
          <w:rFonts w:ascii="Times New Roman" w:hAnsi="Times New Roman" w:cs="Times New Roman"/>
          <w:color w:val="000000" w:themeColor="text1"/>
          <w:sz w:val="28"/>
          <w:szCs w:val="28"/>
        </w:rPr>
        <w:t>, Международной конвенции по борьбе с подделкой денежных знаков</w:t>
      </w:r>
      <w:r>
        <w:rPr>
          <w:rFonts w:ascii="Times New Roman" w:hAnsi="Times New Roman" w:cs="Times New Roman"/>
          <w:color w:val="000000" w:themeColor="text1"/>
          <w:sz w:val="28"/>
          <w:szCs w:val="28"/>
        </w:rPr>
        <w:t xml:space="preserve"> (</w:t>
      </w:r>
      <w:r w:rsidRPr="00450164">
        <w:rPr>
          <w:rFonts w:ascii="Times New Roman" w:hAnsi="Times New Roman" w:cs="Times New Roman"/>
          <w:color w:val="000000" w:themeColor="text1"/>
          <w:sz w:val="28"/>
          <w:szCs w:val="28"/>
        </w:rPr>
        <w:t>Женева, 20 апреля 1929 года</w:t>
      </w:r>
      <w:r>
        <w:rPr>
          <w:rFonts w:ascii="Times New Roman" w:hAnsi="Times New Roman" w:cs="Times New Roman"/>
          <w:color w:val="000000" w:themeColor="text1"/>
          <w:sz w:val="28"/>
          <w:szCs w:val="28"/>
        </w:rPr>
        <w:t>)</w:t>
      </w:r>
      <w:r w:rsidRPr="008E50A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Конвенции о</w:t>
      </w:r>
      <w:r w:rsidRPr="008E50AC">
        <w:rPr>
          <w:rFonts w:ascii="Times New Roman" w:hAnsi="Times New Roman" w:cs="Times New Roman"/>
          <w:color w:val="000000" w:themeColor="text1"/>
          <w:sz w:val="28"/>
          <w:szCs w:val="28"/>
        </w:rPr>
        <w:t xml:space="preserve"> взаимной административной помощи по налоговым делам</w:t>
      </w:r>
      <w:r>
        <w:rPr>
          <w:rFonts w:ascii="Times New Roman" w:hAnsi="Times New Roman" w:cs="Times New Roman"/>
          <w:color w:val="000000" w:themeColor="text1"/>
          <w:sz w:val="28"/>
          <w:szCs w:val="28"/>
        </w:rPr>
        <w:t xml:space="preserve"> </w:t>
      </w:r>
      <w:r w:rsidRPr="004B33A9">
        <w:rPr>
          <w:rFonts w:ascii="Times New Roman" w:hAnsi="Times New Roman" w:cs="Times New Roman"/>
          <w:color w:val="000000" w:themeColor="text1"/>
          <w:sz w:val="28"/>
          <w:szCs w:val="28"/>
        </w:rPr>
        <w:t>(Страсбург, 25 января 1988 года)</w:t>
      </w:r>
      <w:r>
        <w:rPr>
          <w:rFonts w:ascii="Times New Roman" w:hAnsi="Times New Roman" w:cs="Times New Roman"/>
          <w:color w:val="000000" w:themeColor="text1"/>
          <w:sz w:val="28"/>
          <w:szCs w:val="28"/>
        </w:rPr>
        <w:t>,</w:t>
      </w:r>
      <w:r w:rsidRPr="004B33A9">
        <w:rPr>
          <w:rFonts w:ascii="Times New Roman" w:hAnsi="Times New Roman" w:cs="Times New Roman"/>
          <w:color w:val="000000" w:themeColor="text1"/>
          <w:sz w:val="28"/>
          <w:szCs w:val="28"/>
        </w:rPr>
        <w:t xml:space="preserve"> </w:t>
      </w:r>
      <w:r w:rsidRPr="008E50AC">
        <w:rPr>
          <w:rFonts w:ascii="Times New Roman" w:hAnsi="Times New Roman" w:cs="Times New Roman"/>
          <w:color w:val="000000" w:themeColor="text1"/>
          <w:sz w:val="28"/>
          <w:szCs w:val="28"/>
        </w:rPr>
        <w:t xml:space="preserve">также ряд международных конвенций Совета Европы. </w:t>
      </w:r>
    </w:p>
    <w:p w14:paraId="0308E684" w14:textId="77777777" w:rsidR="004E3D80" w:rsidRDefault="004E3D80" w:rsidP="004E3D80">
      <w:pPr>
        <w:spacing w:after="0" w:line="240" w:lineRule="auto"/>
        <w:ind w:firstLine="709"/>
        <w:jc w:val="both"/>
        <w:rPr>
          <w:rFonts w:ascii="Times New Roman" w:hAnsi="Times New Roman" w:cs="Times New Roman"/>
          <w:color w:val="000000" w:themeColor="text1"/>
          <w:sz w:val="28"/>
          <w:szCs w:val="28"/>
        </w:rPr>
      </w:pPr>
      <w:r w:rsidRPr="008E50AC">
        <w:rPr>
          <w:rFonts w:ascii="Times New Roman" w:hAnsi="Times New Roman" w:cs="Times New Roman"/>
          <w:color w:val="000000" w:themeColor="text1"/>
          <w:sz w:val="28"/>
          <w:szCs w:val="28"/>
        </w:rPr>
        <w:t xml:space="preserve">Принятие Международной Конвенции «О борьбе с картелями» (далее – Конвенция) могло бы установить единые подходы государств – участников Конвенции к картелям как наиболее опасным правонарушениям в сфере экономики, определить единообразную и унифицированную международную терминологию, а также закрепить единый подход к определению санкций в делах о картелях. </w:t>
      </w:r>
    </w:p>
    <w:p w14:paraId="078018CB" w14:textId="77777777" w:rsidR="004E3D80" w:rsidRDefault="004E3D80" w:rsidP="004E3D80">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10D8E">
        <w:rPr>
          <w:rFonts w:ascii="Times New Roman" w:eastAsia="Times New Roman" w:hAnsi="Times New Roman" w:cs="Times New Roman"/>
          <w:color w:val="000000"/>
          <w:sz w:val="28"/>
          <w:szCs w:val="28"/>
          <w:lang w:eastAsia="ru-RU"/>
        </w:rPr>
        <w:t>Особое значение для</w:t>
      </w:r>
      <w:r w:rsidRPr="00710D8E">
        <w:rPr>
          <w:rFonts w:ascii="Times New Roman" w:eastAsia="Times New Roman" w:hAnsi="Times New Roman" w:cs="Times New Roman"/>
          <w:b/>
          <w:color w:val="000000"/>
          <w:sz w:val="28"/>
          <w:szCs w:val="28"/>
          <w:lang w:eastAsia="ru-RU"/>
        </w:rPr>
        <w:t xml:space="preserve"> </w:t>
      </w:r>
      <w:r w:rsidRPr="00710D8E">
        <w:rPr>
          <w:rFonts w:ascii="Times New Roman" w:eastAsia="Times New Roman" w:hAnsi="Times New Roman" w:cs="Times New Roman"/>
          <w:color w:val="000000"/>
          <w:sz w:val="28"/>
          <w:szCs w:val="28"/>
          <w:lang w:eastAsia="ru-RU"/>
        </w:rPr>
        <w:t xml:space="preserve">повышения эффективности реализуемой национальной конкурентной политики приобретает двухстороннее сотрудничество антимонопольных </w:t>
      </w:r>
      <w:r>
        <w:rPr>
          <w:rFonts w:ascii="Times New Roman" w:eastAsia="Times New Roman" w:hAnsi="Times New Roman" w:cs="Times New Roman"/>
          <w:color w:val="000000"/>
          <w:sz w:val="28"/>
          <w:szCs w:val="28"/>
          <w:lang w:eastAsia="ru-RU"/>
        </w:rPr>
        <w:t xml:space="preserve">органов и взаимодействие в рамках </w:t>
      </w:r>
      <w:r w:rsidRPr="00710D8E">
        <w:rPr>
          <w:rFonts w:ascii="Times New Roman" w:eastAsia="Times New Roman" w:hAnsi="Times New Roman" w:cs="Times New Roman"/>
          <w:color w:val="000000"/>
          <w:sz w:val="28"/>
          <w:szCs w:val="28"/>
          <w:lang w:eastAsia="ru-RU"/>
        </w:rPr>
        <w:t>Евразийского экономического союза</w:t>
      </w:r>
      <w:r>
        <w:rPr>
          <w:rFonts w:ascii="Times New Roman" w:eastAsia="Times New Roman" w:hAnsi="Times New Roman" w:cs="Times New Roman"/>
          <w:color w:val="000000"/>
          <w:sz w:val="28"/>
          <w:szCs w:val="28"/>
          <w:lang w:eastAsia="ru-RU"/>
        </w:rPr>
        <w:t>.</w:t>
      </w:r>
      <w:r w:rsidRPr="00710D8E">
        <w:rPr>
          <w:rFonts w:ascii="Times New Roman" w:eastAsia="Times New Roman" w:hAnsi="Times New Roman" w:cs="Times New Roman"/>
          <w:color w:val="000000"/>
          <w:sz w:val="28"/>
          <w:szCs w:val="28"/>
          <w:lang w:eastAsia="ru-RU"/>
        </w:rPr>
        <w:t xml:space="preserve"> </w:t>
      </w:r>
      <w:r>
        <w:rPr>
          <w:rFonts w:ascii="Times New Roman" w:hAnsi="Times New Roman" w:cs="Times New Roman"/>
          <w:color w:val="000000" w:themeColor="text1"/>
          <w:sz w:val="28"/>
          <w:szCs w:val="28"/>
        </w:rPr>
        <w:t>Гармонизация законодательства в рамках ЕАЭС представляет дополнительные возможности по защите конкуренции от правонарушений, имеющих трансграничных характер. В частности, в 2018 году ФАС России активизирована</w:t>
      </w:r>
      <w:r w:rsidRPr="007E638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работа по взаимодействию с </w:t>
      </w:r>
      <w:r w:rsidRPr="003967B3">
        <w:rPr>
          <w:rFonts w:ascii="Times New Roman" w:eastAsia="Times New Roman" w:hAnsi="Times New Roman" w:cs="Times New Roman"/>
          <w:color w:val="000000"/>
          <w:sz w:val="28"/>
          <w:szCs w:val="28"/>
          <w:lang w:eastAsia="ru-RU"/>
        </w:rPr>
        <w:t>Ев</w:t>
      </w:r>
      <w:r>
        <w:rPr>
          <w:rFonts w:ascii="Times New Roman" w:eastAsia="Times New Roman" w:hAnsi="Times New Roman" w:cs="Times New Roman"/>
          <w:color w:val="000000"/>
          <w:sz w:val="28"/>
          <w:szCs w:val="28"/>
          <w:lang w:eastAsia="ru-RU"/>
        </w:rPr>
        <w:t>разийской экономической комиссией</w:t>
      </w:r>
      <w:r>
        <w:rPr>
          <w:rFonts w:ascii="Times New Roman" w:hAnsi="Times New Roman" w:cs="Times New Roman"/>
          <w:color w:val="000000" w:themeColor="text1"/>
          <w:sz w:val="28"/>
          <w:szCs w:val="28"/>
        </w:rPr>
        <w:t>, а также развивается двустороннее сотрудничество со странами Союза по выявлению и пресечению картелей и иных антиконкурентных соглашений. Сотрудничество выражается в обмене неконфиденциальной информацией о расследованиях, проведении совместных внеплановых проверок и обмене практическим опытом и методиками.</w:t>
      </w:r>
    </w:p>
    <w:p w14:paraId="5843D81F" w14:textId="77777777" w:rsidR="004E3D80" w:rsidRDefault="004E3D80" w:rsidP="004E3D80">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Так, в 2018 году по </w:t>
      </w:r>
      <w:r w:rsidRPr="003967B3">
        <w:rPr>
          <w:rFonts w:ascii="Times New Roman" w:eastAsia="Times New Roman" w:hAnsi="Times New Roman" w:cs="Times New Roman"/>
          <w:color w:val="000000"/>
          <w:sz w:val="28"/>
          <w:szCs w:val="28"/>
          <w:lang w:eastAsia="ru-RU"/>
        </w:rPr>
        <w:t>мотивированно</w:t>
      </w:r>
      <w:r>
        <w:rPr>
          <w:rFonts w:ascii="Times New Roman" w:eastAsia="Times New Roman" w:hAnsi="Times New Roman" w:cs="Times New Roman"/>
          <w:color w:val="000000"/>
          <w:sz w:val="28"/>
          <w:szCs w:val="28"/>
          <w:lang w:eastAsia="ru-RU"/>
        </w:rPr>
        <w:t xml:space="preserve">му </w:t>
      </w:r>
      <w:r w:rsidRPr="003967B3">
        <w:rPr>
          <w:rFonts w:ascii="Times New Roman" w:eastAsia="Times New Roman" w:hAnsi="Times New Roman" w:cs="Times New Roman"/>
          <w:color w:val="000000"/>
          <w:sz w:val="28"/>
          <w:szCs w:val="28"/>
          <w:lang w:eastAsia="ru-RU"/>
        </w:rPr>
        <w:t>представлени</w:t>
      </w:r>
      <w:r>
        <w:rPr>
          <w:rFonts w:ascii="Times New Roman" w:eastAsia="Times New Roman" w:hAnsi="Times New Roman" w:cs="Times New Roman"/>
          <w:color w:val="000000"/>
          <w:sz w:val="28"/>
          <w:szCs w:val="28"/>
          <w:lang w:eastAsia="ru-RU"/>
        </w:rPr>
        <w:t>ю</w:t>
      </w:r>
      <w:r w:rsidRPr="003967B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ЕЭК </w:t>
      </w:r>
      <w:r w:rsidRPr="003967B3">
        <w:rPr>
          <w:rFonts w:ascii="Times New Roman" w:eastAsia="Times New Roman" w:hAnsi="Times New Roman" w:cs="Times New Roman"/>
          <w:color w:val="000000"/>
          <w:sz w:val="28"/>
          <w:szCs w:val="28"/>
          <w:lang w:eastAsia="ru-RU"/>
        </w:rPr>
        <w:t xml:space="preserve">ФАС России </w:t>
      </w:r>
      <w:r>
        <w:rPr>
          <w:rFonts w:ascii="Times New Roman" w:eastAsia="Times New Roman" w:hAnsi="Times New Roman" w:cs="Times New Roman"/>
          <w:color w:val="000000"/>
          <w:sz w:val="28"/>
          <w:szCs w:val="28"/>
          <w:lang w:eastAsia="ru-RU"/>
        </w:rPr>
        <w:t xml:space="preserve">проведены внеплановые проверки ряда </w:t>
      </w:r>
      <w:r w:rsidRPr="003967B3">
        <w:rPr>
          <w:rFonts w:ascii="Times New Roman" w:eastAsia="Times New Roman" w:hAnsi="Times New Roman" w:cs="Times New Roman"/>
          <w:color w:val="000000"/>
          <w:sz w:val="28"/>
          <w:szCs w:val="28"/>
          <w:lang w:eastAsia="ru-RU"/>
        </w:rPr>
        <w:t>рос</w:t>
      </w:r>
      <w:r>
        <w:rPr>
          <w:rFonts w:ascii="Times New Roman" w:eastAsia="Times New Roman" w:hAnsi="Times New Roman" w:cs="Times New Roman"/>
          <w:color w:val="000000"/>
          <w:sz w:val="28"/>
          <w:szCs w:val="28"/>
          <w:lang w:eastAsia="ru-RU"/>
        </w:rPr>
        <w:t>сийских хозяйствующих субъектов</w:t>
      </w:r>
      <w:r w:rsidRPr="003967B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w:t>
      </w:r>
      <w:r w:rsidRPr="003967B3">
        <w:rPr>
          <w:rFonts w:ascii="Times New Roman" w:eastAsia="Times New Roman" w:hAnsi="Times New Roman" w:cs="Times New Roman"/>
          <w:color w:val="000000"/>
          <w:sz w:val="28"/>
          <w:szCs w:val="28"/>
          <w:lang w:eastAsia="ru-RU"/>
        </w:rPr>
        <w:t xml:space="preserve">связи с наличием в </w:t>
      </w:r>
      <w:r>
        <w:rPr>
          <w:rFonts w:ascii="Times New Roman" w:eastAsia="Times New Roman" w:hAnsi="Times New Roman" w:cs="Times New Roman"/>
          <w:color w:val="000000"/>
          <w:sz w:val="28"/>
          <w:szCs w:val="28"/>
          <w:lang w:eastAsia="ru-RU"/>
        </w:rPr>
        <w:t xml:space="preserve">их </w:t>
      </w:r>
      <w:r w:rsidRPr="003967B3">
        <w:rPr>
          <w:rFonts w:ascii="Times New Roman" w:eastAsia="Times New Roman" w:hAnsi="Times New Roman" w:cs="Times New Roman"/>
          <w:color w:val="000000"/>
          <w:sz w:val="28"/>
          <w:szCs w:val="28"/>
          <w:lang w:eastAsia="ru-RU"/>
        </w:rPr>
        <w:t>действиях признаков нарушения пунктов 1, 3 – 5 статьи 76 Договора о Евразийс</w:t>
      </w:r>
      <w:r>
        <w:rPr>
          <w:rFonts w:ascii="Times New Roman" w:eastAsia="Times New Roman" w:hAnsi="Times New Roman" w:cs="Times New Roman"/>
          <w:color w:val="000000"/>
          <w:sz w:val="28"/>
          <w:szCs w:val="28"/>
          <w:lang w:eastAsia="ru-RU"/>
        </w:rPr>
        <w:t xml:space="preserve">ком экономическом союзе от 29 мая </w:t>
      </w:r>
      <w:r w:rsidRPr="003967B3">
        <w:rPr>
          <w:rFonts w:ascii="Times New Roman" w:eastAsia="Times New Roman" w:hAnsi="Times New Roman" w:cs="Times New Roman"/>
          <w:color w:val="000000"/>
          <w:sz w:val="28"/>
          <w:szCs w:val="28"/>
          <w:lang w:eastAsia="ru-RU"/>
        </w:rPr>
        <w:t>2014</w:t>
      </w:r>
      <w:r>
        <w:rPr>
          <w:rFonts w:ascii="Times New Roman" w:eastAsia="Times New Roman" w:hAnsi="Times New Roman" w:cs="Times New Roman"/>
          <w:color w:val="000000"/>
          <w:sz w:val="28"/>
          <w:szCs w:val="28"/>
          <w:lang w:eastAsia="ru-RU"/>
        </w:rPr>
        <w:t xml:space="preserve"> года</w:t>
      </w:r>
      <w:r w:rsidRPr="003967B3">
        <w:rPr>
          <w:rFonts w:ascii="Times New Roman" w:eastAsia="Times New Roman" w:hAnsi="Times New Roman" w:cs="Times New Roman"/>
          <w:color w:val="000000"/>
          <w:sz w:val="28"/>
          <w:szCs w:val="28"/>
          <w:lang w:eastAsia="ru-RU"/>
        </w:rPr>
        <w:t xml:space="preserve"> (далее – Договор о союзе)</w:t>
      </w:r>
      <w:r>
        <w:rPr>
          <w:rFonts w:ascii="Times New Roman" w:eastAsia="Times New Roman" w:hAnsi="Times New Roman" w:cs="Times New Roman"/>
          <w:color w:val="000000"/>
          <w:sz w:val="28"/>
          <w:szCs w:val="28"/>
          <w:lang w:eastAsia="ru-RU"/>
        </w:rPr>
        <w:t>.</w:t>
      </w:r>
      <w:r w:rsidRPr="003967B3">
        <w:rPr>
          <w:rFonts w:ascii="Times New Roman" w:eastAsia="Times New Roman" w:hAnsi="Times New Roman" w:cs="Times New Roman"/>
          <w:color w:val="000000"/>
          <w:sz w:val="28"/>
          <w:szCs w:val="28"/>
          <w:lang w:eastAsia="ru-RU"/>
        </w:rPr>
        <w:t xml:space="preserve"> </w:t>
      </w:r>
      <w:r w:rsidRPr="003967B3">
        <w:rPr>
          <w:rFonts w:ascii="Times New Roman" w:eastAsia="Times New Roman" w:hAnsi="Times New Roman" w:cs="Times New Roman"/>
          <w:sz w:val="28"/>
          <w:szCs w:val="28"/>
          <w:lang w:eastAsia="ru-RU"/>
        </w:rPr>
        <w:t xml:space="preserve">Материалы проверок, направленные в </w:t>
      </w:r>
      <w:r w:rsidRPr="003967B3">
        <w:rPr>
          <w:rFonts w:ascii="Times New Roman" w:eastAsia="Times New Roman" w:hAnsi="Times New Roman" w:cs="Times New Roman"/>
          <w:color w:val="000000"/>
          <w:sz w:val="28"/>
          <w:szCs w:val="28"/>
          <w:lang w:eastAsia="ru-RU"/>
        </w:rPr>
        <w:t>Ев</w:t>
      </w:r>
      <w:r>
        <w:rPr>
          <w:rFonts w:ascii="Times New Roman" w:eastAsia="Times New Roman" w:hAnsi="Times New Roman" w:cs="Times New Roman"/>
          <w:color w:val="000000"/>
          <w:sz w:val="28"/>
          <w:szCs w:val="28"/>
          <w:lang w:eastAsia="ru-RU"/>
        </w:rPr>
        <w:t>разийскую экономическую комиссию</w:t>
      </w:r>
      <w:r>
        <w:rPr>
          <w:rFonts w:ascii="Times New Roman" w:eastAsia="Times New Roman" w:hAnsi="Times New Roman" w:cs="Times New Roman"/>
          <w:sz w:val="28"/>
          <w:szCs w:val="28"/>
          <w:lang w:eastAsia="ru-RU"/>
        </w:rPr>
        <w:t>,</w:t>
      </w:r>
      <w:r w:rsidRPr="003967B3">
        <w:rPr>
          <w:rFonts w:ascii="Times New Roman" w:eastAsia="Times New Roman" w:hAnsi="Times New Roman" w:cs="Times New Roman"/>
          <w:sz w:val="28"/>
          <w:szCs w:val="28"/>
          <w:lang w:eastAsia="ru-RU"/>
        </w:rPr>
        <w:t xml:space="preserve"> послужили дополнительными доказательствами нарушения</w:t>
      </w:r>
      <w:r>
        <w:rPr>
          <w:rFonts w:ascii="Times New Roman" w:eastAsia="Times New Roman" w:hAnsi="Times New Roman" w:cs="Times New Roman"/>
          <w:sz w:val="28"/>
          <w:szCs w:val="28"/>
          <w:lang w:eastAsia="ru-RU"/>
        </w:rPr>
        <w:t xml:space="preserve"> </w:t>
      </w:r>
      <w:r w:rsidRPr="003967B3">
        <w:rPr>
          <w:rFonts w:ascii="Times New Roman" w:eastAsia="Times New Roman" w:hAnsi="Times New Roman" w:cs="Times New Roman"/>
          <w:sz w:val="28"/>
          <w:szCs w:val="28"/>
          <w:lang w:eastAsia="ru-RU"/>
        </w:rPr>
        <w:t>статьи 76 Договора о Евразийском экономическом союзе хозяйствующими субъектами</w:t>
      </w:r>
      <w:r>
        <w:rPr>
          <w:rFonts w:ascii="Times New Roman" w:eastAsia="Times New Roman" w:hAnsi="Times New Roman" w:cs="Times New Roman"/>
          <w:sz w:val="28"/>
          <w:szCs w:val="28"/>
          <w:lang w:eastAsia="ru-RU"/>
        </w:rPr>
        <w:t xml:space="preserve"> из Российской Федерации и Республики Казахстан</w:t>
      </w:r>
      <w:r w:rsidRPr="003967B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ЕЭК было</w:t>
      </w:r>
      <w:r w:rsidRPr="003967B3">
        <w:rPr>
          <w:rFonts w:ascii="Times New Roman" w:eastAsia="Times New Roman" w:hAnsi="Times New Roman" w:cs="Times New Roman"/>
          <w:color w:val="000000"/>
          <w:sz w:val="28"/>
          <w:szCs w:val="28"/>
          <w:lang w:eastAsia="ru-RU"/>
        </w:rPr>
        <w:t xml:space="preserve"> возбуждено дело о нарушении общих правил конк</w:t>
      </w:r>
      <w:r>
        <w:rPr>
          <w:rFonts w:ascii="Times New Roman" w:eastAsia="Times New Roman" w:hAnsi="Times New Roman" w:cs="Times New Roman"/>
          <w:color w:val="000000"/>
          <w:sz w:val="28"/>
          <w:szCs w:val="28"/>
          <w:lang w:eastAsia="ru-RU"/>
        </w:rPr>
        <w:t xml:space="preserve">уренции на трансграничном рынке </w:t>
      </w:r>
      <w:r w:rsidRPr="003967B3">
        <w:rPr>
          <w:rFonts w:ascii="Times New Roman" w:eastAsia="Times New Roman" w:hAnsi="Times New Roman" w:cs="Times New Roman"/>
          <w:color w:val="000000"/>
          <w:sz w:val="28"/>
          <w:szCs w:val="28"/>
          <w:lang w:eastAsia="ru-RU"/>
        </w:rPr>
        <w:t>калибровки медицинского аппарата «</w:t>
      </w:r>
      <w:r w:rsidRPr="003967B3">
        <w:rPr>
          <w:rFonts w:ascii="Times New Roman" w:eastAsia="Times New Roman" w:hAnsi="Times New Roman" w:cs="Times New Roman"/>
          <w:color w:val="000000"/>
          <w:sz w:val="28"/>
          <w:szCs w:val="28"/>
          <w:lang w:val="en-US" w:eastAsia="ru-RU"/>
        </w:rPr>
        <w:t>Fibroscan</w:t>
      </w:r>
      <w:r w:rsidRPr="003967B3">
        <w:rPr>
          <w:rFonts w:ascii="Times New Roman" w:eastAsia="Times New Roman" w:hAnsi="Times New Roman" w:cs="Times New Roman"/>
          <w:color w:val="000000"/>
          <w:sz w:val="28"/>
          <w:szCs w:val="28"/>
          <w:lang w:eastAsia="ru-RU"/>
        </w:rPr>
        <w:t xml:space="preserve">» (его различных модификаций), в том числе его обслуживания и поставки. </w:t>
      </w:r>
    </w:p>
    <w:p w14:paraId="3DC70CD2" w14:textId="77777777" w:rsidR="004E3D80" w:rsidRDefault="004E3D80" w:rsidP="004E3D80">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Сотрудниками ФАС России в</w:t>
      </w:r>
      <w:r w:rsidRPr="00454C99">
        <w:rPr>
          <w:rFonts w:ascii="Times New Roman" w:eastAsia="Times New Roman" w:hAnsi="Times New Roman" w:cs="Times New Roman"/>
          <w:sz w:val="28"/>
          <w:szCs w:val="28"/>
          <w:lang w:eastAsia="ru-RU"/>
        </w:rPr>
        <w:t xml:space="preserve"> июн</w:t>
      </w:r>
      <w:r>
        <w:rPr>
          <w:rFonts w:ascii="Times New Roman" w:eastAsia="Times New Roman" w:hAnsi="Times New Roman" w:cs="Times New Roman"/>
          <w:sz w:val="28"/>
          <w:szCs w:val="28"/>
          <w:lang w:eastAsia="ru-RU"/>
        </w:rPr>
        <w:t>е</w:t>
      </w:r>
      <w:r w:rsidRPr="00454C9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2018 года </w:t>
      </w:r>
      <w:r w:rsidRPr="00454C99">
        <w:rPr>
          <w:rFonts w:ascii="Times New Roman" w:eastAsia="Times New Roman" w:hAnsi="Times New Roman" w:cs="Times New Roman"/>
          <w:sz w:val="28"/>
          <w:szCs w:val="28"/>
          <w:lang w:eastAsia="ru-RU"/>
        </w:rPr>
        <w:t>в г. Астане про</w:t>
      </w:r>
      <w:r>
        <w:rPr>
          <w:rFonts w:ascii="Times New Roman" w:eastAsia="Times New Roman" w:hAnsi="Times New Roman" w:cs="Times New Roman"/>
          <w:sz w:val="28"/>
          <w:szCs w:val="28"/>
          <w:lang w:eastAsia="ru-RU"/>
        </w:rPr>
        <w:t>веден</w:t>
      </w:r>
      <w:r w:rsidRPr="00454C99">
        <w:rPr>
          <w:rFonts w:ascii="Times New Roman" w:eastAsia="Times New Roman" w:hAnsi="Times New Roman" w:cs="Times New Roman"/>
          <w:sz w:val="28"/>
          <w:szCs w:val="28"/>
          <w:lang w:eastAsia="ru-RU"/>
        </w:rPr>
        <w:t xml:space="preserve"> тренинг-семинар </w:t>
      </w:r>
      <w:r>
        <w:rPr>
          <w:rFonts w:ascii="Times New Roman" w:eastAsia="Times New Roman" w:hAnsi="Times New Roman" w:cs="Times New Roman"/>
          <w:sz w:val="28"/>
          <w:szCs w:val="28"/>
          <w:lang w:eastAsia="ru-RU"/>
        </w:rPr>
        <w:t xml:space="preserve">для </w:t>
      </w:r>
      <w:r w:rsidRPr="00454C99">
        <w:rPr>
          <w:rFonts w:ascii="Times New Roman" w:eastAsia="Times New Roman" w:hAnsi="Times New Roman" w:cs="Times New Roman"/>
          <w:sz w:val="28"/>
          <w:szCs w:val="28"/>
          <w:lang w:eastAsia="ru-RU"/>
        </w:rPr>
        <w:t>сотрудников Комитета по регулированию естественных монополий, защите конкуренции и прав потребителей</w:t>
      </w:r>
      <w:r>
        <w:rPr>
          <w:rFonts w:ascii="Times New Roman" w:eastAsia="Times New Roman" w:hAnsi="Times New Roman" w:cs="Times New Roman"/>
          <w:sz w:val="28"/>
          <w:szCs w:val="28"/>
          <w:lang w:eastAsia="ru-RU"/>
        </w:rPr>
        <w:t xml:space="preserve"> Республики Казахстан</w:t>
      </w:r>
      <w:r w:rsidRPr="00454C99">
        <w:rPr>
          <w:rFonts w:ascii="Times New Roman" w:eastAsia="Times New Roman" w:hAnsi="Times New Roman" w:cs="Times New Roman"/>
          <w:sz w:val="28"/>
          <w:szCs w:val="28"/>
          <w:lang w:eastAsia="ru-RU"/>
        </w:rPr>
        <w:t xml:space="preserve"> на тему</w:t>
      </w:r>
      <w:r>
        <w:rPr>
          <w:rFonts w:ascii="Times New Roman" w:eastAsia="Times New Roman" w:hAnsi="Times New Roman" w:cs="Times New Roman"/>
          <w:sz w:val="28"/>
          <w:szCs w:val="28"/>
          <w:lang w:eastAsia="ru-RU"/>
        </w:rPr>
        <w:t>:</w:t>
      </w:r>
      <w:r w:rsidRPr="00454C99">
        <w:rPr>
          <w:rFonts w:ascii="Times New Roman" w:eastAsia="Times New Roman" w:hAnsi="Times New Roman" w:cs="Times New Roman"/>
          <w:sz w:val="28"/>
          <w:szCs w:val="28"/>
          <w:lang w:eastAsia="ru-RU"/>
        </w:rPr>
        <w:t xml:space="preserve"> «Инструменты и методы выявления и пресечения антиконкурентных соглашений, ценовых и тарифных сговоров, в том числе на торгах и закупках государственного и квазигосударственного сектора». </w:t>
      </w:r>
      <w:r>
        <w:rPr>
          <w:rFonts w:ascii="Times New Roman" w:eastAsia="Times New Roman" w:hAnsi="Times New Roman" w:cs="Times New Roman"/>
          <w:sz w:val="28"/>
          <w:szCs w:val="28"/>
          <w:lang w:eastAsia="ru-RU"/>
        </w:rPr>
        <w:t>ФАС России поделила</w:t>
      </w:r>
      <w:r w:rsidRPr="00454C99">
        <w:rPr>
          <w:rFonts w:ascii="Times New Roman" w:eastAsia="Times New Roman" w:hAnsi="Times New Roman" w:cs="Times New Roman"/>
          <w:sz w:val="28"/>
          <w:szCs w:val="28"/>
          <w:lang w:eastAsia="ru-RU"/>
        </w:rPr>
        <w:t>сь</w:t>
      </w:r>
      <w:r>
        <w:rPr>
          <w:rFonts w:ascii="Times New Roman" w:eastAsia="Times New Roman" w:hAnsi="Times New Roman" w:cs="Times New Roman"/>
          <w:sz w:val="28"/>
          <w:szCs w:val="28"/>
          <w:lang w:eastAsia="ru-RU"/>
        </w:rPr>
        <w:t xml:space="preserve"> практическим опытом и методиками</w:t>
      </w:r>
      <w:r w:rsidRPr="00454C99">
        <w:rPr>
          <w:rFonts w:ascii="Times New Roman" w:eastAsia="Times New Roman" w:hAnsi="Times New Roman" w:cs="Times New Roman"/>
          <w:sz w:val="28"/>
          <w:szCs w:val="28"/>
          <w:lang w:eastAsia="ru-RU"/>
        </w:rPr>
        <w:t xml:space="preserve"> по выявлению антиконкурентных соглашений </w:t>
      </w:r>
      <w:r>
        <w:rPr>
          <w:rFonts w:ascii="Times New Roman" w:eastAsia="Times New Roman" w:hAnsi="Times New Roman" w:cs="Times New Roman"/>
          <w:sz w:val="28"/>
          <w:szCs w:val="28"/>
          <w:lang w:eastAsia="ru-RU"/>
        </w:rPr>
        <w:t xml:space="preserve">в современных условиях. Российские методики уже используются при выявлении сговоров на торгах в </w:t>
      </w:r>
      <w:r w:rsidRPr="00F742DD">
        <w:rPr>
          <w:rFonts w:ascii="Times New Roman" w:eastAsia="Times New Roman" w:hAnsi="Times New Roman" w:cs="Times New Roman"/>
          <w:sz w:val="28"/>
          <w:szCs w:val="28"/>
          <w:lang w:eastAsia="ru-RU"/>
        </w:rPr>
        <w:t>Республик</w:t>
      </w:r>
      <w:r>
        <w:rPr>
          <w:rFonts w:ascii="Times New Roman" w:eastAsia="Times New Roman" w:hAnsi="Times New Roman" w:cs="Times New Roman"/>
          <w:sz w:val="28"/>
          <w:szCs w:val="28"/>
          <w:lang w:eastAsia="ru-RU"/>
        </w:rPr>
        <w:t>е</w:t>
      </w:r>
      <w:r w:rsidRPr="00F742DD">
        <w:rPr>
          <w:rFonts w:ascii="Times New Roman" w:eastAsia="Times New Roman" w:hAnsi="Times New Roman" w:cs="Times New Roman"/>
          <w:sz w:val="28"/>
          <w:szCs w:val="28"/>
          <w:lang w:eastAsia="ru-RU"/>
        </w:rPr>
        <w:t xml:space="preserve"> Казахстан</w:t>
      </w:r>
      <w:r>
        <w:rPr>
          <w:rFonts w:ascii="Times New Roman" w:eastAsia="Times New Roman" w:hAnsi="Times New Roman" w:cs="Times New Roman"/>
          <w:sz w:val="28"/>
          <w:szCs w:val="28"/>
          <w:lang w:eastAsia="ru-RU"/>
        </w:rPr>
        <w:t>.</w:t>
      </w:r>
    </w:p>
    <w:p w14:paraId="1843B09A" w14:textId="77777777" w:rsidR="004E3D80" w:rsidRDefault="004E3D80" w:rsidP="004E3D80">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Аналогичный тренинг-семинар проведен в декабре 2018 года в г. Москве для сотрудников </w:t>
      </w:r>
      <w:r w:rsidRPr="00F742DD">
        <w:rPr>
          <w:rFonts w:ascii="Times New Roman" w:eastAsia="Times New Roman" w:hAnsi="Times New Roman" w:cs="Times New Roman"/>
          <w:sz w:val="28"/>
          <w:szCs w:val="28"/>
          <w:lang w:eastAsia="ru-RU"/>
        </w:rPr>
        <w:t>Государственного агентства антимонопольного регулирования при Правительстве Кыргызской Республики</w:t>
      </w:r>
      <w:r>
        <w:rPr>
          <w:rFonts w:ascii="Times New Roman" w:eastAsia="Times New Roman" w:hAnsi="Times New Roman" w:cs="Times New Roman"/>
          <w:sz w:val="28"/>
          <w:szCs w:val="28"/>
          <w:lang w:eastAsia="ru-RU"/>
        </w:rPr>
        <w:t>. Планируется дальнейшее сотрудничество</w:t>
      </w:r>
      <w:r w:rsidRPr="00710D8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обмен опытом.</w:t>
      </w:r>
    </w:p>
    <w:p w14:paraId="77DAD564" w14:textId="77777777" w:rsidR="004E3D80" w:rsidRDefault="004E3D80" w:rsidP="004E3D80">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2018 году проведено 3 международных </w:t>
      </w:r>
      <w:r w:rsidRPr="00C77780">
        <w:rPr>
          <w:rFonts w:ascii="Times New Roman" w:eastAsia="Times New Roman" w:hAnsi="Times New Roman" w:cs="Times New Roman"/>
          <w:color w:val="000000"/>
          <w:sz w:val="28"/>
          <w:szCs w:val="28"/>
          <w:lang w:eastAsia="ru-RU"/>
        </w:rPr>
        <w:t>семинар</w:t>
      </w:r>
      <w:r>
        <w:rPr>
          <w:rFonts w:ascii="Times New Roman" w:eastAsia="Times New Roman" w:hAnsi="Times New Roman" w:cs="Times New Roman"/>
          <w:color w:val="000000"/>
          <w:sz w:val="28"/>
          <w:szCs w:val="28"/>
          <w:lang w:eastAsia="ru-RU"/>
        </w:rPr>
        <w:t xml:space="preserve">а </w:t>
      </w:r>
      <w:r w:rsidRPr="00C77780">
        <w:rPr>
          <w:rFonts w:ascii="Times New Roman" w:eastAsia="Times New Roman" w:hAnsi="Times New Roman" w:cs="Times New Roman"/>
          <w:color w:val="000000"/>
          <w:sz w:val="28"/>
          <w:szCs w:val="28"/>
          <w:lang w:eastAsia="ru-RU"/>
        </w:rPr>
        <w:t>«Взаимодействие с системой государственных закупок в Российской Федерации: лучшие практики и руководство по борьбе со сговорами на торгах», организованны</w:t>
      </w:r>
      <w:r>
        <w:rPr>
          <w:rFonts w:ascii="Times New Roman" w:eastAsia="Times New Roman" w:hAnsi="Times New Roman" w:cs="Times New Roman"/>
          <w:color w:val="000000"/>
          <w:sz w:val="28"/>
          <w:szCs w:val="28"/>
          <w:lang w:eastAsia="ru-RU"/>
        </w:rPr>
        <w:t>х</w:t>
      </w:r>
      <w:r w:rsidRPr="00C77780">
        <w:rPr>
          <w:rFonts w:ascii="Times New Roman" w:eastAsia="Times New Roman" w:hAnsi="Times New Roman" w:cs="Times New Roman"/>
          <w:color w:val="000000"/>
          <w:sz w:val="28"/>
          <w:szCs w:val="28"/>
          <w:lang w:eastAsia="ru-RU"/>
        </w:rPr>
        <w:t xml:space="preserve"> совместно Организацией экономического сотрудничества и развития и </w:t>
      </w:r>
      <w:r>
        <w:rPr>
          <w:rFonts w:ascii="Times New Roman" w:eastAsia="Times New Roman" w:hAnsi="Times New Roman" w:cs="Times New Roman"/>
          <w:color w:val="000000"/>
          <w:sz w:val="28"/>
          <w:szCs w:val="28"/>
          <w:lang w:eastAsia="ru-RU"/>
        </w:rPr>
        <w:t>ФАС России</w:t>
      </w:r>
      <w:r w:rsidRPr="00C77780">
        <w:rPr>
          <w:rFonts w:ascii="Times New Roman" w:eastAsia="Times New Roman" w:hAnsi="Times New Roman" w:cs="Times New Roman"/>
          <w:color w:val="000000"/>
          <w:sz w:val="28"/>
          <w:szCs w:val="28"/>
          <w:lang w:eastAsia="ru-RU"/>
        </w:rPr>
        <w:t xml:space="preserve"> в партнерстве с компаниями «Делойт СНГ» и «Сименс».</w:t>
      </w:r>
      <w:r>
        <w:rPr>
          <w:rFonts w:ascii="Times New Roman" w:eastAsia="Times New Roman" w:hAnsi="Times New Roman" w:cs="Times New Roman"/>
          <w:color w:val="000000"/>
          <w:sz w:val="28"/>
          <w:szCs w:val="28"/>
          <w:lang w:eastAsia="ru-RU"/>
        </w:rPr>
        <w:t xml:space="preserve"> </w:t>
      </w:r>
      <w:r w:rsidRPr="00CF7F4C">
        <w:rPr>
          <w:rFonts w:ascii="Times New Roman" w:eastAsia="Times New Roman" w:hAnsi="Times New Roman" w:cs="Times New Roman"/>
          <w:color w:val="000000"/>
          <w:sz w:val="28"/>
          <w:szCs w:val="28"/>
          <w:lang w:eastAsia="ru-RU"/>
        </w:rPr>
        <w:t>В ходе мероприятия участники поделились своим опытом по скринингу, выявлению и доказыванию картелей, обсудили методы и инструменты, которые использовались антимонопольными органами в ходе расследований конкретных дел о картелях, рассмотрели практические вопросы организации процесса рассмотрения дел о картелях на примере конкретных дел.</w:t>
      </w:r>
    </w:p>
    <w:p w14:paraId="2139482E" w14:textId="77777777" w:rsidR="004E3D80" w:rsidRDefault="004E3D80" w:rsidP="004E3D80">
      <w:pPr>
        <w:spacing w:after="0" w:line="240" w:lineRule="auto"/>
        <w:ind w:firstLine="709"/>
        <w:jc w:val="both"/>
        <w:rPr>
          <w:rFonts w:ascii="Times New Roman" w:hAnsi="Times New Roman" w:cs="Times New Roman"/>
          <w:color w:val="000000" w:themeColor="text1"/>
          <w:sz w:val="28"/>
          <w:szCs w:val="28"/>
        </w:rPr>
      </w:pPr>
      <w:r w:rsidRPr="007E638B">
        <w:rPr>
          <w:rFonts w:ascii="Times New Roman" w:hAnsi="Times New Roman" w:cs="Times New Roman"/>
          <w:color w:val="000000" w:themeColor="text1"/>
          <w:sz w:val="28"/>
          <w:szCs w:val="28"/>
        </w:rPr>
        <w:t>Кроме того, продолжается</w:t>
      </w:r>
      <w:r>
        <w:rPr>
          <w:rFonts w:ascii="Times New Roman" w:hAnsi="Times New Roman" w:cs="Times New Roman"/>
          <w:color w:val="000000" w:themeColor="text1"/>
          <w:sz w:val="28"/>
          <w:szCs w:val="28"/>
        </w:rPr>
        <w:t xml:space="preserve"> активная</w:t>
      </w:r>
      <w:r w:rsidRPr="007E638B">
        <w:rPr>
          <w:rFonts w:ascii="Times New Roman" w:hAnsi="Times New Roman" w:cs="Times New Roman"/>
          <w:color w:val="000000" w:themeColor="text1"/>
          <w:sz w:val="28"/>
          <w:szCs w:val="28"/>
        </w:rPr>
        <w:t xml:space="preserve"> работа</w:t>
      </w:r>
      <w:r>
        <w:rPr>
          <w:rFonts w:ascii="Times New Roman" w:hAnsi="Times New Roman" w:cs="Times New Roman"/>
          <w:color w:val="000000" w:themeColor="text1"/>
          <w:sz w:val="28"/>
          <w:szCs w:val="28"/>
        </w:rPr>
        <w:t xml:space="preserve"> в рамках сопредседательства ФАС России во второй подгруппе Группы по борьбе с картелями Международной конкурентной сети (</w:t>
      </w:r>
      <w:r>
        <w:rPr>
          <w:rFonts w:ascii="Times New Roman" w:hAnsi="Times New Roman" w:cs="Times New Roman"/>
          <w:color w:val="000000" w:themeColor="text1"/>
          <w:sz w:val="28"/>
          <w:szCs w:val="28"/>
          <w:lang w:val="en-US"/>
        </w:rPr>
        <w:t>ICN</w:t>
      </w:r>
      <w:r w:rsidRPr="008B2658">
        <w:rPr>
          <w:rFonts w:ascii="Times New Roman" w:hAnsi="Times New Roman" w:cs="Times New Roman"/>
          <w:color w:val="000000" w:themeColor="text1"/>
          <w:sz w:val="28"/>
          <w:szCs w:val="28"/>
        </w:rPr>
        <w:t>).</w:t>
      </w:r>
      <w:r w:rsidRPr="007E638B">
        <w:rPr>
          <w:rFonts w:ascii="Times New Roman" w:hAnsi="Times New Roman" w:cs="Times New Roman"/>
          <w:color w:val="000000" w:themeColor="text1"/>
          <w:sz w:val="28"/>
          <w:szCs w:val="28"/>
        </w:rPr>
        <w:t xml:space="preserve"> </w:t>
      </w:r>
    </w:p>
    <w:p w14:paraId="2D92C116" w14:textId="77777777" w:rsidR="00D50687" w:rsidRDefault="00D50687" w:rsidP="00E46A41">
      <w:pPr>
        <w:spacing w:after="0" w:line="360" w:lineRule="auto"/>
        <w:jc w:val="both"/>
        <w:rPr>
          <w:rFonts w:ascii="Times New Roman" w:hAnsi="Times New Roman" w:cs="Times New Roman"/>
          <w:b/>
        </w:rPr>
      </w:pPr>
    </w:p>
    <w:p w14:paraId="7206418E" w14:textId="77777777" w:rsidR="00903B71" w:rsidRPr="00E46A41" w:rsidRDefault="00903B71" w:rsidP="00E46A41">
      <w:pPr>
        <w:spacing w:after="0" w:line="360" w:lineRule="auto"/>
        <w:jc w:val="both"/>
        <w:rPr>
          <w:rFonts w:ascii="Times New Roman" w:hAnsi="Times New Roman" w:cs="Times New Roman"/>
          <w:b/>
        </w:rPr>
      </w:pPr>
    </w:p>
    <w:p w14:paraId="750DD93F" w14:textId="00545E01" w:rsidR="00883C8E" w:rsidRPr="003E40CF" w:rsidRDefault="00883C8E" w:rsidP="00F6030C">
      <w:pPr>
        <w:pStyle w:val="1"/>
        <w:numPr>
          <w:ilvl w:val="1"/>
          <w:numId w:val="60"/>
        </w:numPr>
        <w:jc w:val="both"/>
      </w:pPr>
      <w:bookmarkStart w:id="96" w:name="_Toc7447947"/>
      <w:r w:rsidRPr="003E40CF">
        <w:t>Оценка состояния конкуренции с учетом показателей международных организаций</w:t>
      </w:r>
      <w:bookmarkEnd w:id="96"/>
      <w:r w:rsidRPr="003E40CF">
        <w:t xml:space="preserve"> </w:t>
      </w:r>
    </w:p>
    <w:p w14:paraId="2F543F0C" w14:textId="77777777" w:rsidR="00883C8E" w:rsidRPr="00953C42" w:rsidRDefault="00883C8E" w:rsidP="00883C8E">
      <w:pPr>
        <w:spacing w:after="0" w:line="360" w:lineRule="auto"/>
        <w:jc w:val="both"/>
        <w:rPr>
          <w:rFonts w:ascii="Times New Roman" w:hAnsi="Times New Roman" w:cs="Times New Roman"/>
        </w:rPr>
      </w:pPr>
    </w:p>
    <w:p w14:paraId="4E037E42"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770F8E14"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w:t>
      </w:r>
    </w:p>
    <w:p w14:paraId="2ACA88E2" w14:textId="7777777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ФАС России активно участвует в обсуждении последних мировых тенденций в области конкурентной политики. При этом ставится задача не только в использовании в практической работе результатов обсуждений и конкретных продуктов, но и участие в их выработке. Данная задача реализуется через активное участие российского антимонопольного органа в деятельности международных организаций, занимающихся вопросами конкурентной политики, таких как Организация экономического сотрудничества и развития (ОЭСР), Международная конкурентная сеть (МКС), Конференция ООН по торговле и развитию (ЮНКТАД), Форум Азиатско-тихоокеанского экономического сотрудничества (АТЭС).</w:t>
      </w:r>
    </w:p>
    <w:p w14:paraId="36F20411" w14:textId="7777777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color w:val="000000"/>
          <w:sz w:val="28"/>
          <w:szCs w:val="28"/>
          <w:lang w:eastAsia="ru-RU"/>
        </w:rPr>
        <w:t>Рост конкуренции на российских рынках позиционируется как одно из приоритетных направлений развития экономики страны. Это подтверждается многочисленными заявлениями руководителей федеральных органов власти, результатами проводимых реформ и формированием соответствующей нормативно-правовой базы. Кроме того, формирование стратегии и стандарта развития конкуренции способствует улучшению показателей России в международных рейтингах, таких как, аналитический доклад Всемирного банка и Международной финансовой корпорацией «Ведение бизнеса» (Doing Business), рейтинг глобальной конкурентоспособности Всемирного экономического форума (The Global Competitiveness Index) и другие исследования.</w:t>
      </w:r>
    </w:p>
    <w:p w14:paraId="7D92E254" w14:textId="77777777" w:rsidR="00953C42" w:rsidRPr="00953C42" w:rsidRDefault="007B7ED9" w:rsidP="00FD6DA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953C42" w:rsidRPr="00953C42">
        <w:rPr>
          <w:rFonts w:ascii="Times New Roman" w:eastAsia="Times New Roman" w:hAnsi="Times New Roman" w:cs="Times New Roman"/>
          <w:sz w:val="28"/>
          <w:szCs w:val="28"/>
          <w:lang w:eastAsia="ru-RU"/>
        </w:rPr>
        <w:t xml:space="preserve"> </w:t>
      </w:r>
      <w:r w:rsidR="00953C42" w:rsidRPr="0093489E">
        <w:rPr>
          <w:rFonts w:ascii="Times New Roman" w:eastAsia="Times New Roman" w:hAnsi="Times New Roman" w:cs="Times New Roman"/>
          <w:sz w:val="28"/>
          <w:szCs w:val="28"/>
          <w:lang w:eastAsia="ru-RU"/>
        </w:rPr>
        <w:t>рейтинге</w:t>
      </w:r>
      <w:r w:rsidRPr="0093489E">
        <w:rPr>
          <w:rFonts w:ascii="Times New Roman" w:eastAsia="Times New Roman" w:hAnsi="Times New Roman" w:cs="Times New Roman"/>
          <w:sz w:val="28"/>
          <w:szCs w:val="28"/>
          <w:lang w:eastAsia="ru-RU"/>
        </w:rPr>
        <w:t xml:space="preserve"> </w:t>
      </w:r>
      <w:r w:rsidRPr="0093489E">
        <w:rPr>
          <w:rFonts w:ascii="Times New Roman" w:hAnsi="Times New Roman" w:cs="Times New Roman"/>
          <w:sz w:val="28"/>
          <w:szCs w:val="28"/>
        </w:rPr>
        <w:t>The G</w:t>
      </w:r>
      <w:r w:rsidR="0093489E" w:rsidRPr="0093489E">
        <w:rPr>
          <w:rFonts w:ascii="Times New Roman" w:hAnsi="Times New Roman" w:cs="Times New Roman"/>
          <w:sz w:val="28"/>
          <w:szCs w:val="28"/>
        </w:rPr>
        <w:t>lobal Competitiveness Index</w:t>
      </w:r>
      <w:r w:rsidR="0093489E" w:rsidRPr="0093489E">
        <w:rPr>
          <w:rFonts w:ascii="Times New Roman" w:eastAsia="Times New Roman" w:hAnsi="Times New Roman" w:cs="Times New Roman"/>
          <w:sz w:val="28"/>
          <w:szCs w:val="28"/>
          <w:lang w:eastAsia="ru-RU"/>
        </w:rPr>
        <w:t xml:space="preserve"> 4.0</w:t>
      </w:r>
      <w:r w:rsidR="0093489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2018</w:t>
      </w:r>
      <w:r w:rsidR="0093489E">
        <w:rPr>
          <w:rFonts w:ascii="Times New Roman" w:eastAsia="Times New Roman" w:hAnsi="Times New Roman" w:cs="Times New Roman"/>
          <w:sz w:val="28"/>
          <w:szCs w:val="28"/>
          <w:lang w:eastAsia="ru-RU"/>
        </w:rPr>
        <w:t xml:space="preserve"> Россия оказалось</w:t>
      </w:r>
      <w:r w:rsidR="00953C42" w:rsidRPr="00953C42">
        <w:rPr>
          <w:rFonts w:ascii="Times New Roman" w:eastAsia="Times New Roman" w:hAnsi="Times New Roman" w:cs="Times New Roman"/>
          <w:sz w:val="28"/>
          <w:szCs w:val="28"/>
          <w:lang w:eastAsia="ru-RU"/>
        </w:rPr>
        <w:t xml:space="preserve"> самой конкурентоспособной страной Евразии с результатом 65,6 балла. Среди стран-членов БРИКС, Россия оказалась в рейтинге позади Китая, который в общем списке занял 28 место, набрав 72,6 балла. Три другие страны БРИКС не попали в число 50 лучших: Индия расположилась на 58 строчке, Ю</w:t>
      </w:r>
      <w:r w:rsidR="00264F48">
        <w:rPr>
          <w:rFonts w:ascii="Times New Roman" w:eastAsia="Times New Roman" w:hAnsi="Times New Roman" w:cs="Times New Roman"/>
          <w:sz w:val="28"/>
          <w:szCs w:val="28"/>
          <w:lang w:eastAsia="ru-RU"/>
        </w:rPr>
        <w:t>АР — на 67-й и Бразилия — 72-й.</w:t>
      </w:r>
      <w:r w:rsidR="00264F48" w:rsidRPr="00264F48">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Среди стран «Большой двадцатки» (G20) Россия является более конкурентоспособной, чем Индонезия (45 место), Мексика (46), Индия (58), Турция (61), ЮАР (67), Бразилия (72) и Аргентина (81).</w:t>
      </w:r>
      <w:r w:rsidR="00D614F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России удалось улучшить свои показатели в рейтинге конкурентоспособности благодаря значительным улучшениям в девяти из 12 ключевых показателей, которые учитываются в расчетах. Центральную роль в улучшении показателя конкурентоспособности играют макроэкономическая стабильность России (55 место в мире), размер ее рынка (6 место), развитие IT и современных коммуникаций (25 место). Авторы доклада отмечают, что в 2018 году ВВП России растет на 1,7%, что является самым высоким показателем страны за последние пять лет. После кризиса 2014-2016 годов, когда инфляция достигала двузначных значений и наблюдался спад экономики, сегодня инфляция колеблется на уровне 5,4%, а государственный долг не превышает 17,7%.</w:t>
      </w:r>
    </w:p>
    <w:p w14:paraId="0701AEC6" w14:textId="77777777" w:rsidR="00D614FE"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Среди проблем, которые не позволяют стране занимать в рейтинге более высокое место, ВЭФ называет недостаточную развитость финансовой системы. По уровню ее уязвимости Россия входит в ту же группу, что и Индия, Китай и Италия. </w:t>
      </w:r>
      <w:r w:rsidR="00264F48">
        <w:rPr>
          <w:rFonts w:ascii="Times New Roman" w:eastAsia="Times New Roman" w:hAnsi="Times New Roman" w:cs="Times New Roman"/>
          <w:sz w:val="28"/>
          <w:szCs w:val="28"/>
          <w:lang w:eastAsia="ru-RU"/>
        </w:rPr>
        <w:t>Как отмечено в докладе в</w:t>
      </w:r>
      <w:r w:rsidRPr="00953C42">
        <w:rPr>
          <w:rFonts w:ascii="Times New Roman" w:eastAsia="Times New Roman" w:hAnsi="Times New Roman" w:cs="Times New Roman"/>
          <w:sz w:val="28"/>
          <w:szCs w:val="28"/>
          <w:lang w:eastAsia="ru-RU"/>
        </w:rPr>
        <w:t xml:space="preserve"> России</w:t>
      </w:r>
      <w:r w:rsidR="00264F48">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eastAsia="ru-RU"/>
        </w:rPr>
        <w:t>устойчивость финансовой системы несколько ограничена относительн</w:t>
      </w:r>
      <w:r w:rsidR="00264F48">
        <w:rPr>
          <w:rFonts w:ascii="Times New Roman" w:eastAsia="Times New Roman" w:hAnsi="Times New Roman" w:cs="Times New Roman"/>
          <w:sz w:val="28"/>
          <w:szCs w:val="28"/>
          <w:lang w:eastAsia="ru-RU"/>
        </w:rPr>
        <w:t>ой хрупкостью банков</w:t>
      </w:r>
      <w:r w:rsidRPr="00953C42">
        <w:rPr>
          <w:rFonts w:ascii="Times New Roman" w:eastAsia="Times New Roman" w:hAnsi="Times New Roman" w:cs="Times New Roman"/>
          <w:sz w:val="28"/>
          <w:szCs w:val="28"/>
          <w:lang w:eastAsia="ru-RU"/>
        </w:rPr>
        <w:t>. По причине слабости предпринимательской культуры проблема внедрения инноваций остается все еще открытой. В докладе отмечается слабость государственных институтов, низкий уровень прозрачности которых серьезно подрывает качество деловой среды. Одной из проблем назван уровень здоровья населения.</w:t>
      </w:r>
    </w:p>
    <w:p w14:paraId="669A97F3"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 представленным данным чётко прослеживается глобальное экономическое неравенство: 7 из 10 самых конкурентоспособных экономик — из Европы и Северной Америки, а 17 из 20 стран в самой нижней части рейтинга представляют государства к югу от пустыни Сахара.</w:t>
      </w:r>
    </w:p>
    <w:p w14:paraId="53C4440E"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Российская Федерация, находясь на 43 месте в списке самых конкурентоспособных стран, набрала 65,6 балла из ста, и поднялась сразу на две строчки вверх в сравнении с 2017 годом. Перспективы роста российской экономики составляют в нынешнем году 1,7% и это наивысший показатель за пять лет. Улучшение показателей России эксперты ВЭФ объясняют стабилизацией условий макроэкономического развития, благоприятными обстоятельствами для инновационного развития и внедрением новых информационных технологий в повседневную жизнь граждан страны.</w:t>
      </w:r>
    </w:p>
    <w:p w14:paraId="2B73B3D0" w14:textId="77777777" w:rsidR="00953C42" w:rsidRPr="00953C42" w:rsidRDefault="00953C42" w:rsidP="00CE7DAC">
      <w:pPr>
        <w:spacing w:after="0"/>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В свою очередь слабыми сторонами Российской Федерации по оценке экспертов являются финансовый и потребительский рынки, а также здравоохранение. По уровню развитости они находятся на 86, 83 и 100 местах соответственно. По одной из 12 ключевых «опор» — а именно институтам — Россия набрала всего 52,7 балла, оказавшись на 72-е месте списка.</w:t>
      </w:r>
    </w:p>
    <w:p w14:paraId="10C60D8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новом рейтинге – Doing Business 2019 – от Всемирного банка Россия получила 31-е место. Это в три раза выше, чем 5 лет назад, и почти в четыре раза выше, чем 10 лет назад. </w:t>
      </w:r>
    </w:p>
    <w:p w14:paraId="1901BB2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Указе Президента Российской Федерации от 21.12.2017 № 618 «Об основных направлениях государственной политики по развитию конкуренции» (вместе с «Национальным планом развития конкуренции в Российской Федерации на 2018 - 2020 годы») предполагалось вхождение страны в первую двадцатку рейтинга уже в 2018 году. </w:t>
      </w:r>
    </w:p>
    <w:p w14:paraId="7275891A" w14:textId="77777777" w:rsidR="00953C42" w:rsidRPr="00953C42" w:rsidRDefault="00953C42" w:rsidP="00953C42">
      <w:pPr>
        <w:spacing w:after="0" w:line="240" w:lineRule="auto"/>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Помимо Казахстана (28-е место), выше России в рейтинге-2019оказались еще пять бывших республик СССР – Азербайджан (25), Латвия (19), Эстония (16), Литва (14), а также Грузия (6-е место), которая опередила не только все страны Европы, кроме Дании (3-е место), но и США (8-е место).</w:t>
      </w:r>
    </w:p>
    <w:p w14:paraId="2219A4A8"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Поскольку с 2005 и до 2018 года ситуация с регуляторной политикой в России не анализировалась комплексно, отчасти ее можно оценить, обратившись к позициям страны в соответствующих международных рейтингах (как сфокусированных на условиях ведения бизнеса в целом, оценке уровня конкуренции так и адресно оценивающих именно показатели регуляторной среды):</w:t>
      </w:r>
    </w:p>
    <w:p w14:paraId="4CCE7E66"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Индекс легкости ведения бизнеса Всемирного банка «Ease of Doing Business»</w:t>
      </w:r>
      <w:r w:rsidRPr="00953C42">
        <w:rPr>
          <w:rFonts w:ascii="Times New Roman" w:eastAsia="Times New Roman" w:hAnsi="Times New Roman" w:cs="Times New Roman"/>
          <w:sz w:val="28"/>
          <w:szCs w:val="28"/>
          <w:vertAlign w:val="superscript"/>
          <w:lang w:eastAsia="ru-RU"/>
        </w:rPr>
        <w:footnoteReference w:id="18"/>
      </w:r>
      <w:r w:rsidRPr="00953C42">
        <w:rPr>
          <w:rFonts w:ascii="Times New Roman" w:eastAsia="Times New Roman" w:hAnsi="Times New Roman" w:cs="Times New Roman"/>
          <w:sz w:val="28"/>
          <w:szCs w:val="28"/>
          <w:lang w:eastAsia="ru-RU"/>
        </w:rPr>
        <w:t xml:space="preserve"> (далее также DB); Индекс глобальной конкурентоспособности Всемирного экономического форума «The </w:t>
      </w:r>
      <w:r w:rsidRPr="00953C42">
        <w:rPr>
          <w:rFonts w:ascii="Times New Roman" w:eastAsia="Times New Roman" w:hAnsi="Times New Roman" w:cs="Times New Roman"/>
          <w:sz w:val="28"/>
          <w:szCs w:val="28"/>
          <w:lang w:val="en-US" w:eastAsia="ru-RU"/>
        </w:rPr>
        <w:t>Global</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Competitiveness</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Index</w:t>
      </w:r>
      <w:r w:rsidRPr="00953C42">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vertAlign w:val="superscript"/>
          <w:lang w:eastAsia="ru-RU"/>
        </w:rPr>
        <w:footnoteReference w:id="19"/>
      </w:r>
      <w:r w:rsidRPr="00953C42">
        <w:rPr>
          <w:rFonts w:ascii="Times New Roman" w:eastAsia="Times New Roman" w:hAnsi="Times New Roman" w:cs="Times New Roman"/>
          <w:sz w:val="28"/>
          <w:szCs w:val="28"/>
          <w:lang w:eastAsia="ru-RU"/>
        </w:rPr>
        <w:t xml:space="preserve">; (далее также </w:t>
      </w:r>
      <w:r w:rsidRPr="00953C42">
        <w:rPr>
          <w:rFonts w:ascii="Times New Roman" w:eastAsia="Times New Roman" w:hAnsi="Times New Roman" w:cs="Times New Roman"/>
          <w:sz w:val="28"/>
          <w:szCs w:val="28"/>
          <w:lang w:val="en-US" w:eastAsia="ru-RU"/>
        </w:rPr>
        <w:t>GCI</w:t>
      </w:r>
      <w:r w:rsidRPr="00953C42">
        <w:rPr>
          <w:rFonts w:ascii="Times New Roman" w:eastAsia="Times New Roman" w:hAnsi="Times New Roman" w:cs="Times New Roman"/>
          <w:sz w:val="28"/>
          <w:szCs w:val="28"/>
          <w:lang w:eastAsia="ru-RU"/>
        </w:rPr>
        <w:t>);</w:t>
      </w:r>
    </w:p>
    <w:p w14:paraId="28D3DFD4"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val="en-US" w:eastAsia="ru-RU"/>
        </w:rPr>
      </w:pPr>
      <w:r w:rsidRPr="00953C42">
        <w:rPr>
          <w:rFonts w:ascii="Times New Roman" w:eastAsia="Times New Roman" w:hAnsi="Times New Roman" w:cs="Times New Roman"/>
          <w:sz w:val="28"/>
          <w:szCs w:val="28"/>
          <w:lang w:eastAsia="ru-RU"/>
        </w:rPr>
        <w:t>Показатель качества регулирования (Regulatory Quality Ranking) – один из шести индикаторов в составе Индекса качества государственного управления (Worldwide Governance Indicators), ежегодно рассчитываемого Всемирным банком (далее также WGI RQ)</w:t>
      </w:r>
      <w:r w:rsidRPr="00953C42">
        <w:rPr>
          <w:rFonts w:ascii="Times New Roman" w:eastAsia="Times New Roman" w:hAnsi="Times New Roman" w:cs="Times New Roman"/>
          <w:sz w:val="28"/>
          <w:szCs w:val="28"/>
          <w:vertAlign w:val="superscript"/>
          <w:lang w:eastAsia="ru-RU"/>
        </w:rPr>
        <w:footnoteReference w:id="20"/>
      </w:r>
      <w:r w:rsidRPr="00953C42">
        <w:rPr>
          <w:rFonts w:ascii="Times New Roman" w:eastAsia="Times New Roman" w:hAnsi="Times New Roman" w:cs="Times New Roman"/>
          <w:sz w:val="28"/>
          <w:szCs w:val="28"/>
          <w:lang w:eastAsia="ru-RU"/>
        </w:rPr>
        <w:t xml:space="preserve">; Блок 5C. Регулирование бизнеса в составе Индекса экономической свободы в мире (Area 5C. </w:t>
      </w:r>
      <w:r w:rsidRPr="00953C42">
        <w:rPr>
          <w:rFonts w:ascii="Times New Roman" w:eastAsia="Times New Roman" w:hAnsi="Times New Roman" w:cs="Times New Roman"/>
          <w:sz w:val="28"/>
          <w:szCs w:val="28"/>
          <w:lang w:val="en-US" w:eastAsia="ru-RU"/>
        </w:rPr>
        <w:t xml:space="preserve">Business Regulations / Economic Freedom of the World) </w:t>
      </w:r>
      <w:r w:rsidRPr="00953C42">
        <w:rPr>
          <w:rFonts w:ascii="Times New Roman" w:eastAsia="Times New Roman" w:hAnsi="Times New Roman" w:cs="Times New Roman"/>
          <w:sz w:val="28"/>
          <w:szCs w:val="28"/>
          <w:lang w:eastAsia="ru-RU"/>
        </w:rPr>
        <w:t>канадского</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Института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Фрейзера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далее</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также</w:t>
      </w:r>
      <w:r w:rsidRPr="00953C42">
        <w:rPr>
          <w:rFonts w:ascii="Times New Roman" w:eastAsia="Times New Roman" w:hAnsi="Times New Roman" w:cs="Times New Roman"/>
          <w:sz w:val="28"/>
          <w:szCs w:val="28"/>
          <w:lang w:val="en-US" w:eastAsia="ru-RU"/>
        </w:rPr>
        <w:t xml:space="preserve"> EW 5C)</w:t>
      </w:r>
      <w:r w:rsidRPr="00953C42">
        <w:rPr>
          <w:rFonts w:ascii="Times New Roman" w:eastAsia="Times New Roman" w:hAnsi="Times New Roman" w:cs="Times New Roman"/>
          <w:sz w:val="28"/>
          <w:szCs w:val="28"/>
          <w:vertAlign w:val="superscript"/>
          <w:lang w:val="en-US" w:eastAsia="ru-RU"/>
        </w:rPr>
        <w:footnoteReference w:id="21"/>
      </w:r>
      <w:r w:rsidRPr="00953C42">
        <w:rPr>
          <w:rFonts w:ascii="Times New Roman" w:eastAsia="Times New Roman" w:hAnsi="Times New Roman" w:cs="Times New Roman"/>
          <w:sz w:val="28"/>
          <w:szCs w:val="28"/>
          <w:lang w:val="en-US" w:eastAsia="ru-RU"/>
        </w:rPr>
        <w:t>.</w:t>
      </w:r>
    </w:p>
    <w:p w14:paraId="633E9A83"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Анализ позиций России по четырем перечисленным рейтингам выявил неодинаковую динамику в долгосрочном периоде: если по показателям легкости ведения бизнеса (DB) и рейтинга мировой конкурентоспособности (GCI) можно отметить более или менее существенный рост, то по двум другим индексам, специализированным, в последние 5–10 лет общий тренд характеризуется спадом и (или) стагнацией. Отметим, что первые два показателя – легкости ведения бизнеса и мировой конкурентоспособности – с 2012 года были включены в состав KPI федеральных органов исполнительной власти, но их «подтягивание» (во многом формальное) не помогло преодолеть негативный тренд в состоянии регуляторной среды.</w:t>
      </w:r>
    </w:p>
    <w:p w14:paraId="73BA6CE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Ключевыми направлениями государственной политики, направленной на реальное реформирование экономики, должны стать: совершенствование нормативно-правовой базы, развитие рынков товаров и услуг, антимонопольная политика, развитие финансового сектора, борьба с коррупцией.</w:t>
      </w:r>
    </w:p>
    <w:p w14:paraId="51F0C78A" w14:textId="77777777" w:rsidR="00674A97" w:rsidRPr="00674A97" w:rsidRDefault="00953C42" w:rsidP="00674A97">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953C42">
        <w:rPr>
          <w:rFonts w:ascii="Times New Roman" w:eastAsia="Times New Roman" w:hAnsi="Times New Roman" w:cs="Times New Roman"/>
          <w:sz w:val="28"/>
          <w:szCs w:val="28"/>
          <w:lang w:eastAsia="ru-RU"/>
        </w:rPr>
        <w:t xml:space="preserve">Таким образом, динамика мировых экономических тенденций подтверждается необходимостью осуществления в России институциональных преобразований, формирования современной конкурентоспособной модели национальной экономики, основанной на инновациях и передовом управленческом опыте. </w:t>
      </w:r>
      <w:r w:rsidRPr="00953C42">
        <w:rPr>
          <w:rFonts w:ascii="Times New Roman" w:eastAsia="TimesNewRomanPSMT" w:hAnsi="Times New Roman" w:cs="Times New Roman"/>
          <w:sz w:val="28"/>
          <w:szCs w:val="28"/>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В первую очередь необходимо совершенствование нормативно- правовой базы, ведь многие преграды, с которыми сталкиваются инвесторы в России, обусловлены характер</w:t>
      </w:r>
      <w:r w:rsidR="0093489E">
        <w:rPr>
          <w:rFonts w:ascii="Times New Roman" w:eastAsia="TimesNewRomanPSMT" w:hAnsi="Times New Roman" w:cs="Times New Roman"/>
          <w:sz w:val="28"/>
          <w:szCs w:val="28"/>
        </w:rPr>
        <w:t xml:space="preserve">ом российской правовой системы. </w:t>
      </w:r>
      <w:r w:rsidRPr="00953C42">
        <w:rPr>
          <w:rFonts w:ascii="Times New Roman" w:eastAsia="TimesNewRomanPSMT" w:hAnsi="Times New Roman" w:cs="Times New Roman"/>
          <w:sz w:val="28"/>
          <w:szCs w:val="28"/>
        </w:rPr>
        <w:t>Другими ключевыми направлениями государственной политики, направленной на реформирование российской экономики, призваны стать развитие рынков товаров и услуг, антимонопольная политика, развитие финансового сектора и борьба с коррупцией. Ускоренное развитие по всем указанным направлениям может дать российской экономике реальный шанс в полной мере использовать весь имеющийся уникальный человеческий потенциал, материальные ресурсы, размеры рынка, а также накопленные опыт и знания.</w:t>
      </w:r>
    </w:p>
    <w:p w14:paraId="1D23C91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Россия в ежегодном рейтинге Всемирного банка «Doing Business» - в 2018 году сохранила 12 место по подключению к электроснабжению.</w:t>
      </w:r>
    </w:p>
    <w:p w14:paraId="00E5FD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эксперты в очередной раз подтвердили эффективность процессов, направленных на упрощение процедуры подключения к электрическим сетям в Российской Федерации.</w:t>
      </w:r>
    </w:p>
    <w:p w14:paraId="122F6DD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показателю «Подключение к системе электроснабжения» в части индикаторов «Индекс надежности электроснабжения» и «Прозрачности тарифов» Россия получила максимально возможную оценку в 8 баллов. Эксперты Всемирного банка отметили, что процедура подключения к электрическим сетям в г. Москве и г. Санкт-Петербурге сокращена до двух этапов:</w:t>
      </w:r>
    </w:p>
    <w:p w14:paraId="409487B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заключения договоров технологического присоединения и электроснабжения через сетевую организацию;</w:t>
      </w:r>
    </w:p>
    <w:p w14:paraId="1D26B9C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 выполнения работ и подачи напряжения на объект.</w:t>
      </w:r>
    </w:p>
    <w:p w14:paraId="71B1DE0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сегодняшний день только в двух странах мира – России и ОАЭ – техприсоединение возможно провести лишь в два этапа. В мировой практике это максимально короткие сроки.</w:t>
      </w:r>
    </w:p>
    <w:p w14:paraId="4FA0CC5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рейтинге Всемирного банка также отмечается, что за минувший год в России удалось снизить стоимость техприсоединения. Во многом это стало возможным в связи с тем, что с 1 октября 2017 года в состав платы за технологическое присоединение энергопринимающих устройств максимальной мощностью не более чем 150 кВт не включаются расходы, связанные со строительством объектов электросетевого хозяйства.</w:t>
      </w:r>
    </w:p>
    <w:p w14:paraId="66CB752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При этом сроки подключения к электросетям сократились до 73 дней.</w:t>
      </w:r>
    </w:p>
    <w:p w14:paraId="265938D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индикатору «Подключение к системе электроснабжения» (интегральный показатель «Distance to Frontier» (DTF), отражающий близость страны к лидеру рейтинга) Россия получила 94 балла из 100. Эксперты Всемирного банка отмечают, что Россию от лидеров рейтинга по данному показателю отделяют только несколько десятых баллов DTF.</w:t>
      </w:r>
    </w:p>
    <w:p w14:paraId="47E5B538" w14:textId="77777777" w:rsid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результатам исследования, Всемирный Банк признал реформы российских энергетиков лучшей практикой, которая будет описана и распространена среди других стран для заимствования положительного опыта.</w:t>
      </w:r>
    </w:p>
    <w:p w14:paraId="5265F285" w14:textId="77777777"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Согласно данным ежегодного доклада Всемирного банка, Россия поднялась на 67 позиций – со 115 на 48 место – в рейтинге Doing Business 2019 по направлению «Получение разрешения на строительство». Таких результатов позволила добиться модернизация отраслевого законодательства и снижение административных барьеров.</w:t>
      </w:r>
    </w:p>
    <w:p w14:paraId="2C15B59B" w14:textId="77777777"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 xml:space="preserve">Так, в последние годы вступили в силу исчерпывающие перечни процедур в строительстве, устанавливающие максимально возможное количество операций, необходимых для строительства того или иного объекта. При этом законом запрещено требовать от застройщиков прохождения процедур, которых нет в перечнях. </w:t>
      </w:r>
    </w:p>
    <w:p w14:paraId="57E4B441" w14:textId="77777777" w:rsidR="00903B71" w:rsidRDefault="00903B71" w:rsidP="00EF3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w:t>
      </w:r>
      <w:r w:rsidR="000E6D3C" w:rsidRPr="0093489E">
        <w:rPr>
          <w:rFonts w:ascii="Times New Roman" w:hAnsi="Times New Roman" w:cs="Times New Roman"/>
          <w:sz w:val="28"/>
          <w:szCs w:val="28"/>
        </w:rPr>
        <w:t>застройщики могут ознакомиться с полным описанием этих процедур</w:t>
      </w:r>
      <w:r>
        <w:rPr>
          <w:rFonts w:ascii="Times New Roman" w:hAnsi="Times New Roman" w:cs="Times New Roman"/>
          <w:sz w:val="28"/>
          <w:szCs w:val="28"/>
        </w:rPr>
        <w:t xml:space="preserve"> (в настоящее время их насчитывается </w:t>
      </w:r>
      <w:r w:rsidRPr="0093489E">
        <w:rPr>
          <w:rFonts w:ascii="Times New Roman" w:hAnsi="Times New Roman" w:cs="Times New Roman"/>
          <w:sz w:val="28"/>
          <w:szCs w:val="28"/>
        </w:rPr>
        <w:t>порядка 64,5 тысяч</w:t>
      </w:r>
      <w:r>
        <w:rPr>
          <w:rFonts w:ascii="Times New Roman" w:hAnsi="Times New Roman" w:cs="Times New Roman"/>
          <w:sz w:val="28"/>
          <w:szCs w:val="28"/>
        </w:rPr>
        <w:t>)</w:t>
      </w:r>
      <w:r w:rsidR="000E6D3C" w:rsidRPr="0093489E">
        <w:rPr>
          <w:rFonts w:ascii="Times New Roman" w:hAnsi="Times New Roman" w:cs="Times New Roman"/>
          <w:sz w:val="28"/>
          <w:szCs w:val="28"/>
        </w:rPr>
        <w:t xml:space="preserve"> в интерактивной форме на сайте Минстр</w:t>
      </w:r>
      <w:r>
        <w:rPr>
          <w:rFonts w:ascii="Times New Roman" w:hAnsi="Times New Roman" w:cs="Times New Roman"/>
          <w:sz w:val="28"/>
          <w:szCs w:val="28"/>
        </w:rPr>
        <w:t>оя России</w:t>
      </w:r>
      <w:r w:rsidR="000E6D3C" w:rsidRPr="0093489E">
        <w:rPr>
          <w:rFonts w:ascii="Times New Roman" w:hAnsi="Times New Roman" w:cs="Times New Roman"/>
          <w:sz w:val="28"/>
          <w:szCs w:val="28"/>
        </w:rPr>
        <w:t xml:space="preserve"> и там же, используя «Калькуляторов процедур», рассчитать сроки и этапы прохождения строительных пр</w:t>
      </w:r>
      <w:r>
        <w:rPr>
          <w:rFonts w:ascii="Times New Roman" w:hAnsi="Times New Roman" w:cs="Times New Roman"/>
          <w:sz w:val="28"/>
          <w:szCs w:val="28"/>
        </w:rPr>
        <w:t>оцедур для конкретного проекта.</w:t>
      </w:r>
    </w:p>
    <w:p w14:paraId="7BE3FD3F" w14:textId="77777777" w:rsidR="000E6D3C" w:rsidRPr="000E6D3C"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Разработка подсистемы «Калькулятор процедур» комплексной информационной системы Минстроя России предусмотрена планом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74775FB5" w14:textId="77777777" w:rsidR="000E6D3C" w:rsidRDefault="000E6D3C" w:rsidP="000E6D3C">
      <w:pPr>
        <w:autoSpaceDE w:val="0"/>
        <w:autoSpaceDN w:val="0"/>
        <w:adjustRightInd w:val="0"/>
        <w:spacing w:after="0" w:line="240" w:lineRule="auto"/>
        <w:jc w:val="both"/>
        <w:rPr>
          <w:rFonts w:ascii="Times New Roman" w:eastAsia="TimesNewRomanPSMT" w:hAnsi="Times New Roman" w:cs="Times New Roman"/>
          <w:sz w:val="28"/>
          <w:szCs w:val="28"/>
        </w:rPr>
      </w:pPr>
    </w:p>
    <w:p w14:paraId="4ED7EC22" w14:textId="203C72E4" w:rsidR="00486DB6" w:rsidRDefault="00486DB6">
      <w:pPr>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14:paraId="4A106394" w14:textId="77777777" w:rsidR="00485396" w:rsidRDefault="00485396" w:rsidP="000E6D3C">
      <w:pPr>
        <w:autoSpaceDE w:val="0"/>
        <w:autoSpaceDN w:val="0"/>
        <w:adjustRightInd w:val="0"/>
        <w:spacing w:after="0" w:line="240" w:lineRule="auto"/>
        <w:jc w:val="both"/>
        <w:rPr>
          <w:rFonts w:ascii="Times New Roman" w:eastAsia="TimesNewRomanPSMT" w:hAnsi="Times New Roman" w:cs="Times New Roman"/>
          <w:sz w:val="28"/>
          <w:szCs w:val="28"/>
        </w:rPr>
      </w:pPr>
    </w:p>
    <w:p w14:paraId="6B9FC171" w14:textId="0B31CBE4" w:rsidR="00A51A4D" w:rsidRDefault="00883C8E" w:rsidP="00F6030C">
      <w:pPr>
        <w:pStyle w:val="1"/>
        <w:numPr>
          <w:ilvl w:val="0"/>
          <w:numId w:val="62"/>
        </w:numPr>
        <w:jc w:val="both"/>
      </w:pPr>
      <w:bookmarkStart w:id="97" w:name="_Toc7447948"/>
      <w:r w:rsidRPr="00FD751F">
        <w:t>ТЕМА ГОДА: НАЦИОНАЛЬНЫЙ ПЛАН РАЗВИТИЯ КОНКУРЕНЦИИИ В РОССИЙСКОЙ ФЕДЕРАЦИИ КАК ОСНОВА РАЗВИТИЯ РОССИЙСКОЙ ЭКОНОМИКИ</w:t>
      </w:r>
      <w:bookmarkEnd w:id="97"/>
      <w:r w:rsidRPr="00FD751F">
        <w:t xml:space="preserve"> </w:t>
      </w:r>
    </w:p>
    <w:p w14:paraId="6ACD0EE0" w14:textId="77777777" w:rsidR="00A66A45" w:rsidRPr="00A66A45" w:rsidRDefault="00A66A45" w:rsidP="00A66A45"/>
    <w:p w14:paraId="5CFEFBBD" w14:textId="77777777" w:rsidR="00973C21" w:rsidRPr="00973C21" w:rsidRDefault="00973C21" w:rsidP="006B2CC2">
      <w:pPr>
        <w:pStyle w:val="a5"/>
        <w:keepNext/>
        <w:keepLines/>
        <w:spacing w:after="0"/>
        <w:ind w:left="360"/>
        <w:contextualSpacing w:val="0"/>
        <w:jc w:val="both"/>
        <w:outlineLvl w:val="1"/>
        <w:rPr>
          <w:rFonts w:ascii="Times New Roman" w:eastAsia="Times New Roman" w:hAnsi="Times New Roman" w:cs="Times New Roman"/>
          <w:b/>
          <w:vanish/>
          <w:sz w:val="28"/>
          <w:szCs w:val="28"/>
          <w:lang w:eastAsia="ru-RU"/>
        </w:rPr>
      </w:pPr>
    </w:p>
    <w:p w14:paraId="5602D9E8" w14:textId="77777777" w:rsidR="006B2CC2" w:rsidRPr="006B2CC2" w:rsidRDefault="006B2CC2" w:rsidP="00F6030C">
      <w:pPr>
        <w:pStyle w:val="a5"/>
        <w:keepNext/>
        <w:keepLines/>
        <w:numPr>
          <w:ilvl w:val="0"/>
          <w:numId w:val="59"/>
        </w:numPr>
        <w:spacing w:after="0"/>
        <w:contextualSpacing w:val="0"/>
        <w:jc w:val="both"/>
        <w:outlineLvl w:val="1"/>
        <w:rPr>
          <w:rFonts w:ascii="Times New Roman" w:eastAsia="Times New Roman" w:hAnsi="Times New Roman" w:cs="Times New Roman"/>
          <w:b/>
          <w:vanish/>
          <w:sz w:val="28"/>
          <w:szCs w:val="28"/>
          <w:lang w:eastAsia="ru-RU"/>
        </w:rPr>
      </w:pPr>
      <w:bookmarkStart w:id="98" w:name="_Toc7189753"/>
      <w:bookmarkStart w:id="99" w:name="_Toc7189983"/>
      <w:bookmarkStart w:id="100" w:name="_Toc7190337"/>
      <w:bookmarkStart w:id="101" w:name="_Toc7190789"/>
      <w:bookmarkStart w:id="102" w:name="_Toc7191519"/>
      <w:bookmarkStart w:id="103" w:name="_Toc7447144"/>
      <w:bookmarkStart w:id="104" w:name="_Toc7447949"/>
      <w:bookmarkEnd w:id="98"/>
      <w:bookmarkEnd w:id="99"/>
      <w:bookmarkEnd w:id="100"/>
      <w:bookmarkEnd w:id="101"/>
      <w:bookmarkEnd w:id="102"/>
      <w:bookmarkEnd w:id="103"/>
      <w:bookmarkEnd w:id="104"/>
    </w:p>
    <w:p w14:paraId="31DDE357" w14:textId="2EB0F710" w:rsidR="00A47DF4" w:rsidRDefault="00A47DF4" w:rsidP="00EF64DA">
      <w:pPr>
        <w:pStyle w:val="2"/>
      </w:pPr>
      <w:bookmarkStart w:id="105" w:name="_Toc7447950"/>
      <w:r w:rsidRPr="00615542">
        <w:t>Основные направления государственной политики по развитию конкуренции</w:t>
      </w:r>
      <w:bookmarkEnd w:id="105"/>
    </w:p>
    <w:p w14:paraId="28675E7E" w14:textId="77777777" w:rsidR="00A47DF4" w:rsidRPr="00615542" w:rsidRDefault="00A47DF4" w:rsidP="00A47DF4">
      <w:pPr>
        <w:spacing w:after="0" w:line="240" w:lineRule="auto"/>
        <w:ind w:firstLine="709"/>
        <w:jc w:val="both"/>
        <w:rPr>
          <w:rFonts w:ascii="Times New Roman" w:eastAsia="Times New Roman" w:hAnsi="Times New Roman"/>
          <w:b/>
          <w:sz w:val="28"/>
          <w:szCs w:val="28"/>
        </w:rPr>
      </w:pPr>
    </w:p>
    <w:p w14:paraId="20A0D21B" w14:textId="77777777" w:rsidR="00A47DF4" w:rsidRPr="00A51A4D" w:rsidRDefault="00A47DF4" w:rsidP="00A47DF4">
      <w:pPr>
        <w:spacing w:after="0" w:line="240" w:lineRule="auto"/>
        <w:ind w:firstLine="709"/>
        <w:contextualSpacing/>
        <w:jc w:val="both"/>
        <w:rPr>
          <w:rFonts w:ascii="Times New Roman" w:eastAsia="Times New Roman" w:hAnsi="Times New Roman"/>
          <w:sz w:val="28"/>
          <w:szCs w:val="28"/>
        </w:rPr>
      </w:pPr>
      <w:r w:rsidRPr="00A51A4D">
        <w:rPr>
          <w:rFonts w:ascii="Times New Roman" w:eastAsia="Times New Roman" w:hAnsi="Times New Roman"/>
          <w:sz w:val="28"/>
          <w:szCs w:val="28"/>
        </w:rPr>
        <w:t xml:space="preserve">Конкуренция является стимулом экономического роста и основой поступательного развития страны, главным движущим фактором эволюционного развития общества. Конкуренция </w:t>
      </w:r>
      <w:r w:rsidRPr="00A51A4D">
        <w:rPr>
          <w:rFonts w:ascii="Times New Roman" w:hAnsi="Times New Roman"/>
          <w:sz w:val="28"/>
          <w:szCs w:val="28"/>
        </w:rPr>
        <w:t>стимулирует развитие новых технологий и поиск наиболее эффективных способов производства, что приводит к повышению конкурентоспособности товаров, сбалансированности их качества и цены, расширению выбора товаров для потребителей.</w:t>
      </w:r>
    </w:p>
    <w:p w14:paraId="54A9107A" w14:textId="77777777" w:rsidR="00A47DF4" w:rsidRPr="00A51A4D" w:rsidRDefault="00A47DF4" w:rsidP="00A47DF4">
      <w:pPr>
        <w:spacing w:after="0" w:line="240" w:lineRule="auto"/>
        <w:ind w:firstLine="709"/>
        <w:contextualSpacing/>
        <w:jc w:val="both"/>
        <w:rPr>
          <w:rFonts w:ascii="Times New Roman" w:eastAsia="Times New Roman" w:hAnsi="Times New Roman"/>
          <w:sz w:val="28"/>
          <w:szCs w:val="28"/>
        </w:rPr>
      </w:pPr>
      <w:r w:rsidRPr="00A51A4D">
        <w:rPr>
          <w:rFonts w:ascii="Times New Roman" w:hAnsi="Times New Roman"/>
          <w:sz w:val="28"/>
          <w:szCs w:val="28"/>
        </w:rPr>
        <w:t>Поддержка конкуренции является одной из основ конституционного строя Российской Федерации</w:t>
      </w:r>
      <w:r w:rsidRPr="00A51A4D">
        <w:rPr>
          <w:rFonts w:ascii="Times New Roman" w:eastAsia="Times New Roman" w:hAnsi="Times New Roman"/>
          <w:sz w:val="28"/>
          <w:szCs w:val="28"/>
        </w:rPr>
        <w:t>. Современное российское законодательство о защите конкуренции в результате последовательных преобразований за последние несколько десятков лет стало соответствовать мировым стандартам и принципам антимонопольного законодательства.</w:t>
      </w:r>
    </w:p>
    <w:p w14:paraId="74E9FAC6" w14:textId="77777777" w:rsidR="00A47DF4" w:rsidRPr="00A51A4D" w:rsidRDefault="00A47DF4" w:rsidP="00A47DF4">
      <w:pPr>
        <w:spacing w:after="0" w:line="240" w:lineRule="auto"/>
        <w:ind w:firstLine="709"/>
        <w:contextualSpacing/>
        <w:jc w:val="both"/>
        <w:rPr>
          <w:rFonts w:ascii="Times New Roman" w:eastAsia="Times New Roman" w:hAnsi="Times New Roman"/>
          <w:sz w:val="28"/>
          <w:szCs w:val="28"/>
        </w:rPr>
      </w:pPr>
      <w:r w:rsidRPr="00A51A4D">
        <w:rPr>
          <w:rFonts w:ascii="Times New Roman" w:eastAsia="Times New Roman" w:hAnsi="Times New Roman"/>
          <w:sz w:val="28"/>
          <w:szCs w:val="28"/>
        </w:rPr>
        <w:t>В то же время для эффективного развития конкуренции недостаточно наличия лишь законодательства, защищающего принципы здоровой и честной конкуренции, необходимы институциональные и правовые механизмы, стимулирующие развитие конкуренции в отраслях экономики и регионах страны.</w:t>
      </w:r>
    </w:p>
    <w:p w14:paraId="4F4671B1" w14:textId="77777777" w:rsidR="00A47DF4" w:rsidRPr="00A51A4D" w:rsidRDefault="00A47DF4" w:rsidP="00A47DF4">
      <w:pPr>
        <w:autoSpaceDE w:val="0"/>
        <w:autoSpaceDN w:val="0"/>
        <w:adjustRightInd w:val="0"/>
        <w:spacing w:after="0" w:line="240" w:lineRule="auto"/>
        <w:ind w:firstLine="709"/>
        <w:jc w:val="both"/>
        <w:rPr>
          <w:rFonts w:ascii="Times New Roman" w:hAnsi="Times New Roman"/>
          <w:sz w:val="28"/>
          <w:szCs w:val="28"/>
        </w:rPr>
      </w:pPr>
      <w:r w:rsidRPr="00A51A4D">
        <w:rPr>
          <w:rFonts w:ascii="Times New Roman" w:hAnsi="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37EC884D" w14:textId="77777777" w:rsidR="00C441AA" w:rsidRPr="00C441AA" w:rsidRDefault="00C441AA" w:rsidP="00C441AA">
      <w:pPr>
        <w:autoSpaceDE w:val="0"/>
        <w:autoSpaceDN w:val="0"/>
        <w:adjustRightInd w:val="0"/>
        <w:spacing w:after="0" w:line="240" w:lineRule="auto"/>
        <w:ind w:firstLine="709"/>
        <w:jc w:val="both"/>
        <w:rPr>
          <w:rFonts w:ascii="Times New Roman" w:hAnsi="Times New Roman"/>
          <w:sz w:val="28"/>
          <w:szCs w:val="28"/>
        </w:rPr>
      </w:pPr>
      <w:r w:rsidRPr="00C441AA">
        <w:rPr>
          <w:rFonts w:ascii="Times New Roman" w:hAnsi="Times New Roman"/>
          <w:sz w:val="28"/>
          <w:szCs w:val="28"/>
        </w:rPr>
        <w:t>С 18 января по 18 февраля 2019 г. Аналитическим центром при Правительстве Российской Федерации был проведен онлайн-опрос представителей российского бизнеса, позволивший оценить общее состояние конкуренции и конкурентной среды на российских рынках с точки зрения самих предпринимателей. В опросе приняли участие более 1300 респондентов.</w:t>
      </w:r>
    </w:p>
    <w:p w14:paraId="0835D2C9" w14:textId="77777777" w:rsidR="00C441AA" w:rsidRPr="00C441AA" w:rsidRDefault="00C441AA" w:rsidP="00C441AA">
      <w:pPr>
        <w:autoSpaceDE w:val="0"/>
        <w:autoSpaceDN w:val="0"/>
        <w:adjustRightInd w:val="0"/>
        <w:spacing w:after="0" w:line="240" w:lineRule="auto"/>
        <w:ind w:firstLine="709"/>
        <w:jc w:val="both"/>
        <w:rPr>
          <w:rFonts w:ascii="Times New Roman" w:hAnsi="Times New Roman"/>
          <w:sz w:val="28"/>
          <w:szCs w:val="28"/>
        </w:rPr>
      </w:pPr>
      <w:r w:rsidRPr="00C441AA">
        <w:rPr>
          <w:rFonts w:ascii="Times New Roman" w:hAnsi="Times New Roman"/>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несколько снизилась доля тех, кто ощущает слабую конкуренцию или ее отсутствие: 22% в 2019 году против 27% в 2018 году, 24% в 2017 и 2016 годах.</w:t>
      </w:r>
    </w:p>
    <w:p w14:paraId="13E41036" w14:textId="77777777" w:rsidR="00C441AA" w:rsidRPr="00C441AA" w:rsidRDefault="00C441AA" w:rsidP="00C441AA">
      <w:pPr>
        <w:autoSpaceDE w:val="0"/>
        <w:autoSpaceDN w:val="0"/>
        <w:adjustRightInd w:val="0"/>
        <w:spacing w:after="0" w:line="240" w:lineRule="auto"/>
        <w:ind w:firstLine="709"/>
        <w:jc w:val="both"/>
        <w:rPr>
          <w:rFonts w:ascii="Times New Roman" w:hAnsi="Times New Roman"/>
          <w:sz w:val="28"/>
          <w:szCs w:val="28"/>
        </w:rPr>
      </w:pPr>
      <w:r w:rsidRPr="00C441AA">
        <w:rPr>
          <w:rFonts w:ascii="Times New Roman" w:hAnsi="Times New Roman"/>
          <w:sz w:val="28"/>
          <w:szCs w:val="28"/>
        </w:rPr>
        <w:t>Отношение бизнеса к конкуренции остается достаточно позитивным: 36% опрошенных указали, что считают конкуренцию полезной для развития бизнеса (в сравнении с 32% в 2018 году), 25% участников опроса указывают на отрицательное влияние конкуренции (в 2018 году — 28%). Наиболее сильное влияние конкуренции испытывает бизнес в области культуры, спорта, организации досуга и развлечений, в сфере текстильного и швейного производства, пищевой промышленности и производства неметаллических изделий. На слабую конкуренцию чаще всего указывали представители топливно-энергетического комплекса, сферы производства и распределения электроэнергии, газа, воды, химической промышленности, а также здравоохранения и социальных услуг.</w:t>
      </w:r>
    </w:p>
    <w:p w14:paraId="2F4E9B05" w14:textId="77777777" w:rsidR="00C441AA" w:rsidRPr="00C441AA" w:rsidRDefault="00C441AA" w:rsidP="00C441AA">
      <w:pPr>
        <w:spacing w:after="0" w:line="240" w:lineRule="auto"/>
        <w:ind w:firstLine="709"/>
        <w:jc w:val="both"/>
        <w:rPr>
          <w:rFonts w:ascii="Times New Roman" w:hAnsi="Times New Roman"/>
          <w:sz w:val="28"/>
          <w:szCs w:val="28"/>
        </w:rPr>
      </w:pPr>
      <w:r w:rsidRPr="00C441AA">
        <w:rPr>
          <w:rFonts w:ascii="Times New Roman" w:hAnsi="Times New Roman"/>
          <w:sz w:val="28"/>
          <w:szCs w:val="28"/>
        </w:rPr>
        <w:t>Как видно предпринимаемые государством меры по развитию конкурентной среды в отдельных отраслях (сферах), и чаще всего, секторах экономики, имели положительные результаты, однако они не привели к системным улучшениям в состоянии конкурентной среды в масштабе страны.</w:t>
      </w:r>
    </w:p>
    <w:p w14:paraId="759DD984" w14:textId="69EABE7E" w:rsidR="00C441AA" w:rsidRPr="00C441AA" w:rsidRDefault="00C441AA" w:rsidP="00C441AA">
      <w:pPr>
        <w:spacing w:after="0" w:line="240" w:lineRule="auto"/>
        <w:ind w:firstLine="709"/>
        <w:jc w:val="both"/>
        <w:rPr>
          <w:rFonts w:ascii="Times New Roman" w:hAnsi="Times New Roman"/>
          <w:sz w:val="28"/>
          <w:szCs w:val="28"/>
        </w:rPr>
      </w:pPr>
      <w:r w:rsidRPr="00C441AA">
        <w:rPr>
          <w:rFonts w:ascii="Times New Roman" w:hAnsi="Times New Roman"/>
          <w:sz w:val="28"/>
          <w:szCs w:val="28"/>
        </w:rPr>
        <w:t>Сохранились государственно-монополистические тенденции в экономике во многих потенциально конкурентных сферах</w:t>
      </w:r>
      <w:r w:rsidR="00281074">
        <w:rPr>
          <w:rFonts w:ascii="Times New Roman" w:hAnsi="Times New Roman"/>
          <w:sz w:val="28"/>
          <w:szCs w:val="28"/>
        </w:rPr>
        <w:t>, в которых</w:t>
      </w:r>
      <w:r w:rsidRPr="00C441AA">
        <w:rPr>
          <w:rFonts w:ascii="Times New Roman" w:hAnsi="Times New Roman"/>
          <w:sz w:val="28"/>
          <w:szCs w:val="28"/>
        </w:rPr>
        <w:t xml:space="preserve"> частный бизнес отсутствует или недостаточен.  Ограничение конкуренции органами власти продолжает занимать большую долю антимонопольных дел: в 2016 году возбуждено 1284 дела,  выдано 3444 предупреждения; в 2017 году возбуждено 1262 дела, выдано 2890 предупреждений. В 2018 году возбуждено 1092 дела, выдано 2529 предупреждений.</w:t>
      </w:r>
    </w:p>
    <w:p w14:paraId="43AEA0D4" w14:textId="262DFDB9" w:rsidR="00C441AA" w:rsidRPr="00C441AA" w:rsidRDefault="00C441AA" w:rsidP="00C441AA">
      <w:pPr>
        <w:spacing w:after="0" w:line="240" w:lineRule="auto"/>
        <w:ind w:firstLine="709"/>
        <w:jc w:val="both"/>
        <w:rPr>
          <w:rFonts w:ascii="Times New Roman" w:hAnsi="Times New Roman"/>
          <w:sz w:val="28"/>
          <w:szCs w:val="28"/>
        </w:rPr>
      </w:pPr>
      <w:r w:rsidRPr="00C441AA">
        <w:rPr>
          <w:rFonts w:ascii="Times New Roman" w:hAnsi="Times New Roman"/>
          <w:sz w:val="28"/>
          <w:szCs w:val="28"/>
        </w:rPr>
        <w:t>Как следует из Доклада Аналитического центра при Правительстве Р</w:t>
      </w:r>
      <w:r w:rsidR="004D1417">
        <w:rPr>
          <w:rFonts w:ascii="Times New Roman" w:hAnsi="Times New Roman"/>
          <w:sz w:val="28"/>
          <w:szCs w:val="28"/>
        </w:rPr>
        <w:t xml:space="preserve">оссийской </w:t>
      </w:r>
      <w:r w:rsidRPr="00C441AA">
        <w:rPr>
          <w:rFonts w:ascii="Times New Roman" w:hAnsi="Times New Roman"/>
          <w:sz w:val="28"/>
          <w:szCs w:val="28"/>
        </w:rPr>
        <w:t>Ф</w:t>
      </w:r>
      <w:r w:rsidR="004D1417">
        <w:rPr>
          <w:rFonts w:ascii="Times New Roman" w:hAnsi="Times New Roman"/>
          <w:sz w:val="28"/>
          <w:szCs w:val="28"/>
        </w:rPr>
        <w:t>едерации</w:t>
      </w:r>
      <w:r w:rsidRPr="00C441AA">
        <w:rPr>
          <w:rFonts w:ascii="Times New Roman" w:hAnsi="Times New Roman"/>
          <w:sz w:val="28"/>
          <w:szCs w:val="28"/>
        </w:rPr>
        <w:t xml:space="preserve"> об оценке состоя</w:t>
      </w:r>
      <w:r w:rsidR="004D1417">
        <w:rPr>
          <w:rFonts w:ascii="Times New Roman" w:hAnsi="Times New Roman"/>
          <w:sz w:val="28"/>
          <w:szCs w:val="28"/>
        </w:rPr>
        <w:t>ния конкурентной среды в России</w:t>
      </w:r>
      <w:r w:rsidRPr="00C441AA">
        <w:rPr>
          <w:rFonts w:ascii="Times New Roman" w:hAnsi="Times New Roman"/>
          <w:sz w:val="28"/>
          <w:szCs w:val="28"/>
        </w:rPr>
        <w:t xml:space="preserve"> основными причинами снижения числа конкурентов, по мнению опрошенных предпринимателей, стали антиконкурентные действия органов власти (на это указали 46% респондентов, отметивших сокращение числа конкурентов), уход российских конкурентов с рынка (43%) и изменения нормативно-правовой базы, регулирующей деятельность предпринимателей (40%). Причем доля фактора ухода российских конкурентов с рынка резко возросла (плюс 15 п.п. по сравнению с предыдущим годом).</w:t>
      </w:r>
    </w:p>
    <w:p w14:paraId="1D5CB2DE" w14:textId="2CAE4A9F" w:rsidR="00C441AA" w:rsidRPr="00C441AA" w:rsidRDefault="00C441AA" w:rsidP="00C441AA">
      <w:pPr>
        <w:spacing w:after="0" w:line="240" w:lineRule="auto"/>
        <w:ind w:firstLine="709"/>
        <w:jc w:val="both"/>
        <w:rPr>
          <w:rFonts w:ascii="Times New Roman" w:hAnsi="Times New Roman"/>
          <w:sz w:val="28"/>
          <w:szCs w:val="28"/>
        </w:rPr>
      </w:pPr>
      <w:r w:rsidRPr="00C441AA">
        <w:rPr>
          <w:rFonts w:ascii="Times New Roman" w:hAnsi="Times New Roman"/>
          <w:sz w:val="28"/>
          <w:szCs w:val="28"/>
        </w:rPr>
        <w:t xml:space="preserve">Уровень неудовлетворенности предпринимателей действиями органов власти остается высоким: 42% респондентов считают, что органы власти только мешают бизнесу своими действиями и инициативами. Лишь 2% заявили, что действия органов власти оказывают положительное влияние на российский бизнес. В то же время представители сферы </w:t>
      </w:r>
      <w:r w:rsidR="004D1417">
        <w:rPr>
          <w:rFonts w:ascii="Times New Roman" w:hAnsi="Times New Roman"/>
          <w:sz w:val="28"/>
          <w:szCs w:val="28"/>
        </w:rPr>
        <w:t>информационных технологий</w:t>
      </w:r>
      <w:r w:rsidRPr="00C441AA">
        <w:rPr>
          <w:rFonts w:ascii="Times New Roman" w:hAnsi="Times New Roman"/>
          <w:sz w:val="28"/>
          <w:szCs w:val="28"/>
        </w:rPr>
        <w:t xml:space="preserve"> (50%) и деревообрабатывающей промышленности (44%) отметили необходимость вмешательства государства в регулирование рынка.</w:t>
      </w:r>
    </w:p>
    <w:p w14:paraId="0846BDED" w14:textId="77777777" w:rsidR="00C441AA" w:rsidRPr="00C441AA" w:rsidRDefault="00C441AA" w:rsidP="00C441AA">
      <w:pPr>
        <w:spacing w:after="0" w:line="240" w:lineRule="auto"/>
        <w:ind w:firstLine="709"/>
        <w:jc w:val="both"/>
        <w:rPr>
          <w:rFonts w:ascii="Times New Roman" w:hAnsi="Times New Roman"/>
          <w:sz w:val="28"/>
          <w:szCs w:val="28"/>
        </w:rPr>
      </w:pPr>
      <w:r w:rsidRPr="00C441AA">
        <w:rPr>
          <w:rFonts w:ascii="Times New Roman" w:hAnsi="Times New Roman"/>
          <w:sz w:val="28"/>
          <w:szCs w:val="28"/>
        </w:rPr>
        <w:t xml:space="preserve">  Картели стали приобретать все признаки, присущие организованным преступным группам и преступным сообществам. Ущерб бюджетам всех уровней от действий картелей может быть оценен в 1 трлн рублей. Специфической чертой антиконкурентных соглашений является участие в них государственных органов. Наиболее картелизованными сферами традиционно являются такие сферы, как строительный комплекс и здравоохранение.</w:t>
      </w:r>
    </w:p>
    <w:p w14:paraId="1CF0E752" w14:textId="306E27AF" w:rsidR="00C441AA" w:rsidRPr="00C441AA" w:rsidRDefault="00C441AA" w:rsidP="00C441AA">
      <w:pPr>
        <w:spacing w:after="0" w:line="240" w:lineRule="auto"/>
        <w:ind w:firstLine="709"/>
        <w:jc w:val="both"/>
        <w:rPr>
          <w:rFonts w:ascii="Times New Roman" w:hAnsi="Times New Roman"/>
          <w:sz w:val="28"/>
          <w:szCs w:val="28"/>
        </w:rPr>
      </w:pPr>
      <w:r w:rsidRPr="00C441AA">
        <w:rPr>
          <w:rFonts w:ascii="Times New Roman" w:hAnsi="Times New Roman"/>
          <w:sz w:val="28"/>
          <w:szCs w:val="28"/>
        </w:rPr>
        <w:t>После вступления Российской Федерацию в</w:t>
      </w:r>
      <w:r w:rsidR="0067490F">
        <w:rPr>
          <w:rFonts w:ascii="Times New Roman" w:hAnsi="Times New Roman"/>
          <w:sz w:val="28"/>
          <w:szCs w:val="28"/>
        </w:rPr>
        <w:t>о</w:t>
      </w:r>
      <w:r w:rsidRPr="00C441AA">
        <w:rPr>
          <w:rFonts w:ascii="Times New Roman" w:hAnsi="Times New Roman"/>
          <w:sz w:val="28"/>
          <w:szCs w:val="28"/>
        </w:rPr>
        <w:t xml:space="preserve"> В</w:t>
      </w:r>
      <w:r w:rsidR="0067490F">
        <w:rPr>
          <w:rFonts w:ascii="Times New Roman" w:hAnsi="Times New Roman"/>
          <w:sz w:val="28"/>
          <w:szCs w:val="28"/>
        </w:rPr>
        <w:t>семирную торговую организацию (далее – ВТО)</w:t>
      </w:r>
      <w:r w:rsidRPr="00C441AA">
        <w:rPr>
          <w:rFonts w:ascii="Times New Roman" w:hAnsi="Times New Roman"/>
          <w:sz w:val="28"/>
          <w:szCs w:val="28"/>
        </w:rPr>
        <w:t xml:space="preserve"> сложно было представить, что наступит момент, когда ряд стран введет в отношении нашей страны различного рода экономические санкции, которые прямо противоречат духу ВТО. Однако это произошло. В условиях санкционного режима необходимо принятие взвешенных норм по импортозамещению, легализации параллельного импорта.</w:t>
      </w:r>
    </w:p>
    <w:p w14:paraId="60E6ED6F" w14:textId="77777777" w:rsidR="00C441AA" w:rsidRPr="006F1E6C" w:rsidRDefault="00C441AA" w:rsidP="00C441AA">
      <w:pPr>
        <w:spacing w:after="0" w:line="240" w:lineRule="auto"/>
        <w:ind w:firstLine="709"/>
        <w:jc w:val="both"/>
        <w:rPr>
          <w:rFonts w:ascii="Times New Roman" w:hAnsi="Times New Roman"/>
          <w:sz w:val="28"/>
          <w:szCs w:val="28"/>
        </w:rPr>
      </w:pPr>
      <w:r w:rsidRPr="00C441AA">
        <w:rPr>
          <w:rFonts w:ascii="Times New Roman" w:hAnsi="Times New Roman"/>
          <w:sz w:val="28"/>
          <w:szCs w:val="28"/>
        </w:rPr>
        <w:t>В современных условиях некоторые стандартные категории антимонопольного регулирования не работают на цифровых рынках. Все чаще мы сталкиваемся с примерами, когда меняется монетизация определенных ресурсов, а рыночная власть определяется не наличием большого количества товаров, а доступом к большим объемам информации. В законодательстве должны появиться дополнительные критерии, позволяющие отнести к доминирующим субъектам владельцев крупных инфраструктурных платформ, интернет-платформ, которые такую власть получают, например, как в случаях с Amazon Alibaba, Google, Microsoft, Apple.</w:t>
      </w:r>
    </w:p>
    <w:p w14:paraId="6304E597" w14:textId="77777777" w:rsidR="00A47DF4" w:rsidRPr="00A51A4D" w:rsidRDefault="00A47DF4" w:rsidP="00A47DF4">
      <w:pPr>
        <w:autoSpaceDE w:val="0"/>
        <w:autoSpaceDN w:val="0"/>
        <w:adjustRightInd w:val="0"/>
        <w:spacing w:after="0" w:line="240" w:lineRule="auto"/>
        <w:ind w:firstLine="709"/>
        <w:jc w:val="both"/>
        <w:rPr>
          <w:rFonts w:ascii="Times New Roman" w:eastAsia="Times New Roman" w:hAnsi="Times New Roman"/>
          <w:sz w:val="28"/>
          <w:szCs w:val="28"/>
        </w:rPr>
      </w:pPr>
      <w:r w:rsidRPr="00A51A4D">
        <w:rPr>
          <w:rFonts w:ascii="Times New Roman" w:eastAsia="Times New Roman" w:hAnsi="Times New Roman"/>
          <w:sz w:val="28"/>
          <w:szCs w:val="28"/>
        </w:rPr>
        <w:t>Реализация задач, направленных на обеспечение эффективности функционирования российской экономики на основе здоровой конкуренции, особенно в условиях экономических санкций, возможно только при консолидированном участии в данном процессе органов власти всех уровней, российского бизнес-сообщества и институтов гражданского общества.</w:t>
      </w:r>
    </w:p>
    <w:p w14:paraId="4DE8AA7F" w14:textId="690E3AAB" w:rsidR="00A47DF4" w:rsidRPr="00A51A4D" w:rsidRDefault="00861B13" w:rsidP="00A47D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указывалось в других разделах, в</w:t>
      </w:r>
      <w:r w:rsidR="00A47DF4" w:rsidRPr="00A51A4D">
        <w:rPr>
          <w:rFonts w:ascii="Times New Roman" w:hAnsi="Times New Roman" w:cs="Times New Roman"/>
          <w:sz w:val="28"/>
          <w:szCs w:val="28"/>
        </w:rPr>
        <w:t xml:space="preserve"> конце 2017 г. Президент</w:t>
      </w:r>
      <w:r w:rsidR="00BF4A58">
        <w:rPr>
          <w:rFonts w:ascii="Times New Roman" w:hAnsi="Times New Roman" w:cs="Times New Roman"/>
          <w:sz w:val="28"/>
          <w:szCs w:val="28"/>
        </w:rPr>
        <w:t xml:space="preserve"> Российской Федерации</w:t>
      </w:r>
      <w:r w:rsidR="00A47DF4" w:rsidRPr="00A51A4D">
        <w:rPr>
          <w:rFonts w:ascii="Times New Roman" w:hAnsi="Times New Roman" w:cs="Times New Roman"/>
          <w:sz w:val="28"/>
          <w:szCs w:val="28"/>
        </w:rPr>
        <w:t xml:space="preserve"> подписал Указ № 618 «Об основных направлениях государственной политики по развитию конкуренции», который </w:t>
      </w:r>
      <w:r w:rsidR="00A47DF4" w:rsidRPr="00A51A4D">
        <w:rPr>
          <w:rFonts w:ascii="Times New Roman" w:eastAsia="Times New Roman" w:hAnsi="Times New Roman"/>
          <w:sz w:val="28"/>
          <w:szCs w:val="28"/>
        </w:rPr>
        <w:t>стал связующим системным звеном, объединив федеральную составляющую по развитию конкуренции с созданной региональной и муниципальной инфраструктурой по содействию развитию конкуренции.</w:t>
      </w:r>
    </w:p>
    <w:p w14:paraId="71E19F67" w14:textId="7EAA0868" w:rsidR="00A47DF4" w:rsidRPr="00A51A4D"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Указ</w:t>
      </w:r>
      <w:r w:rsidRPr="00A51A4D">
        <w:t xml:space="preserve"> </w:t>
      </w:r>
      <w:r w:rsidRPr="00A51A4D">
        <w:rPr>
          <w:rFonts w:ascii="Times New Roman" w:hAnsi="Times New Roman" w:cs="Times New Roman"/>
          <w:sz w:val="28"/>
          <w:szCs w:val="28"/>
        </w:rPr>
        <w:t xml:space="preserve">Президента № 618 </w:t>
      </w:r>
      <w:r w:rsidR="00602A22">
        <w:rPr>
          <w:rFonts w:ascii="Times New Roman" w:hAnsi="Times New Roman" w:cs="Times New Roman"/>
          <w:sz w:val="28"/>
          <w:szCs w:val="28"/>
        </w:rPr>
        <w:t>является реализацией</w:t>
      </w:r>
      <w:r w:rsidRPr="00A51A4D">
        <w:rPr>
          <w:rFonts w:ascii="Times New Roman" w:hAnsi="Times New Roman" w:cs="Times New Roman"/>
          <w:sz w:val="28"/>
          <w:szCs w:val="28"/>
        </w:rPr>
        <w:t xml:space="preserve"> стат</w:t>
      </w:r>
      <w:r w:rsidR="00602A22">
        <w:rPr>
          <w:rFonts w:ascii="Times New Roman" w:hAnsi="Times New Roman" w:cs="Times New Roman"/>
          <w:sz w:val="28"/>
          <w:szCs w:val="28"/>
        </w:rPr>
        <w:t>ей</w:t>
      </w:r>
      <w:r w:rsidRPr="00A51A4D">
        <w:rPr>
          <w:rFonts w:ascii="Times New Roman" w:hAnsi="Times New Roman" w:cs="Times New Roman"/>
          <w:sz w:val="28"/>
          <w:szCs w:val="28"/>
        </w:rPr>
        <w:t xml:space="preserve"> 8 и 34 Конституции Российской Федерации, в которых поддержка конкуренции, свобода экономической деятельности, недопущение экономической деятельности, направленной на монополизацию и недобросовестную конкуренцию – отнесены к основам конституционного строя Российской Федерации и основным правам и свободам человека и гражданина.</w:t>
      </w:r>
    </w:p>
    <w:p w14:paraId="77AD2761" w14:textId="24EA4C01" w:rsidR="00A47DF4" w:rsidRPr="00A36C91"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Это документ стратегического характера, в котором определено, что в настоящее время активное содействие развитию конкуренции в Р</w:t>
      </w:r>
      <w:r w:rsidR="00C13471">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sidR="00C13471">
        <w:rPr>
          <w:rFonts w:ascii="Times New Roman" w:hAnsi="Times New Roman" w:cs="Times New Roman"/>
          <w:sz w:val="28"/>
          <w:szCs w:val="28"/>
        </w:rPr>
        <w:t>едерации</w:t>
      </w:r>
      <w:r w:rsidRPr="00A51A4D">
        <w:rPr>
          <w:rFonts w:ascii="Times New Roman" w:hAnsi="Times New Roman" w:cs="Times New Roman"/>
          <w:sz w:val="28"/>
          <w:szCs w:val="28"/>
        </w:rPr>
        <w:t xml:space="preserve"> является приоритетным направлением деятельности всех органов государственной власти и органов местного самоуправления. Указ № 618 утвердил Национальный план развития конкуренции, который представляет собой среднесрочный план развития конкуренции на федеральном и региональном уровнях. Он предусматривает ключевые показатели по развитию конкуренции на ближайшие три года. </w:t>
      </w:r>
    </w:p>
    <w:p w14:paraId="48CCA2E8"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Национальный план стал первым комплексным стратегическим документом федерального уровня, направленным на развитие конкуренции. Положениями Указа № 618 и Национального плана были заданы основные векторы совместной работы органов власти всех уровней, определены основополагающие принципы государственной политики по развитию конкуренции, а также установлены отрасли (сферы) экономики, на развитие конкуренции в которых в первую очередь направлены мероприятия Национального плана.</w:t>
      </w:r>
    </w:p>
    <w:p w14:paraId="6D92830F"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Активное содействие развитию конкуренции в Российской Федерации признано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28BABC0E"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Национальным планом предусмотрены следующие основные направления деятельности по развитию конкуренции:</w:t>
      </w:r>
    </w:p>
    <w:p w14:paraId="1ECD2441"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w:t>
      </w:r>
      <w:r w:rsidRPr="00A36C91">
        <w:rPr>
          <w:rFonts w:ascii="Times New Roman" w:hAnsi="Times New Roman" w:cs="Times New Roman"/>
          <w:sz w:val="28"/>
          <w:szCs w:val="28"/>
        </w:rPr>
        <w:tab/>
        <w:t>разработка и принятие законов и иных нормативных правовых актов, нацеленных на снижение доли государственного и муниципального участия в экономике страны, обеспечение недискриминационного доступа, снижение количества нарушений антимонопольного законодательства;</w:t>
      </w:r>
    </w:p>
    <w:p w14:paraId="3EF489CF"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w:t>
      </w:r>
      <w:r w:rsidRPr="00A36C91">
        <w:rPr>
          <w:rFonts w:ascii="Times New Roman" w:hAnsi="Times New Roman" w:cs="Times New Roman"/>
          <w:sz w:val="28"/>
          <w:szCs w:val="28"/>
        </w:rPr>
        <w:tab/>
        <w:t>анализ действующих нормативных и стратегических документов, а также условий деятельности на товарных рынках с целью выявления факторов, ограничивающих развитие конкуренции, административных барьеров;</w:t>
      </w:r>
    </w:p>
    <w:p w14:paraId="4657ACE1"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w:t>
      </w:r>
      <w:r w:rsidRPr="00A36C91">
        <w:rPr>
          <w:rFonts w:ascii="Times New Roman" w:hAnsi="Times New Roman" w:cs="Times New Roman"/>
          <w:sz w:val="28"/>
          <w:szCs w:val="28"/>
        </w:rPr>
        <w:tab/>
        <w:t>разработка планов мероприятий по развитию конкуренции в отраслях экономики Российской Федерации;</w:t>
      </w:r>
    </w:p>
    <w:p w14:paraId="2C90160C"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w:t>
      </w:r>
      <w:r w:rsidRPr="00A36C91">
        <w:rPr>
          <w:rFonts w:ascii="Times New Roman" w:hAnsi="Times New Roman" w:cs="Times New Roman"/>
          <w:sz w:val="28"/>
          <w:szCs w:val="28"/>
        </w:rPr>
        <w:tab/>
        <w:t>активизация работы по развитию конкуренции на региональном и местном уровне;</w:t>
      </w:r>
    </w:p>
    <w:p w14:paraId="2EAA89D3"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w:t>
      </w:r>
      <w:r w:rsidRPr="00A36C91">
        <w:rPr>
          <w:rFonts w:ascii="Times New Roman" w:hAnsi="Times New Roman" w:cs="Times New Roman"/>
          <w:sz w:val="28"/>
          <w:szCs w:val="28"/>
        </w:rPr>
        <w:tab/>
        <w:t>внедрение в деятельность органов власти механизмов, направленных на профилактику нарушений антимонопольного законодательства, а также повышение эффективности закупочной деятельности</w:t>
      </w:r>
    </w:p>
    <w:p w14:paraId="5F7637B8"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w:t>
      </w:r>
      <w:r w:rsidRPr="00A36C91">
        <w:rPr>
          <w:rFonts w:ascii="Times New Roman" w:hAnsi="Times New Roman" w:cs="Times New Roman"/>
          <w:sz w:val="28"/>
          <w:szCs w:val="28"/>
        </w:rPr>
        <w:tab/>
        <w:t>сотрудничество с институтами гражданского общества по вопросам развития конкуренции;</w:t>
      </w:r>
    </w:p>
    <w:p w14:paraId="55448667"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w:t>
      </w:r>
      <w:r w:rsidRPr="00A36C91">
        <w:rPr>
          <w:rFonts w:ascii="Times New Roman" w:hAnsi="Times New Roman" w:cs="Times New Roman"/>
          <w:sz w:val="28"/>
          <w:szCs w:val="28"/>
        </w:rPr>
        <w:tab/>
        <w:t>развитие международного сотрудничества, направленного на выявление и пресечение антиконкурентных соглашений.</w:t>
      </w:r>
    </w:p>
    <w:p w14:paraId="40E50139"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В качестве целей совершенствования государственной политики по развитию конкуренции в Указе называются:</w:t>
      </w:r>
    </w:p>
    <w:p w14:paraId="2C6CBF73"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а) повышение удовлетворенности потребителей за счет расширения ассортимента товаров, работ, услуг, повышения их качества и снижения цен;</w:t>
      </w:r>
    </w:p>
    <w:p w14:paraId="62F96D27"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б) 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14:paraId="15DD4ADC"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658D9DA8"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Указ Президента № 618 содержит ряд поручений и рекомендаций органам власти и местного самоуправления, общественным организациям.</w:t>
      </w:r>
    </w:p>
    <w:p w14:paraId="04E617AB" w14:textId="0DDA4D42"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Так, Правительству Р</w:t>
      </w:r>
      <w:r w:rsidR="007E1BA3">
        <w:rPr>
          <w:rFonts w:ascii="Times New Roman" w:hAnsi="Times New Roman" w:cs="Times New Roman"/>
          <w:sz w:val="28"/>
          <w:szCs w:val="28"/>
        </w:rPr>
        <w:t xml:space="preserve">оссийской </w:t>
      </w:r>
      <w:r w:rsidRPr="00A36C91">
        <w:rPr>
          <w:rFonts w:ascii="Times New Roman" w:hAnsi="Times New Roman" w:cs="Times New Roman"/>
          <w:sz w:val="28"/>
          <w:szCs w:val="28"/>
        </w:rPr>
        <w:t>Ф</w:t>
      </w:r>
      <w:r w:rsidR="007E1BA3">
        <w:rPr>
          <w:rFonts w:ascii="Times New Roman" w:hAnsi="Times New Roman" w:cs="Times New Roman"/>
          <w:sz w:val="28"/>
          <w:szCs w:val="28"/>
        </w:rPr>
        <w:t>едерации</w:t>
      </w:r>
      <w:r w:rsidRPr="00A36C91">
        <w:rPr>
          <w:rFonts w:ascii="Times New Roman" w:hAnsi="Times New Roman" w:cs="Times New Roman"/>
          <w:sz w:val="28"/>
          <w:szCs w:val="28"/>
        </w:rPr>
        <w:t xml:space="preserve"> поручено осуществлять координацию выполнения мероприятий, предусмотренных Национальным планом.</w:t>
      </w:r>
    </w:p>
    <w:p w14:paraId="0A26A23D"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Высшим должностным лицам (руководителям высших исполнительных органов государственной власти) субъектов Российской Федерации дано поручение активизировать работу по развитию конкуренции в субъектах Российской Федерации.</w:t>
      </w:r>
    </w:p>
    <w:p w14:paraId="072AAA99"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Органам местного самоуправления рекомендовано активизировать работу по развитию конкуренции в муниципальных образованиях.</w:t>
      </w:r>
    </w:p>
    <w:p w14:paraId="0ADF580C"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 xml:space="preserve"> Верховному Суду Российской Федерации рекомендовано организовать работу по дальнейшему изучению практики применения судами антимонопольного законодательства, законодательства о государственном регулировании цен (тарифов), законодательства о контрактной системе в сфере закупок товаров, работ, услуг для обеспечения государственных и муниципальных нужд, законодательства, регулирующего закупки товаров, работ, услуг отдельными видами юридических лиц, и разъяснению судам его применения.</w:t>
      </w:r>
    </w:p>
    <w:p w14:paraId="35417B22"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Генеральной прокуратуре Российской Федерации в соответсвии с Указом № 618 необходимо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p>
    <w:p w14:paraId="2C1D98BA" w14:textId="72FCC7EB"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 xml:space="preserve">Общественной палате Российской Федерации предложено создать совещательные органы по развитию конкуренции на базе общественно-консультативных советов Федеральной антимонопольной службы во всех субъектах Российской Федерации, а также принять участие в работе коллегиального координационного или совещательного органа, созданных в субъектах Российской Федерации при высшем должностном лице для внедрения стандарта развития конкуренции в субъектах Российской Федерации, утвержденного распоряжением Правительства Российской Федерации от 5 сентября 2015 г. </w:t>
      </w:r>
      <w:r w:rsidR="00E16445">
        <w:rPr>
          <w:rFonts w:ascii="Times New Roman" w:hAnsi="Times New Roman" w:cs="Times New Roman"/>
          <w:sz w:val="28"/>
          <w:szCs w:val="28"/>
        </w:rPr>
        <w:t>№</w:t>
      </w:r>
      <w:r w:rsidRPr="00A36C91">
        <w:rPr>
          <w:rFonts w:ascii="Times New Roman" w:hAnsi="Times New Roman" w:cs="Times New Roman"/>
          <w:sz w:val="28"/>
          <w:szCs w:val="28"/>
        </w:rPr>
        <w:t xml:space="preserve"> 1738-р.</w:t>
      </w:r>
    </w:p>
    <w:p w14:paraId="0678D517"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Саморегулируемым организациям, общественным организациям, профессиональным союзам и советам потребителей в свою очередь предложено:</w:t>
      </w:r>
    </w:p>
    <w:p w14:paraId="64938BB3"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а) принять активное участие в работе совещательных органов по развитию конкуренции;</w:t>
      </w:r>
    </w:p>
    <w:p w14:paraId="0B6342A6"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б) использовать механизм общественного контроля за деятельностью органов государственной власти и местного самоуправления для выявления актов и действий, направленных на ограничение конкуренции и создание необоснованных административных барьеров;</w:t>
      </w:r>
    </w:p>
    <w:p w14:paraId="7A008E01" w14:textId="53E162C8"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 xml:space="preserve">в) направлять ежегодно в Федеральную антимонопольную службу информацию об оценке состояния конкуренции в Российской Федерации и эффективности государственной политики по развитию конкуренции для включения в доклад о состоянии конкуренции в Российской Федерации, подготавливаемый Федеральной антимонопольной службой в соответствии с пунктом 10 части 2 статьи 23 </w:t>
      </w:r>
      <w:r w:rsidR="003F7F8E">
        <w:rPr>
          <w:rFonts w:ascii="Times New Roman" w:hAnsi="Times New Roman" w:cs="Times New Roman"/>
          <w:sz w:val="28"/>
          <w:szCs w:val="28"/>
        </w:rPr>
        <w:t>З</w:t>
      </w:r>
      <w:r w:rsidRPr="00A36C91">
        <w:rPr>
          <w:rFonts w:ascii="Times New Roman" w:hAnsi="Times New Roman" w:cs="Times New Roman"/>
          <w:sz w:val="28"/>
          <w:szCs w:val="28"/>
        </w:rPr>
        <w:t xml:space="preserve">акона </w:t>
      </w:r>
      <w:r w:rsidR="003F7F8E">
        <w:rPr>
          <w:rFonts w:ascii="Times New Roman" w:hAnsi="Times New Roman" w:cs="Times New Roman"/>
          <w:sz w:val="28"/>
          <w:szCs w:val="28"/>
        </w:rPr>
        <w:t>о защите конкуренции</w:t>
      </w:r>
      <w:r w:rsidRPr="00A36C91">
        <w:rPr>
          <w:rFonts w:ascii="Times New Roman" w:hAnsi="Times New Roman" w:cs="Times New Roman"/>
          <w:sz w:val="28"/>
          <w:szCs w:val="28"/>
        </w:rPr>
        <w:t>;</w:t>
      </w:r>
    </w:p>
    <w:p w14:paraId="0254A2F2" w14:textId="77777777" w:rsidR="00A47DF4" w:rsidRPr="00A36C91"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г) продолжить работу по формированию в обществе нетерпимого отношения к любым проявлениям актов недобросовестной конкуренции и экономической деятельности, направленной на монополизацию;</w:t>
      </w:r>
    </w:p>
    <w:p w14:paraId="03FBC4A8" w14:textId="77777777" w:rsidR="00A47DF4" w:rsidRPr="00A51A4D"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д) принять участие во взаимодействии со средствами массовой информации в распространении информации о реализации государственной политики по развитию конкуренции, о требованиях антимонопольного законодательства, а также позитивного опыта противодействия граждан и институтов гражданского общества проявлениям актов недобросовестной конкуренции и экономической деятельности, направленной на монополизацию.</w:t>
      </w:r>
    </w:p>
    <w:p w14:paraId="6CB410FC" w14:textId="7C051739" w:rsidR="00A47DF4" w:rsidRPr="00A51A4D" w:rsidRDefault="00A47DF4" w:rsidP="00A47D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исполнение Национального плана по развитию конкуренции </w:t>
      </w:r>
      <w:r w:rsidRPr="00A51A4D">
        <w:rPr>
          <w:rFonts w:ascii="Times New Roman" w:hAnsi="Times New Roman" w:cs="Times New Roman"/>
          <w:sz w:val="28"/>
          <w:szCs w:val="28"/>
        </w:rPr>
        <w:t>Распоряжением Правительства Р</w:t>
      </w:r>
      <w:r w:rsidR="009D723D">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sidR="009D723D">
        <w:rPr>
          <w:rFonts w:ascii="Times New Roman" w:hAnsi="Times New Roman" w:cs="Times New Roman"/>
          <w:sz w:val="28"/>
          <w:szCs w:val="28"/>
        </w:rPr>
        <w:t>едерации</w:t>
      </w:r>
      <w:r w:rsidRPr="00A51A4D">
        <w:rPr>
          <w:rFonts w:ascii="Times New Roman" w:hAnsi="Times New Roman" w:cs="Times New Roman"/>
          <w:sz w:val="28"/>
          <w:szCs w:val="28"/>
        </w:rPr>
        <w:t xml:space="preserve"> от 16.</w:t>
      </w:r>
      <w:r>
        <w:rPr>
          <w:rFonts w:ascii="Times New Roman" w:hAnsi="Times New Roman" w:cs="Times New Roman"/>
          <w:sz w:val="28"/>
          <w:szCs w:val="28"/>
        </w:rPr>
        <w:t xml:space="preserve">08.2018 </w:t>
      </w:r>
      <w:r w:rsidR="009D723D">
        <w:rPr>
          <w:rFonts w:ascii="Times New Roman" w:hAnsi="Times New Roman" w:cs="Times New Roman"/>
          <w:sz w:val="28"/>
          <w:szCs w:val="28"/>
        </w:rPr>
        <w:t xml:space="preserve">                 </w:t>
      </w:r>
      <w:r>
        <w:rPr>
          <w:rFonts w:ascii="Times New Roman" w:hAnsi="Times New Roman" w:cs="Times New Roman"/>
          <w:sz w:val="28"/>
          <w:szCs w:val="28"/>
        </w:rPr>
        <w:t>№ 1697-р утвержден план</w:t>
      </w:r>
      <w:r w:rsidRPr="00A51A4D">
        <w:rPr>
          <w:rFonts w:ascii="Times New Roman" w:hAnsi="Times New Roman" w:cs="Times New Roman"/>
          <w:sz w:val="28"/>
          <w:szCs w:val="28"/>
        </w:rPr>
        <w:t xml:space="preserve"> мероприятий (</w:t>
      </w:r>
      <w:r>
        <w:rPr>
          <w:rFonts w:ascii="Times New Roman" w:hAnsi="Times New Roman" w:cs="Times New Roman"/>
          <w:sz w:val="28"/>
          <w:szCs w:val="28"/>
        </w:rPr>
        <w:t>«</w:t>
      </w:r>
      <w:r w:rsidRPr="00A51A4D">
        <w:rPr>
          <w:rFonts w:ascii="Times New Roman" w:hAnsi="Times New Roman" w:cs="Times New Roman"/>
          <w:sz w:val="28"/>
          <w:szCs w:val="28"/>
        </w:rPr>
        <w:t>дорожная карта</w:t>
      </w:r>
      <w:r>
        <w:rPr>
          <w:rFonts w:ascii="Times New Roman" w:hAnsi="Times New Roman" w:cs="Times New Roman"/>
          <w:sz w:val="28"/>
          <w:szCs w:val="28"/>
        </w:rPr>
        <w:t>»</w:t>
      </w:r>
      <w:r w:rsidRPr="00A51A4D">
        <w:rPr>
          <w:rFonts w:ascii="Times New Roman" w:hAnsi="Times New Roman" w:cs="Times New Roman"/>
          <w:sz w:val="28"/>
          <w:szCs w:val="28"/>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Она предусматривает мероприятия, направленные на развитие конкуренции в образовании, дорожном строительстве, информационных технологиях, ЖКХ, газоснабжении, транспорте, промышленности и т.д. </w:t>
      </w:r>
      <w:r w:rsidR="00A11353">
        <w:rPr>
          <w:rFonts w:ascii="Times New Roman" w:hAnsi="Times New Roman" w:cs="Times New Roman"/>
          <w:sz w:val="28"/>
          <w:szCs w:val="28"/>
        </w:rPr>
        <w:t>(</w:t>
      </w:r>
      <w:r w:rsidRPr="00A51A4D">
        <w:rPr>
          <w:rFonts w:ascii="Times New Roman" w:hAnsi="Times New Roman" w:cs="Times New Roman"/>
          <w:sz w:val="28"/>
          <w:szCs w:val="28"/>
        </w:rPr>
        <w:t>всего в 18 отраслях экономики</w:t>
      </w:r>
      <w:r w:rsidR="00A11353">
        <w:rPr>
          <w:rFonts w:ascii="Times New Roman" w:hAnsi="Times New Roman" w:cs="Times New Roman"/>
          <w:sz w:val="28"/>
          <w:szCs w:val="28"/>
        </w:rPr>
        <w:t>)</w:t>
      </w:r>
      <w:r w:rsidRPr="00A51A4D">
        <w:rPr>
          <w:rFonts w:ascii="Times New Roman" w:hAnsi="Times New Roman" w:cs="Times New Roman"/>
          <w:sz w:val="28"/>
          <w:szCs w:val="28"/>
        </w:rPr>
        <w:t>.</w:t>
      </w:r>
    </w:p>
    <w:p w14:paraId="52FC8DF8" w14:textId="77777777" w:rsidR="00A47DF4" w:rsidRPr="00A51A4D"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Федеральная и региональные </w:t>
      </w:r>
      <w:r>
        <w:rPr>
          <w:rFonts w:ascii="Times New Roman" w:hAnsi="Times New Roman" w:cs="Times New Roman"/>
          <w:sz w:val="28"/>
          <w:szCs w:val="28"/>
        </w:rPr>
        <w:t>«</w:t>
      </w:r>
      <w:r w:rsidRPr="00A51A4D">
        <w:rPr>
          <w:rFonts w:ascii="Times New Roman" w:hAnsi="Times New Roman" w:cs="Times New Roman"/>
          <w:sz w:val="28"/>
          <w:szCs w:val="28"/>
        </w:rPr>
        <w:t>дорожные карты</w:t>
      </w:r>
      <w:r>
        <w:rPr>
          <w:rFonts w:ascii="Times New Roman" w:hAnsi="Times New Roman" w:cs="Times New Roman"/>
          <w:sz w:val="28"/>
          <w:szCs w:val="28"/>
        </w:rPr>
        <w:t>»</w:t>
      </w:r>
      <w:r w:rsidRPr="00A51A4D">
        <w:rPr>
          <w:rFonts w:ascii="Times New Roman" w:hAnsi="Times New Roman" w:cs="Times New Roman"/>
          <w:sz w:val="28"/>
          <w:szCs w:val="28"/>
        </w:rPr>
        <w:t xml:space="preserve"> развития конкуренции должны быть направлены на повышение благосостояния граждан за счет снижения цен, повышения качества товаров, работ и услуг, которые являются следствием развития конкуренции. По достижении целей, заложенных в </w:t>
      </w:r>
      <w:r>
        <w:rPr>
          <w:rFonts w:ascii="Times New Roman" w:hAnsi="Times New Roman" w:cs="Times New Roman"/>
          <w:sz w:val="28"/>
          <w:szCs w:val="28"/>
        </w:rPr>
        <w:t>«</w:t>
      </w:r>
      <w:r w:rsidRPr="00A51A4D">
        <w:rPr>
          <w:rFonts w:ascii="Times New Roman" w:hAnsi="Times New Roman" w:cs="Times New Roman"/>
          <w:sz w:val="28"/>
          <w:szCs w:val="28"/>
        </w:rPr>
        <w:t>дорожной карте</w:t>
      </w:r>
      <w:r>
        <w:rPr>
          <w:rFonts w:ascii="Times New Roman" w:hAnsi="Times New Roman" w:cs="Times New Roman"/>
          <w:sz w:val="28"/>
          <w:szCs w:val="28"/>
        </w:rPr>
        <w:t>»</w:t>
      </w:r>
      <w:r w:rsidRPr="00A51A4D">
        <w:rPr>
          <w:rFonts w:ascii="Times New Roman" w:hAnsi="Times New Roman" w:cs="Times New Roman"/>
          <w:sz w:val="28"/>
          <w:szCs w:val="28"/>
        </w:rPr>
        <w:t>, будут приниматься новые, с новыми целями и ориентирами.</w:t>
      </w:r>
    </w:p>
    <w:p w14:paraId="3DDF4C85" w14:textId="6F8D0C8F" w:rsidR="00A47DF4" w:rsidRPr="00A51A4D" w:rsidRDefault="00A47DF4" w:rsidP="00A47DF4">
      <w:pPr>
        <w:autoSpaceDE w:val="0"/>
        <w:autoSpaceDN w:val="0"/>
        <w:adjustRightInd w:val="0"/>
        <w:spacing w:after="0" w:line="240" w:lineRule="auto"/>
        <w:ind w:firstLine="709"/>
        <w:jc w:val="both"/>
        <w:rPr>
          <w:rFonts w:ascii="Times New Roman" w:eastAsia="Times New Roman" w:hAnsi="Times New Roman"/>
          <w:sz w:val="28"/>
          <w:szCs w:val="28"/>
        </w:rPr>
      </w:pPr>
      <w:r w:rsidRPr="00A51A4D">
        <w:rPr>
          <w:rFonts w:ascii="Times New Roman" w:eastAsia="Times New Roman" w:hAnsi="Times New Roman"/>
          <w:sz w:val="28"/>
          <w:szCs w:val="28"/>
        </w:rPr>
        <w:t>Предполагается, что федеральные министерства и ведомства, ответственные за реализацию государственной политики в отраслях (сферах) экономики, с определенной периодичностью, на основе анализа реализованной на региональном и муниципальном уровне деятельности по содействию развитию конкуренции, будут формировать и обновлять федеральный План развития конкуренции</w:t>
      </w:r>
      <w:r w:rsidRPr="00A51A4D">
        <w:t xml:space="preserve"> </w:t>
      </w:r>
      <w:r w:rsidRPr="00A51A4D">
        <w:rPr>
          <w:rFonts w:ascii="Times New Roman" w:eastAsia="Times New Roman" w:hAnsi="Times New Roman"/>
          <w:sz w:val="28"/>
          <w:szCs w:val="28"/>
        </w:rPr>
        <w:t>(«дорожную карту») в отраслях (сферах) экономики, одновременно задавая темп и цели развития для всей страны, с соответствующей актуализацией Стандарта развития конкуренции в субъектах Российской Федерации для деятельности по содействию развитию конкуренции на региональном и муниципальном уровн</w:t>
      </w:r>
      <w:r w:rsidR="00A11353">
        <w:rPr>
          <w:rFonts w:ascii="Times New Roman" w:eastAsia="Times New Roman" w:hAnsi="Times New Roman"/>
          <w:sz w:val="28"/>
          <w:szCs w:val="28"/>
        </w:rPr>
        <w:t>ях</w:t>
      </w:r>
      <w:r w:rsidRPr="00A51A4D">
        <w:rPr>
          <w:rFonts w:ascii="Times New Roman" w:eastAsia="Times New Roman" w:hAnsi="Times New Roman"/>
          <w:sz w:val="28"/>
          <w:szCs w:val="28"/>
        </w:rPr>
        <w:t>.</w:t>
      </w:r>
    </w:p>
    <w:p w14:paraId="3B3AAD31" w14:textId="3C35C681" w:rsidR="0030183C" w:rsidRPr="0030183C" w:rsidRDefault="0030183C" w:rsidP="0030183C">
      <w:pPr>
        <w:autoSpaceDE w:val="0"/>
        <w:autoSpaceDN w:val="0"/>
        <w:adjustRightInd w:val="0"/>
        <w:spacing w:after="0" w:line="240" w:lineRule="auto"/>
        <w:ind w:firstLine="709"/>
        <w:jc w:val="both"/>
        <w:rPr>
          <w:rFonts w:ascii="Times New Roman" w:eastAsia="Times New Roman" w:hAnsi="Times New Roman"/>
          <w:sz w:val="28"/>
          <w:szCs w:val="28"/>
        </w:rPr>
      </w:pPr>
      <w:r w:rsidRPr="0030183C">
        <w:rPr>
          <w:rFonts w:ascii="Times New Roman" w:eastAsia="Times New Roman" w:hAnsi="Times New Roman"/>
          <w:sz w:val="28"/>
          <w:szCs w:val="28"/>
        </w:rPr>
        <w:t>В качестве приоритетных отраслей для развития конкуренции отмечены: здравоохранение, агропромышленный комплекс, финансовые рынки, дорожное хозяйство, рынок социальных услуг, рынок и</w:t>
      </w:r>
      <w:r w:rsidR="00A11353">
        <w:rPr>
          <w:rFonts w:ascii="Times New Roman" w:eastAsia="Times New Roman" w:hAnsi="Times New Roman"/>
          <w:sz w:val="28"/>
          <w:szCs w:val="28"/>
        </w:rPr>
        <w:t>нформационных технологий, теле-</w:t>
      </w:r>
      <w:r w:rsidRPr="0030183C">
        <w:rPr>
          <w:rFonts w:ascii="Times New Roman" w:eastAsia="Times New Roman" w:hAnsi="Times New Roman"/>
          <w:sz w:val="28"/>
          <w:szCs w:val="28"/>
        </w:rPr>
        <w:t>коммуникации, ЖКХ, нефть и нефтепродукты, промышленность, газоснабжение, транспортные услуги.</w:t>
      </w:r>
    </w:p>
    <w:p w14:paraId="55131461" w14:textId="77777777" w:rsidR="0030183C" w:rsidRPr="0030183C" w:rsidRDefault="0030183C" w:rsidP="0030183C">
      <w:pPr>
        <w:autoSpaceDE w:val="0"/>
        <w:autoSpaceDN w:val="0"/>
        <w:adjustRightInd w:val="0"/>
        <w:spacing w:after="0" w:line="240" w:lineRule="auto"/>
        <w:ind w:firstLine="709"/>
        <w:jc w:val="both"/>
        <w:rPr>
          <w:rFonts w:ascii="Times New Roman" w:eastAsia="Times New Roman" w:hAnsi="Times New Roman"/>
          <w:sz w:val="28"/>
          <w:szCs w:val="28"/>
        </w:rPr>
      </w:pPr>
      <w:r w:rsidRPr="0030183C">
        <w:rPr>
          <w:rFonts w:ascii="Times New Roman" w:eastAsia="Times New Roman" w:hAnsi="Times New Roman"/>
          <w:sz w:val="28"/>
          <w:szCs w:val="28"/>
        </w:rPr>
        <w:t>В сфере здравоохранения необходимо обеспечить взаимозаменяемость лекарственных препаратов и медицинских изделий, снизить цены на лекарственные препараты и медицинские изделия, повысить их доступность для граждан.</w:t>
      </w:r>
    </w:p>
    <w:p w14:paraId="5801B670" w14:textId="77777777" w:rsidR="0030183C" w:rsidRPr="0030183C" w:rsidRDefault="0030183C" w:rsidP="0030183C">
      <w:pPr>
        <w:autoSpaceDE w:val="0"/>
        <w:autoSpaceDN w:val="0"/>
        <w:adjustRightInd w:val="0"/>
        <w:spacing w:after="0" w:line="240" w:lineRule="auto"/>
        <w:ind w:firstLine="709"/>
        <w:jc w:val="both"/>
        <w:rPr>
          <w:rFonts w:ascii="Times New Roman" w:eastAsia="Times New Roman" w:hAnsi="Times New Roman"/>
          <w:sz w:val="28"/>
          <w:szCs w:val="28"/>
        </w:rPr>
      </w:pPr>
      <w:r w:rsidRPr="0030183C">
        <w:rPr>
          <w:rFonts w:ascii="Times New Roman" w:eastAsia="Times New Roman" w:hAnsi="Times New Roman"/>
          <w:sz w:val="28"/>
          <w:szCs w:val="28"/>
        </w:rPr>
        <w:t>На рынке социальных услуг — обеспечить возможность участия в оказании социальных услуг негосударственным организациям на недискриминационной основе.</w:t>
      </w:r>
    </w:p>
    <w:p w14:paraId="54C0C16D" w14:textId="77777777" w:rsidR="0030183C" w:rsidRPr="0030183C" w:rsidRDefault="0030183C" w:rsidP="0030183C">
      <w:pPr>
        <w:autoSpaceDE w:val="0"/>
        <w:autoSpaceDN w:val="0"/>
        <w:adjustRightInd w:val="0"/>
        <w:spacing w:after="0" w:line="240" w:lineRule="auto"/>
        <w:ind w:firstLine="709"/>
        <w:jc w:val="both"/>
        <w:rPr>
          <w:rFonts w:ascii="Times New Roman" w:eastAsia="Times New Roman" w:hAnsi="Times New Roman"/>
          <w:sz w:val="28"/>
          <w:szCs w:val="28"/>
        </w:rPr>
      </w:pPr>
      <w:r w:rsidRPr="0030183C">
        <w:rPr>
          <w:rFonts w:ascii="Times New Roman" w:eastAsia="Times New Roman" w:hAnsi="Times New Roman"/>
          <w:sz w:val="28"/>
          <w:szCs w:val="28"/>
        </w:rPr>
        <w:t>В агропромышленном комплексе —  снизить  зависимость  внутреннего  рынка от иностранного селекционного и генетического материалов и связанных с ними агротехнологических решений.</w:t>
      </w:r>
    </w:p>
    <w:p w14:paraId="01C94B2B" w14:textId="77777777" w:rsidR="0030183C" w:rsidRPr="0030183C" w:rsidRDefault="0030183C" w:rsidP="0030183C">
      <w:pPr>
        <w:autoSpaceDE w:val="0"/>
        <w:autoSpaceDN w:val="0"/>
        <w:adjustRightInd w:val="0"/>
        <w:spacing w:after="0" w:line="240" w:lineRule="auto"/>
        <w:ind w:firstLine="709"/>
        <w:jc w:val="both"/>
        <w:rPr>
          <w:rFonts w:ascii="Times New Roman" w:eastAsia="Times New Roman" w:hAnsi="Times New Roman"/>
          <w:sz w:val="28"/>
          <w:szCs w:val="28"/>
        </w:rPr>
      </w:pPr>
      <w:r w:rsidRPr="0030183C">
        <w:rPr>
          <w:rFonts w:ascii="Times New Roman" w:eastAsia="Times New Roman" w:hAnsi="Times New Roman"/>
          <w:sz w:val="28"/>
          <w:szCs w:val="28"/>
        </w:rPr>
        <w:t>В дорожном строительстве необходимо провести  мероприятия,  направленные на декартелизацию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2255588F" w14:textId="77777777" w:rsidR="0030183C" w:rsidRPr="0030183C" w:rsidRDefault="0030183C" w:rsidP="0030183C">
      <w:pPr>
        <w:autoSpaceDE w:val="0"/>
        <w:autoSpaceDN w:val="0"/>
        <w:adjustRightInd w:val="0"/>
        <w:spacing w:after="0" w:line="240" w:lineRule="auto"/>
        <w:ind w:firstLine="709"/>
        <w:jc w:val="both"/>
        <w:rPr>
          <w:rFonts w:ascii="Times New Roman" w:eastAsia="Times New Roman" w:hAnsi="Times New Roman"/>
          <w:sz w:val="28"/>
          <w:szCs w:val="28"/>
        </w:rPr>
      </w:pPr>
      <w:r w:rsidRPr="0030183C">
        <w:rPr>
          <w:rFonts w:ascii="Times New Roman" w:eastAsia="Times New Roman" w:hAnsi="Times New Roman"/>
          <w:sz w:val="28"/>
          <w:szCs w:val="28"/>
        </w:rPr>
        <w:t>В сфере телекоммуникаций обеспечить технологическую нейтральность, ликвидировать роуминг.</w:t>
      </w:r>
    </w:p>
    <w:p w14:paraId="3F3338AC" w14:textId="77777777" w:rsidR="0030183C" w:rsidRPr="0030183C" w:rsidRDefault="0030183C" w:rsidP="0030183C">
      <w:pPr>
        <w:autoSpaceDE w:val="0"/>
        <w:autoSpaceDN w:val="0"/>
        <w:adjustRightInd w:val="0"/>
        <w:spacing w:after="0" w:line="240" w:lineRule="auto"/>
        <w:ind w:firstLine="709"/>
        <w:jc w:val="both"/>
        <w:rPr>
          <w:rFonts w:ascii="Times New Roman" w:eastAsia="Times New Roman" w:hAnsi="Times New Roman"/>
          <w:sz w:val="28"/>
          <w:szCs w:val="28"/>
        </w:rPr>
      </w:pPr>
      <w:r w:rsidRPr="0030183C">
        <w:rPr>
          <w:rFonts w:ascii="Times New Roman" w:eastAsia="Times New Roman" w:hAnsi="Times New Roman"/>
          <w:sz w:val="28"/>
          <w:szCs w:val="28"/>
        </w:rPr>
        <w:t>В сфере информационных технологий повысить долю российских программных продуктов.</w:t>
      </w:r>
    </w:p>
    <w:p w14:paraId="2B11FD58" w14:textId="77777777" w:rsidR="0030183C" w:rsidRPr="0030183C" w:rsidRDefault="0030183C" w:rsidP="0030183C">
      <w:pPr>
        <w:autoSpaceDE w:val="0"/>
        <w:autoSpaceDN w:val="0"/>
        <w:adjustRightInd w:val="0"/>
        <w:spacing w:after="0" w:line="240" w:lineRule="auto"/>
        <w:ind w:firstLine="709"/>
        <w:jc w:val="both"/>
        <w:rPr>
          <w:rFonts w:ascii="Times New Roman" w:eastAsia="Times New Roman" w:hAnsi="Times New Roman"/>
          <w:sz w:val="28"/>
          <w:szCs w:val="28"/>
        </w:rPr>
      </w:pPr>
      <w:r w:rsidRPr="0030183C">
        <w:rPr>
          <w:rFonts w:ascii="Times New Roman" w:eastAsia="Times New Roman" w:hAnsi="Times New Roman"/>
          <w:sz w:val="28"/>
          <w:szCs w:val="28"/>
        </w:rPr>
        <w:t>Сократить долю полезного отпуска ресурсов, реализуемых ГУПами и МУПами в сфере ЖКХ (теплоснабжение, водоснабжение, водоотведение).</w:t>
      </w:r>
    </w:p>
    <w:p w14:paraId="6C30F128" w14:textId="77777777" w:rsidR="0030183C" w:rsidRPr="0030183C" w:rsidRDefault="0030183C" w:rsidP="0030183C">
      <w:pPr>
        <w:autoSpaceDE w:val="0"/>
        <w:autoSpaceDN w:val="0"/>
        <w:adjustRightInd w:val="0"/>
        <w:spacing w:after="0" w:line="240" w:lineRule="auto"/>
        <w:ind w:firstLine="709"/>
        <w:jc w:val="both"/>
        <w:rPr>
          <w:rFonts w:ascii="Times New Roman" w:eastAsia="Times New Roman" w:hAnsi="Times New Roman"/>
          <w:sz w:val="28"/>
          <w:szCs w:val="28"/>
        </w:rPr>
      </w:pPr>
      <w:r w:rsidRPr="0030183C">
        <w:rPr>
          <w:rFonts w:ascii="Times New Roman" w:eastAsia="Times New Roman" w:hAnsi="Times New Roman"/>
          <w:sz w:val="28"/>
          <w:szCs w:val="28"/>
        </w:rPr>
        <w:t>Перейти к рыночному ценообразованию путем формирования биржевых и внебиржевых индикаторов цен на природный газ (газоснабжение, нефть и нефтепродукты).</w:t>
      </w:r>
    </w:p>
    <w:p w14:paraId="2CA083B8" w14:textId="77777777" w:rsidR="0030183C" w:rsidRPr="0030183C" w:rsidRDefault="0030183C" w:rsidP="0030183C">
      <w:pPr>
        <w:autoSpaceDE w:val="0"/>
        <w:autoSpaceDN w:val="0"/>
        <w:adjustRightInd w:val="0"/>
        <w:spacing w:after="0" w:line="240" w:lineRule="auto"/>
        <w:ind w:firstLine="709"/>
        <w:jc w:val="both"/>
        <w:rPr>
          <w:rFonts w:ascii="Times New Roman" w:eastAsia="Times New Roman" w:hAnsi="Times New Roman"/>
          <w:sz w:val="28"/>
          <w:szCs w:val="28"/>
        </w:rPr>
      </w:pPr>
      <w:r w:rsidRPr="0030183C">
        <w:rPr>
          <w:rFonts w:ascii="Times New Roman" w:eastAsia="Times New Roman" w:hAnsi="Times New Roman"/>
          <w:sz w:val="28"/>
          <w:szCs w:val="28"/>
        </w:rPr>
        <w:t>Развивать добросовестную конкуренцию на рынках грузовых, межрегиональных и муниципальных перевозок различными видами транспорта и связанных с ними услуг.</w:t>
      </w:r>
    </w:p>
    <w:p w14:paraId="24E9EACF" w14:textId="77777777" w:rsidR="0030183C" w:rsidRPr="0030183C" w:rsidRDefault="0030183C" w:rsidP="0030183C">
      <w:pPr>
        <w:autoSpaceDE w:val="0"/>
        <w:autoSpaceDN w:val="0"/>
        <w:adjustRightInd w:val="0"/>
        <w:spacing w:after="0" w:line="240" w:lineRule="auto"/>
        <w:ind w:firstLine="709"/>
        <w:jc w:val="both"/>
        <w:rPr>
          <w:rFonts w:ascii="Times New Roman" w:eastAsia="Times New Roman" w:hAnsi="Times New Roman"/>
          <w:sz w:val="28"/>
          <w:szCs w:val="28"/>
        </w:rPr>
      </w:pPr>
      <w:r w:rsidRPr="0030183C">
        <w:rPr>
          <w:rFonts w:ascii="Times New Roman" w:eastAsia="Times New Roman" w:hAnsi="Times New Roman"/>
          <w:sz w:val="28"/>
          <w:szCs w:val="28"/>
        </w:rPr>
        <w:t>Создать условия для производства российских товаров, способных эффективно конкурировать с зарубежными аналогами на внутреннем и внешнем рынках.</w:t>
      </w:r>
    </w:p>
    <w:p w14:paraId="3CE1CD2F" w14:textId="77777777" w:rsidR="0030183C" w:rsidRPr="00A51A4D" w:rsidRDefault="0030183C" w:rsidP="0030183C">
      <w:pPr>
        <w:autoSpaceDE w:val="0"/>
        <w:autoSpaceDN w:val="0"/>
        <w:adjustRightInd w:val="0"/>
        <w:spacing w:after="0" w:line="240" w:lineRule="auto"/>
        <w:ind w:firstLine="709"/>
        <w:jc w:val="both"/>
        <w:rPr>
          <w:rFonts w:ascii="Times New Roman" w:eastAsia="Times New Roman" w:hAnsi="Times New Roman"/>
          <w:sz w:val="28"/>
          <w:szCs w:val="28"/>
        </w:rPr>
      </w:pPr>
      <w:r w:rsidRPr="0030183C">
        <w:rPr>
          <w:rFonts w:ascii="Times New Roman" w:eastAsia="Times New Roman" w:hAnsi="Times New Roman"/>
          <w:sz w:val="28"/>
          <w:szCs w:val="28"/>
        </w:rPr>
        <w:t>В целях развития и защиты конкуренции необходимо обеспечить синергию законодательной, исполнительной и судебной власти, федеральных, региональных и муниципальных властей, институтов гражданского общества.</w:t>
      </w:r>
    </w:p>
    <w:p w14:paraId="3A875399" w14:textId="36B065F7" w:rsidR="00A47DF4"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Указанные стратегические </w:t>
      </w:r>
      <w:r w:rsidR="00E16445">
        <w:rPr>
          <w:rFonts w:ascii="Times New Roman" w:hAnsi="Times New Roman" w:cs="Times New Roman"/>
          <w:sz w:val="28"/>
          <w:szCs w:val="28"/>
        </w:rPr>
        <w:t>нормативные правовые акты</w:t>
      </w:r>
      <w:r w:rsidRPr="00A51A4D">
        <w:rPr>
          <w:rFonts w:ascii="Times New Roman" w:hAnsi="Times New Roman" w:cs="Times New Roman"/>
          <w:sz w:val="28"/>
          <w:szCs w:val="28"/>
        </w:rPr>
        <w:t xml:space="preserve"> можно считать прежде всего административными актами, а точнее, управленческими. Они в совокупности задают общий вектор развития антимонопольного регулирования и практики. В то же время, будучи программными по своему характеру, эти документы определяют конкретные показатели, которых государство совместными усилиями гос</w:t>
      </w:r>
      <w:r w:rsidR="00515889">
        <w:rPr>
          <w:rFonts w:ascii="Times New Roman" w:hAnsi="Times New Roman" w:cs="Times New Roman"/>
          <w:sz w:val="28"/>
          <w:szCs w:val="28"/>
        </w:rPr>
        <w:t xml:space="preserve">ударственных </w:t>
      </w:r>
      <w:r w:rsidRPr="00A51A4D">
        <w:rPr>
          <w:rFonts w:ascii="Times New Roman" w:hAnsi="Times New Roman" w:cs="Times New Roman"/>
          <w:sz w:val="28"/>
          <w:szCs w:val="28"/>
        </w:rPr>
        <w:t xml:space="preserve">органов общей компетенции и отраслевых ведомств должно достичь за конкретный временной период, а также обязанности таких органов. </w:t>
      </w:r>
    </w:p>
    <w:p w14:paraId="78B29879" w14:textId="733E5A21"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 xml:space="preserve">Отдельно необходимо отметить блок поручений Национального плана по развитию конкуренции, связанных с законопроектной деятельностью, направленных на достижения поставленных целей и решения задач. </w:t>
      </w:r>
      <w:r w:rsidR="00515889" w:rsidRPr="0030183C">
        <w:rPr>
          <w:rFonts w:ascii="Times New Roman" w:hAnsi="Times New Roman" w:cs="Times New Roman"/>
          <w:sz w:val="28"/>
          <w:szCs w:val="28"/>
        </w:rPr>
        <w:t>В частности,</w:t>
      </w:r>
      <w:r w:rsidRPr="0030183C">
        <w:rPr>
          <w:rFonts w:ascii="Times New Roman" w:hAnsi="Times New Roman" w:cs="Times New Roman"/>
          <w:sz w:val="28"/>
          <w:szCs w:val="28"/>
        </w:rPr>
        <w:t xml:space="preserve"> необходимо:</w:t>
      </w:r>
    </w:p>
    <w:p w14:paraId="7690452D" w14:textId="77777777"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 принять Федеральный закон о государственном регулировании цен (тарифов);</w:t>
      </w:r>
    </w:p>
    <w:p w14:paraId="17BACCDB" w14:textId="77777777"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 реформировать естественные монополии;</w:t>
      </w:r>
    </w:p>
    <w:p w14:paraId="7451AA9F" w14:textId="77777777"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 ввести принудительный патент в целях охраны жизни и здоровья граждан;</w:t>
      </w:r>
    </w:p>
    <w:p w14:paraId="7C0B9762" w14:textId="77777777"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 законодательно закрепить антимонопольный комплаенс;</w:t>
      </w:r>
    </w:p>
    <w:p w14:paraId="63BB9418" w14:textId="77777777" w:rsid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 ограничить создание унитарных предприятий на конкурентных рынках.</w:t>
      </w:r>
    </w:p>
    <w:p w14:paraId="0E224E72" w14:textId="668E886A" w:rsidR="00A47DF4" w:rsidRPr="00A51A4D" w:rsidRDefault="00A47DF4" w:rsidP="00A47DF4">
      <w:pPr>
        <w:spacing w:after="0" w:line="240" w:lineRule="auto"/>
        <w:ind w:firstLine="709"/>
        <w:jc w:val="both"/>
        <w:rPr>
          <w:rFonts w:ascii="Times New Roman" w:hAnsi="Times New Roman" w:cs="Times New Roman"/>
          <w:sz w:val="28"/>
          <w:szCs w:val="28"/>
        </w:rPr>
      </w:pPr>
      <w:r w:rsidRPr="00A36C91">
        <w:rPr>
          <w:rFonts w:ascii="Times New Roman" w:hAnsi="Times New Roman" w:cs="Times New Roman"/>
          <w:sz w:val="28"/>
          <w:szCs w:val="28"/>
        </w:rPr>
        <w:t>В соответствии с подпунктом «а» пункта 4 Национального плана ФАС России разработан проект федерального закона, предусматривающий ограничение создания унитарных предприятий на конкурентных рынках</w:t>
      </w:r>
      <w:r>
        <w:rPr>
          <w:rFonts w:ascii="Times New Roman" w:hAnsi="Times New Roman" w:cs="Times New Roman"/>
          <w:sz w:val="28"/>
          <w:szCs w:val="28"/>
        </w:rPr>
        <w:t>.</w:t>
      </w:r>
    </w:p>
    <w:p w14:paraId="55283392" w14:textId="77777777" w:rsidR="00A47DF4" w:rsidRPr="00057747" w:rsidRDefault="00A47DF4" w:rsidP="00A47D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057747">
        <w:rPr>
          <w:rFonts w:ascii="Times New Roman" w:hAnsi="Times New Roman" w:cs="Times New Roman"/>
          <w:sz w:val="28"/>
          <w:szCs w:val="28"/>
        </w:rPr>
        <w:t xml:space="preserve">есмотря на более чем двадцатилетнюю историю реформирования, все попытки повысить эффективность деятельности унитарных предприятий и снижения их негативного влияния на развитие российской экономики не дали должного результата. </w:t>
      </w:r>
    </w:p>
    <w:p w14:paraId="024F3ECF" w14:textId="77777777" w:rsidR="00A47DF4" w:rsidRPr="00057747" w:rsidRDefault="00A47DF4" w:rsidP="00A47DF4">
      <w:pPr>
        <w:spacing w:after="0" w:line="240" w:lineRule="auto"/>
        <w:ind w:firstLine="709"/>
        <w:jc w:val="both"/>
        <w:rPr>
          <w:rFonts w:ascii="Times New Roman" w:hAnsi="Times New Roman" w:cs="Times New Roman"/>
          <w:sz w:val="28"/>
          <w:szCs w:val="28"/>
        </w:rPr>
      </w:pPr>
      <w:r w:rsidRPr="00057747">
        <w:rPr>
          <w:rFonts w:ascii="Times New Roman" w:hAnsi="Times New Roman" w:cs="Times New Roman"/>
          <w:sz w:val="28"/>
          <w:szCs w:val="28"/>
        </w:rPr>
        <w:t>Статистика показывает, что только в 2017 году было создано 555 унитарных предприятий. Количество унитарных предприятий в Российской Федерации по данным ИФНС на 01.01.2018 составило 18 426 предприятий. Из них на федеральном уровне создано 1 145 предприятий (6% от общего количества унитарных предприятий), на уровне субъектов федерации – 2 223 (12%), на муниципальном уровне – 15 058 (82%).</w:t>
      </w:r>
    </w:p>
    <w:p w14:paraId="35294BB7" w14:textId="77777777" w:rsidR="00A47DF4" w:rsidRPr="00057747" w:rsidRDefault="00A47DF4" w:rsidP="00A47DF4">
      <w:pPr>
        <w:spacing w:after="0" w:line="240" w:lineRule="auto"/>
        <w:ind w:firstLine="709"/>
        <w:jc w:val="both"/>
        <w:rPr>
          <w:rFonts w:ascii="Times New Roman" w:hAnsi="Times New Roman" w:cs="Times New Roman"/>
          <w:sz w:val="28"/>
          <w:szCs w:val="28"/>
        </w:rPr>
      </w:pPr>
      <w:r w:rsidRPr="00057747">
        <w:rPr>
          <w:rFonts w:ascii="Times New Roman" w:hAnsi="Times New Roman" w:cs="Times New Roman"/>
          <w:sz w:val="28"/>
          <w:szCs w:val="28"/>
        </w:rPr>
        <w:t>Согласно отчету Федерального агентства по управлению государственным имуществом «О выполнении прогнозного плана (программы) приватизации федерального имущества 2014-2016 годов» в большинстве случаев прослеживается, что такие предприятия не осуществляют какой-либо профильной деятельности, кроме сдачи со</w:t>
      </w:r>
      <w:r>
        <w:rPr>
          <w:rFonts w:ascii="Times New Roman" w:hAnsi="Times New Roman" w:cs="Times New Roman"/>
          <w:sz w:val="28"/>
          <w:szCs w:val="28"/>
        </w:rPr>
        <w:t>ответствующих объектов в аренду</w:t>
      </w:r>
      <w:r w:rsidRPr="00057747">
        <w:rPr>
          <w:rFonts w:ascii="Times New Roman" w:hAnsi="Times New Roman" w:cs="Times New Roman"/>
          <w:sz w:val="28"/>
          <w:szCs w:val="28"/>
        </w:rPr>
        <w:t>.</w:t>
      </w:r>
    </w:p>
    <w:p w14:paraId="0C4A6E06" w14:textId="720E8317" w:rsidR="00A47DF4" w:rsidRPr="00F1659C" w:rsidRDefault="00A47DF4" w:rsidP="00940BA6">
      <w:pPr>
        <w:spacing w:after="0" w:line="240" w:lineRule="auto"/>
        <w:ind w:firstLine="709"/>
        <w:jc w:val="both"/>
        <w:rPr>
          <w:rFonts w:ascii="Times New Roman" w:hAnsi="Times New Roman" w:cs="Times New Roman"/>
          <w:sz w:val="28"/>
          <w:szCs w:val="28"/>
        </w:rPr>
      </w:pPr>
      <w:r w:rsidRPr="00057747">
        <w:rPr>
          <w:rFonts w:ascii="Times New Roman" w:hAnsi="Times New Roman" w:cs="Times New Roman"/>
          <w:sz w:val="28"/>
          <w:szCs w:val="28"/>
        </w:rPr>
        <w:t xml:space="preserve">Пункт 4 статьи </w:t>
      </w:r>
      <w:r w:rsidR="000933C3">
        <w:rPr>
          <w:rFonts w:ascii="Times New Roman" w:hAnsi="Times New Roman" w:cs="Times New Roman"/>
          <w:sz w:val="28"/>
          <w:szCs w:val="28"/>
        </w:rPr>
        <w:t xml:space="preserve">8 </w:t>
      </w:r>
      <w:r w:rsidR="00940BA6">
        <w:rPr>
          <w:rFonts w:ascii="Times New Roman" w:hAnsi="Times New Roman" w:cs="Times New Roman"/>
          <w:sz w:val="28"/>
          <w:szCs w:val="28"/>
        </w:rPr>
        <w:t>Федерального</w:t>
      </w:r>
      <w:r w:rsidR="00940BA6" w:rsidRPr="00940BA6">
        <w:rPr>
          <w:rFonts w:ascii="Times New Roman" w:hAnsi="Times New Roman" w:cs="Times New Roman"/>
          <w:sz w:val="28"/>
          <w:szCs w:val="28"/>
        </w:rPr>
        <w:t xml:space="preserve"> закон</w:t>
      </w:r>
      <w:r w:rsidR="00940BA6">
        <w:rPr>
          <w:rFonts w:ascii="Times New Roman" w:hAnsi="Times New Roman" w:cs="Times New Roman"/>
          <w:sz w:val="28"/>
          <w:szCs w:val="28"/>
        </w:rPr>
        <w:t>а</w:t>
      </w:r>
      <w:r w:rsidR="00940BA6" w:rsidRPr="00940BA6">
        <w:rPr>
          <w:rFonts w:ascii="Times New Roman" w:hAnsi="Times New Roman" w:cs="Times New Roman"/>
          <w:sz w:val="28"/>
          <w:szCs w:val="28"/>
        </w:rPr>
        <w:t xml:space="preserve"> от 14.11.2002 </w:t>
      </w:r>
      <w:r w:rsidR="00940BA6">
        <w:rPr>
          <w:rFonts w:ascii="Times New Roman" w:hAnsi="Times New Roman" w:cs="Times New Roman"/>
          <w:sz w:val="28"/>
          <w:szCs w:val="28"/>
        </w:rPr>
        <w:t>№ 161-ФЗ                               «</w:t>
      </w:r>
      <w:r w:rsidR="00940BA6" w:rsidRPr="00940BA6">
        <w:rPr>
          <w:rFonts w:ascii="Times New Roman" w:hAnsi="Times New Roman" w:cs="Times New Roman"/>
          <w:sz w:val="28"/>
          <w:szCs w:val="28"/>
        </w:rPr>
        <w:t>О государственных и муниципальных унитарных предприятиях</w:t>
      </w:r>
      <w:r w:rsidR="00940BA6">
        <w:rPr>
          <w:rFonts w:ascii="Times New Roman" w:hAnsi="Times New Roman" w:cs="Times New Roman"/>
          <w:sz w:val="28"/>
          <w:szCs w:val="28"/>
        </w:rPr>
        <w:t>»</w:t>
      </w:r>
      <w:r w:rsidRPr="00057747">
        <w:rPr>
          <w:rFonts w:ascii="Times New Roman" w:hAnsi="Times New Roman" w:cs="Times New Roman"/>
          <w:sz w:val="28"/>
          <w:szCs w:val="28"/>
        </w:rPr>
        <w:t xml:space="preserve"> определяет случаи создания государственного</w:t>
      </w:r>
      <w:r>
        <w:rPr>
          <w:rFonts w:ascii="Times New Roman" w:hAnsi="Times New Roman" w:cs="Times New Roman"/>
          <w:sz w:val="28"/>
          <w:szCs w:val="28"/>
        </w:rPr>
        <w:t xml:space="preserve"> или муниципального предприятия</w:t>
      </w:r>
      <w:r w:rsidRPr="00057747">
        <w:rPr>
          <w:rFonts w:ascii="Times New Roman" w:hAnsi="Times New Roman" w:cs="Times New Roman"/>
          <w:sz w:val="28"/>
          <w:szCs w:val="28"/>
        </w:rPr>
        <w:t>. Однако механизмы, обеспечивающие контроль за соответствием деятельности унитарных предприятий указанным в законе целях их создания, законодательно не определены. В результате большинство унитарных предприятий присутству</w:t>
      </w:r>
      <w:r w:rsidR="000933C3">
        <w:rPr>
          <w:rFonts w:ascii="Times New Roman" w:hAnsi="Times New Roman" w:cs="Times New Roman"/>
          <w:sz w:val="28"/>
          <w:szCs w:val="28"/>
        </w:rPr>
        <w:t>ю</w:t>
      </w:r>
      <w:r w:rsidRPr="00057747">
        <w:rPr>
          <w:rFonts w:ascii="Times New Roman" w:hAnsi="Times New Roman" w:cs="Times New Roman"/>
          <w:sz w:val="28"/>
          <w:szCs w:val="28"/>
        </w:rPr>
        <w:t>т на конкурентных рынках.</w:t>
      </w:r>
      <w:r w:rsidRPr="00F1659C">
        <w:t xml:space="preserve"> </w:t>
      </w:r>
    </w:p>
    <w:p w14:paraId="1E6B8BB0" w14:textId="1BF07366" w:rsidR="00A47DF4" w:rsidRPr="00F1659C" w:rsidRDefault="00A47DF4" w:rsidP="00A47DF4">
      <w:pPr>
        <w:spacing w:after="0" w:line="240" w:lineRule="auto"/>
        <w:ind w:firstLine="709"/>
        <w:jc w:val="both"/>
        <w:rPr>
          <w:rFonts w:ascii="Times New Roman" w:hAnsi="Times New Roman" w:cs="Times New Roman"/>
          <w:sz w:val="28"/>
          <w:szCs w:val="28"/>
        </w:rPr>
      </w:pPr>
      <w:r w:rsidRPr="00F1659C">
        <w:rPr>
          <w:rFonts w:ascii="Times New Roman" w:hAnsi="Times New Roman" w:cs="Times New Roman"/>
          <w:sz w:val="28"/>
          <w:szCs w:val="28"/>
        </w:rPr>
        <w:t xml:space="preserve">Преобразование унитарных предприятий в иные организационно-правовые формы – акционерное общество или общество с ограниченной ответственностью позволит обеспечить учет как самого государственного и муниципального имущества, так и доходов от его аренды, что приведет к увеличению доходной части бюджета. </w:t>
      </w:r>
    </w:p>
    <w:p w14:paraId="1EDA988F" w14:textId="5A9F10A7" w:rsidR="00A47DF4" w:rsidRPr="00A51A4D" w:rsidRDefault="00A47DF4" w:rsidP="00A47D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F1659C">
        <w:rPr>
          <w:rFonts w:ascii="Times New Roman" w:hAnsi="Times New Roman" w:cs="Times New Roman"/>
          <w:sz w:val="28"/>
          <w:szCs w:val="28"/>
        </w:rPr>
        <w:t xml:space="preserve">ероприятия по вовлечению унитарных предприятий и их имущества в рыночные отношения, </w:t>
      </w:r>
      <w:r>
        <w:rPr>
          <w:rFonts w:ascii="Times New Roman" w:hAnsi="Times New Roman" w:cs="Times New Roman"/>
          <w:sz w:val="28"/>
          <w:szCs w:val="28"/>
        </w:rPr>
        <w:t xml:space="preserve">позволит, как </w:t>
      </w:r>
      <w:r w:rsidRPr="00F1659C">
        <w:rPr>
          <w:rFonts w:ascii="Times New Roman" w:hAnsi="Times New Roman" w:cs="Times New Roman"/>
          <w:sz w:val="28"/>
          <w:szCs w:val="28"/>
        </w:rPr>
        <w:t>существ</w:t>
      </w:r>
      <w:r>
        <w:rPr>
          <w:rFonts w:ascii="Times New Roman" w:hAnsi="Times New Roman" w:cs="Times New Roman"/>
          <w:sz w:val="28"/>
          <w:szCs w:val="28"/>
        </w:rPr>
        <w:t>енно</w:t>
      </w:r>
      <w:r w:rsidRPr="00F1659C">
        <w:rPr>
          <w:rFonts w:ascii="Times New Roman" w:hAnsi="Times New Roman" w:cs="Times New Roman"/>
          <w:sz w:val="28"/>
          <w:szCs w:val="28"/>
        </w:rPr>
        <w:t xml:space="preserve"> сни</w:t>
      </w:r>
      <w:r>
        <w:rPr>
          <w:rFonts w:ascii="Times New Roman" w:hAnsi="Times New Roman" w:cs="Times New Roman"/>
          <w:sz w:val="28"/>
          <w:szCs w:val="28"/>
        </w:rPr>
        <w:t xml:space="preserve">зить государственные расходы, так и получить </w:t>
      </w:r>
      <w:r w:rsidRPr="00F1659C">
        <w:rPr>
          <w:rFonts w:ascii="Times New Roman" w:hAnsi="Times New Roman" w:cs="Times New Roman"/>
          <w:sz w:val="28"/>
          <w:szCs w:val="28"/>
        </w:rPr>
        <w:t>дополнительные доходы государств</w:t>
      </w:r>
      <w:r w:rsidR="002A46F6">
        <w:rPr>
          <w:rFonts w:ascii="Times New Roman" w:hAnsi="Times New Roman" w:cs="Times New Roman"/>
          <w:sz w:val="28"/>
          <w:szCs w:val="28"/>
        </w:rPr>
        <w:t>у</w:t>
      </w:r>
      <w:r w:rsidRPr="00F1659C">
        <w:rPr>
          <w:rFonts w:ascii="Times New Roman" w:hAnsi="Times New Roman" w:cs="Times New Roman"/>
          <w:sz w:val="28"/>
          <w:szCs w:val="28"/>
        </w:rPr>
        <w:t>.</w:t>
      </w:r>
    </w:p>
    <w:p w14:paraId="431B7393" w14:textId="1C49DA42" w:rsidR="00A47DF4" w:rsidRPr="00A51A4D" w:rsidRDefault="00A47DF4" w:rsidP="00A47D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Другой законопроект, который разработан ФАС России</w:t>
      </w:r>
      <w:r w:rsidRPr="00A51A4D">
        <w:rPr>
          <w:rFonts w:ascii="Times New Roman" w:hAnsi="Times New Roman" w:cs="Times New Roman"/>
          <w:sz w:val="28"/>
          <w:szCs w:val="28"/>
        </w:rPr>
        <w:t xml:space="preserve"> по поручению Президента, посвящен цифровой экономике и антимонопольному регулированию на цифровых рынках. Это так называемый </w:t>
      </w:r>
      <w:r w:rsidR="00D82EC4">
        <w:rPr>
          <w:rFonts w:ascii="Times New Roman" w:hAnsi="Times New Roman" w:cs="Times New Roman"/>
          <w:sz w:val="28"/>
          <w:szCs w:val="28"/>
        </w:rPr>
        <w:t>«</w:t>
      </w:r>
      <w:r w:rsidRPr="00A51A4D">
        <w:rPr>
          <w:rFonts w:ascii="Times New Roman" w:hAnsi="Times New Roman" w:cs="Times New Roman"/>
          <w:sz w:val="28"/>
          <w:szCs w:val="28"/>
        </w:rPr>
        <w:t>пятый антимонопольный пакет</w:t>
      </w:r>
      <w:r w:rsidR="00D82EC4">
        <w:rPr>
          <w:rFonts w:ascii="Times New Roman" w:hAnsi="Times New Roman" w:cs="Times New Roman"/>
          <w:sz w:val="28"/>
          <w:szCs w:val="28"/>
        </w:rPr>
        <w:t>»</w:t>
      </w:r>
      <w:r w:rsidRPr="00A51A4D">
        <w:rPr>
          <w:rFonts w:ascii="Times New Roman" w:hAnsi="Times New Roman" w:cs="Times New Roman"/>
          <w:sz w:val="28"/>
          <w:szCs w:val="28"/>
        </w:rPr>
        <w:t xml:space="preserve"> законов.</w:t>
      </w:r>
    </w:p>
    <w:p w14:paraId="0F2DAF23" w14:textId="77777777" w:rsidR="00A47DF4" w:rsidRPr="00A51A4D"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Цифровая экономика и ее технологии во многом основаны на интеллектуальной собственности. Сегодня антимонопольным органам необходим эффективный инструмент регулирования, так как технологии и BigData, которые используются повсеместно, стали подчинять себе огромное количество рынков - и смежных, и традиционных. И если не предпри</w:t>
      </w:r>
      <w:r>
        <w:rPr>
          <w:rFonts w:ascii="Times New Roman" w:hAnsi="Times New Roman" w:cs="Times New Roman"/>
          <w:sz w:val="28"/>
          <w:szCs w:val="28"/>
        </w:rPr>
        <w:t xml:space="preserve">нять </w:t>
      </w:r>
      <w:r w:rsidRPr="00A51A4D">
        <w:rPr>
          <w:rFonts w:ascii="Times New Roman" w:hAnsi="Times New Roman" w:cs="Times New Roman"/>
          <w:sz w:val="28"/>
          <w:szCs w:val="28"/>
        </w:rPr>
        <w:t xml:space="preserve">адекватные законодательные меры реагирования, то </w:t>
      </w:r>
      <w:r>
        <w:rPr>
          <w:rFonts w:ascii="Times New Roman" w:hAnsi="Times New Roman" w:cs="Times New Roman"/>
          <w:sz w:val="28"/>
          <w:szCs w:val="28"/>
        </w:rPr>
        <w:t xml:space="preserve">завтра мы </w:t>
      </w:r>
      <w:r w:rsidRPr="00A51A4D">
        <w:rPr>
          <w:rFonts w:ascii="Times New Roman" w:hAnsi="Times New Roman" w:cs="Times New Roman"/>
          <w:sz w:val="28"/>
          <w:szCs w:val="28"/>
        </w:rPr>
        <w:t>не сможем отстаивать интересы ни социальной сферы, ни бизнеса.</w:t>
      </w:r>
    </w:p>
    <w:p w14:paraId="66A4984C" w14:textId="62BA9678" w:rsidR="00A47DF4" w:rsidRPr="00A51A4D"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Поэтому в законопроекте появились новые понятия: </w:t>
      </w:r>
      <w:r w:rsidR="006233E6">
        <w:rPr>
          <w:rFonts w:ascii="Times New Roman" w:hAnsi="Times New Roman" w:cs="Times New Roman"/>
          <w:sz w:val="28"/>
          <w:szCs w:val="28"/>
        </w:rPr>
        <w:t>«</w:t>
      </w:r>
      <w:r w:rsidRPr="00A51A4D">
        <w:rPr>
          <w:rFonts w:ascii="Times New Roman" w:hAnsi="Times New Roman" w:cs="Times New Roman"/>
          <w:sz w:val="28"/>
          <w:szCs w:val="28"/>
        </w:rPr>
        <w:t>сетевые эффекты</w:t>
      </w:r>
      <w:r w:rsidR="006233E6">
        <w:rPr>
          <w:rFonts w:ascii="Times New Roman" w:hAnsi="Times New Roman" w:cs="Times New Roman"/>
          <w:sz w:val="28"/>
          <w:szCs w:val="28"/>
        </w:rPr>
        <w:t>»</w:t>
      </w:r>
      <w:r w:rsidRPr="00A51A4D">
        <w:rPr>
          <w:rFonts w:ascii="Times New Roman" w:hAnsi="Times New Roman" w:cs="Times New Roman"/>
          <w:sz w:val="28"/>
          <w:szCs w:val="28"/>
        </w:rPr>
        <w:t xml:space="preserve">, при наличии которых хозяйствующий субъект может быть признан доминирующим, при доле на рынке более 35%; </w:t>
      </w:r>
      <w:r w:rsidR="006233E6">
        <w:rPr>
          <w:rFonts w:ascii="Times New Roman" w:hAnsi="Times New Roman" w:cs="Times New Roman"/>
          <w:sz w:val="28"/>
          <w:szCs w:val="28"/>
        </w:rPr>
        <w:t>«</w:t>
      </w:r>
      <w:r w:rsidRPr="00A51A4D">
        <w:rPr>
          <w:rFonts w:ascii="Times New Roman" w:hAnsi="Times New Roman" w:cs="Times New Roman"/>
          <w:sz w:val="28"/>
          <w:szCs w:val="28"/>
        </w:rPr>
        <w:t>ценовой алгоритм</w:t>
      </w:r>
      <w:r w:rsidR="006233E6">
        <w:rPr>
          <w:rFonts w:ascii="Times New Roman" w:hAnsi="Times New Roman" w:cs="Times New Roman"/>
          <w:sz w:val="28"/>
          <w:szCs w:val="28"/>
        </w:rPr>
        <w:t>»</w:t>
      </w:r>
      <w:r w:rsidRPr="00A51A4D">
        <w:rPr>
          <w:rFonts w:ascii="Times New Roman" w:hAnsi="Times New Roman" w:cs="Times New Roman"/>
          <w:sz w:val="28"/>
          <w:szCs w:val="28"/>
        </w:rPr>
        <w:t>, использующий мониторинг цен в интересах определенной компании, и другие. Цифровые платформы будут обязаны обеспечить недискриминационный доступ к данным о потребителях.</w:t>
      </w:r>
    </w:p>
    <w:p w14:paraId="5373797E" w14:textId="6B8DB088" w:rsidR="00A47DF4" w:rsidRPr="00A51A4D"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Также </w:t>
      </w:r>
      <w:r>
        <w:rPr>
          <w:rFonts w:ascii="Times New Roman" w:hAnsi="Times New Roman" w:cs="Times New Roman"/>
          <w:sz w:val="28"/>
          <w:szCs w:val="28"/>
        </w:rPr>
        <w:t>«</w:t>
      </w:r>
      <w:r w:rsidRPr="00A51A4D">
        <w:rPr>
          <w:rFonts w:ascii="Times New Roman" w:hAnsi="Times New Roman" w:cs="Times New Roman"/>
          <w:sz w:val="28"/>
          <w:szCs w:val="28"/>
        </w:rPr>
        <w:t>пятый пакет</w:t>
      </w:r>
      <w:r>
        <w:rPr>
          <w:rFonts w:ascii="Times New Roman" w:hAnsi="Times New Roman" w:cs="Times New Roman"/>
          <w:sz w:val="28"/>
          <w:szCs w:val="28"/>
        </w:rPr>
        <w:t>»</w:t>
      </w:r>
      <w:r w:rsidRPr="00A51A4D">
        <w:rPr>
          <w:rFonts w:ascii="Times New Roman" w:hAnsi="Times New Roman" w:cs="Times New Roman"/>
          <w:sz w:val="28"/>
          <w:szCs w:val="28"/>
        </w:rPr>
        <w:t xml:space="preserve"> вводит новые подходы к контролю экономической концентрации. В частности, вводится новый критерий предварительного согласования сделок: ее объем должен превышать 7 млрд</w:t>
      </w:r>
      <w:r w:rsidR="00590026">
        <w:rPr>
          <w:rFonts w:ascii="Times New Roman" w:hAnsi="Times New Roman" w:cs="Times New Roman"/>
          <w:sz w:val="28"/>
          <w:szCs w:val="28"/>
        </w:rPr>
        <w:t>.</w:t>
      </w:r>
      <w:r w:rsidRPr="00A51A4D">
        <w:rPr>
          <w:rFonts w:ascii="Times New Roman" w:hAnsi="Times New Roman" w:cs="Times New Roman"/>
          <w:sz w:val="28"/>
          <w:szCs w:val="28"/>
        </w:rPr>
        <w:t xml:space="preserve"> руб. Если это трансграничная сделка, то с согласия Правительства Р</w:t>
      </w:r>
      <w:r w:rsidR="00590026">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sidR="00590026">
        <w:rPr>
          <w:rFonts w:ascii="Times New Roman" w:hAnsi="Times New Roman" w:cs="Times New Roman"/>
          <w:sz w:val="28"/>
          <w:szCs w:val="28"/>
        </w:rPr>
        <w:t>едерации</w:t>
      </w:r>
      <w:r w:rsidRPr="00A51A4D">
        <w:rPr>
          <w:rFonts w:ascii="Times New Roman" w:hAnsi="Times New Roman" w:cs="Times New Roman"/>
          <w:sz w:val="28"/>
          <w:szCs w:val="28"/>
        </w:rPr>
        <w:t xml:space="preserve"> мы можем продлить ее рассмотрение на срок до пяти лет. Появится возможность очного рассмотрения ходатайств, и определяется порядок проведения экспертизы при их рассмотрении.</w:t>
      </w:r>
    </w:p>
    <w:p w14:paraId="1008C778" w14:textId="06550184" w:rsidR="00A47DF4" w:rsidRPr="00A51A4D"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поручению Президента</w:t>
      </w:r>
      <w:r w:rsidR="00336F93">
        <w:rPr>
          <w:rFonts w:ascii="Times New Roman" w:hAnsi="Times New Roman" w:cs="Times New Roman"/>
          <w:sz w:val="28"/>
          <w:szCs w:val="28"/>
        </w:rPr>
        <w:t xml:space="preserve"> Российской Федерации ФАС России разработала </w:t>
      </w:r>
      <w:r w:rsidRPr="00A51A4D">
        <w:rPr>
          <w:rFonts w:ascii="Times New Roman" w:hAnsi="Times New Roman" w:cs="Times New Roman"/>
          <w:sz w:val="28"/>
          <w:szCs w:val="28"/>
        </w:rPr>
        <w:t xml:space="preserve">законопроект об антимонопольном комплаенсе. Это управление рисками нарушения антимонопольного или иного контролируемого </w:t>
      </w:r>
      <w:r w:rsidR="008F4A57">
        <w:rPr>
          <w:rFonts w:ascii="Times New Roman" w:hAnsi="Times New Roman" w:cs="Times New Roman"/>
          <w:sz w:val="28"/>
          <w:szCs w:val="28"/>
        </w:rPr>
        <w:t xml:space="preserve">ФАС России </w:t>
      </w:r>
      <w:r w:rsidRPr="00A51A4D">
        <w:rPr>
          <w:rFonts w:ascii="Times New Roman" w:hAnsi="Times New Roman" w:cs="Times New Roman"/>
          <w:sz w:val="28"/>
          <w:szCs w:val="28"/>
        </w:rPr>
        <w:t xml:space="preserve">законодательства как органами власти, так и хозяйствующими субъектами. С внедрением института предупреждений и предостережений количество нарушений антимонопольного законодательства органами власти значительно сократилось. </w:t>
      </w:r>
    </w:p>
    <w:p w14:paraId="3BD90143" w14:textId="77777777" w:rsidR="00A47DF4" w:rsidRPr="00A51A4D"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Важным направлением реализации документа является сокращение доли хозяйствующих субъектов, учреждаемых или контролируемых государством или муниципальных образованием, обеспечение развития малого и среднего предпринимательства; государственное регулирование цен (тарифов), обеспечивающее интересы потребителей в долгосрочной перспективе; обеспечение прозрачности закупок товаров, работ, услуг для государственных и муниципальных нужд, а также закупок товаров, работ и услуг инфраструктурными монополиями и компаниями с государственным участием; внедрение рискориентированного подхода в деятельности органов государственного контроля.</w:t>
      </w:r>
    </w:p>
    <w:p w14:paraId="0F1249CD" w14:textId="0EA44E7A" w:rsidR="00A47DF4" w:rsidRPr="00A51A4D"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Указ определяет принципы взаимодействия государства и общества, предусматривающие нетерпимость к любым проявлениям актов недобросовестной конкуренции и монополизаци</w:t>
      </w:r>
      <w:r w:rsidR="00670D5F">
        <w:rPr>
          <w:rFonts w:ascii="Times New Roman" w:hAnsi="Times New Roman" w:cs="Times New Roman"/>
          <w:sz w:val="28"/>
          <w:szCs w:val="28"/>
        </w:rPr>
        <w:t>и</w:t>
      </w:r>
      <w:r w:rsidRPr="00A51A4D">
        <w:rPr>
          <w:rFonts w:ascii="Times New Roman" w:hAnsi="Times New Roman" w:cs="Times New Roman"/>
          <w:sz w:val="28"/>
          <w:szCs w:val="28"/>
        </w:rPr>
        <w:t>, обеспечение равных условий и свободы экономической деятельности на всей территории Российской Федерации, стимулирования со стороны государства добросовестных практик осуществления хозяйственной деятельности.</w:t>
      </w:r>
    </w:p>
    <w:p w14:paraId="4BA5E483" w14:textId="77777777" w:rsidR="00A47DF4" w:rsidRPr="00A51A4D"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Принятие органами власти управленческих решений должно осуществляться с учетом оценки последствий таких решений для конкуренции.</w:t>
      </w:r>
    </w:p>
    <w:p w14:paraId="363C416B" w14:textId="77777777" w:rsidR="00A47DF4" w:rsidRPr="00A51A4D"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Указ закрепляет цифровые параметры ожидаемых результатов в отдельных отраслях экономики.</w:t>
      </w:r>
    </w:p>
    <w:p w14:paraId="40A678D1" w14:textId="77777777" w:rsidR="00A47DF4" w:rsidRPr="00A51A4D"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Например, в сфере информационных технологий предусмотрено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4D75C6B0" w14:textId="77777777" w:rsidR="00A47DF4" w:rsidRPr="00A51A4D"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агропромышленном комплексе предусмотрено повышение уровня товарности основных видов сельскохозяйственной продукции, расширение географии поставок и номенклатуры сельскохозяйственных товаров, реализуемых на организованных торгах, снижение зависимости внутреннего рынка от иностранного селекционного и генетического материалов и связанных с ними агротехнологических решений и т.д.</w:t>
      </w:r>
    </w:p>
    <w:p w14:paraId="214C3BE2" w14:textId="2C59E445"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 xml:space="preserve">Состояние экономики нашей страны тесно связано с эффективностью антимонопольного регулирования и развитием конкуренции. Одна из основных задач Национального плана по развитию конкуренции состоит в том, чтобы уменьшить участие государства в экономике в целях развития конкуренции. </w:t>
      </w:r>
      <w:r w:rsidR="009C3558">
        <w:rPr>
          <w:rFonts w:ascii="Times New Roman" w:hAnsi="Times New Roman" w:cs="Times New Roman"/>
          <w:sz w:val="28"/>
          <w:szCs w:val="28"/>
        </w:rPr>
        <w:t>ФАС России считает необходимым</w:t>
      </w:r>
      <w:r w:rsidRPr="0030183C">
        <w:rPr>
          <w:rFonts w:ascii="Times New Roman" w:hAnsi="Times New Roman" w:cs="Times New Roman"/>
          <w:sz w:val="28"/>
          <w:szCs w:val="28"/>
        </w:rPr>
        <w:t xml:space="preserve"> вернуться к тому, чтобы частная инициатива поощрялась, развивалась поддержка малого бизнеса, чтобы приватизация проходила нормально, чтобы инвестиционный климат был соответствующий, а для этого надо снять бюрократические, криминальные и чиновничьи барьеры. Указанной цели служат и новые подходы оценки уровня развития конкуренции на товарных рынках, определенные по итогам Госсовета.</w:t>
      </w:r>
    </w:p>
    <w:p w14:paraId="04A21676" w14:textId="77777777"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Впервые в качестве ключевых показателей, определяющих состояние конкуренции в регионах, принимается доля участия на товарном рынке организаций частной формы собственности к общему количеству организаций. И только при определенном уровне такого участия можно приходить к выводу о достижении задач по развитию конкуренции на том или ином товарном рынке в регионе.</w:t>
      </w:r>
    </w:p>
    <w:p w14:paraId="594459AC" w14:textId="05ADDF11"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На основании перечня поручений Президента Р</w:t>
      </w:r>
      <w:r w:rsidR="00D05BC0">
        <w:rPr>
          <w:rFonts w:ascii="Times New Roman" w:hAnsi="Times New Roman" w:cs="Times New Roman"/>
          <w:sz w:val="28"/>
          <w:szCs w:val="28"/>
        </w:rPr>
        <w:t xml:space="preserve">оссийской </w:t>
      </w:r>
      <w:r w:rsidRPr="0030183C">
        <w:rPr>
          <w:rFonts w:ascii="Times New Roman" w:hAnsi="Times New Roman" w:cs="Times New Roman"/>
          <w:sz w:val="28"/>
          <w:szCs w:val="28"/>
        </w:rPr>
        <w:t>Ф</w:t>
      </w:r>
      <w:r w:rsidR="00D05BC0">
        <w:rPr>
          <w:rFonts w:ascii="Times New Roman" w:hAnsi="Times New Roman" w:cs="Times New Roman"/>
          <w:sz w:val="28"/>
          <w:szCs w:val="28"/>
        </w:rPr>
        <w:t>едерации</w:t>
      </w:r>
      <w:r w:rsidRPr="0030183C">
        <w:rPr>
          <w:rFonts w:ascii="Times New Roman" w:hAnsi="Times New Roman" w:cs="Times New Roman"/>
          <w:sz w:val="28"/>
          <w:szCs w:val="28"/>
        </w:rPr>
        <w:t xml:space="preserve">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w:t>
      </w:r>
      <w:r w:rsidR="00D05BC0" w:rsidRPr="0030183C">
        <w:rPr>
          <w:rFonts w:ascii="Times New Roman" w:hAnsi="Times New Roman" w:cs="Times New Roman"/>
          <w:sz w:val="28"/>
          <w:szCs w:val="28"/>
        </w:rPr>
        <w:t>Р</w:t>
      </w:r>
      <w:r w:rsidR="00D05BC0">
        <w:rPr>
          <w:rFonts w:ascii="Times New Roman" w:hAnsi="Times New Roman" w:cs="Times New Roman"/>
          <w:sz w:val="28"/>
          <w:szCs w:val="28"/>
        </w:rPr>
        <w:t xml:space="preserve">оссийской </w:t>
      </w:r>
      <w:r w:rsidRPr="0030183C">
        <w:rPr>
          <w:rFonts w:ascii="Times New Roman" w:hAnsi="Times New Roman" w:cs="Times New Roman"/>
          <w:sz w:val="28"/>
          <w:szCs w:val="28"/>
        </w:rPr>
        <w:t>Ф</w:t>
      </w:r>
      <w:r w:rsidR="00D05BC0">
        <w:rPr>
          <w:rFonts w:ascii="Times New Roman" w:hAnsi="Times New Roman" w:cs="Times New Roman"/>
          <w:sz w:val="28"/>
          <w:szCs w:val="28"/>
        </w:rPr>
        <w:t>едерации</w:t>
      </w:r>
      <w:r w:rsidRPr="0030183C">
        <w:rPr>
          <w:rFonts w:ascii="Times New Roman" w:hAnsi="Times New Roman" w:cs="Times New Roman"/>
          <w:sz w:val="28"/>
          <w:szCs w:val="28"/>
        </w:rPr>
        <w:t>.</w:t>
      </w:r>
    </w:p>
    <w:p w14:paraId="2E310D27" w14:textId="77777777"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2AD259B3" w14:textId="77777777"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62C7FB45" w14:textId="77777777"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 xml:space="preserve">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  </w:t>
      </w:r>
    </w:p>
    <w:p w14:paraId="2CFF7EB4" w14:textId="2C17CCB4" w:rsid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С целью оказания помощи при разработке и формировании перечней ключевых показателей развития конкуренции в отраслях экономики субъектов Р</w:t>
      </w:r>
      <w:r w:rsidR="00611618">
        <w:rPr>
          <w:rFonts w:ascii="Times New Roman" w:hAnsi="Times New Roman" w:cs="Times New Roman"/>
          <w:sz w:val="28"/>
          <w:szCs w:val="28"/>
        </w:rPr>
        <w:t xml:space="preserve">оссийской </w:t>
      </w:r>
      <w:r w:rsidRPr="0030183C">
        <w:rPr>
          <w:rFonts w:ascii="Times New Roman" w:hAnsi="Times New Roman" w:cs="Times New Roman"/>
          <w:sz w:val="28"/>
          <w:szCs w:val="28"/>
        </w:rPr>
        <w:t>Ф</w:t>
      </w:r>
      <w:r w:rsidR="00611618">
        <w:rPr>
          <w:rFonts w:ascii="Times New Roman" w:hAnsi="Times New Roman" w:cs="Times New Roman"/>
          <w:sz w:val="28"/>
          <w:szCs w:val="28"/>
        </w:rPr>
        <w:t>едерации</w:t>
      </w:r>
      <w:r w:rsidRPr="0030183C">
        <w:rPr>
          <w:rFonts w:ascii="Times New Roman" w:hAnsi="Times New Roman" w:cs="Times New Roman"/>
          <w:sz w:val="28"/>
          <w:szCs w:val="28"/>
        </w:rPr>
        <w:t xml:space="preserve">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w:t>
      </w:r>
      <w:r w:rsidR="00611618">
        <w:rPr>
          <w:rFonts w:ascii="Times New Roman" w:hAnsi="Times New Roman" w:cs="Times New Roman"/>
          <w:sz w:val="28"/>
          <w:szCs w:val="28"/>
        </w:rPr>
        <w:t xml:space="preserve">оссийской </w:t>
      </w:r>
      <w:r w:rsidRPr="0030183C">
        <w:rPr>
          <w:rFonts w:ascii="Times New Roman" w:hAnsi="Times New Roman" w:cs="Times New Roman"/>
          <w:sz w:val="28"/>
          <w:szCs w:val="28"/>
        </w:rPr>
        <w:t>Ф</w:t>
      </w:r>
      <w:r w:rsidR="00611618">
        <w:rPr>
          <w:rFonts w:ascii="Times New Roman" w:hAnsi="Times New Roman" w:cs="Times New Roman"/>
          <w:sz w:val="28"/>
          <w:szCs w:val="28"/>
        </w:rPr>
        <w:t>едерации</w:t>
      </w:r>
      <w:r w:rsidRPr="0030183C">
        <w:rPr>
          <w:rFonts w:ascii="Times New Roman" w:hAnsi="Times New Roman" w:cs="Times New Roman"/>
          <w:sz w:val="28"/>
          <w:szCs w:val="28"/>
        </w:rPr>
        <w:t xml:space="preserve"> согласовали с ФАС России и утвердили перечни ключевых показателей развития конкуренции.</w:t>
      </w:r>
    </w:p>
    <w:p w14:paraId="48C91780" w14:textId="77777777" w:rsidR="00A47DF4" w:rsidRPr="00A51A4D"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Системность, взаимосвязанность поручений, входящих в указанный комплекс мероприятий, обуславливает необходимость вовлечения Правительства Российской Федерации, федеральных органов исполнительной власти, органов судебной власти, иных правоохранительных органов, а также общественных организаций в процесс реализации государственной политики по развитию конкуренции.</w:t>
      </w:r>
    </w:p>
    <w:p w14:paraId="105FAC7D" w14:textId="3AE739F0" w:rsidR="00A47DF4" w:rsidRDefault="00A47DF4" w:rsidP="00A47DF4">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Указ Президента Российской Федерации </w:t>
      </w:r>
      <w:r w:rsidR="008D7AF9">
        <w:rPr>
          <w:rFonts w:ascii="Times New Roman" w:hAnsi="Times New Roman" w:cs="Times New Roman"/>
          <w:sz w:val="28"/>
          <w:szCs w:val="28"/>
        </w:rPr>
        <w:t>№ 618</w:t>
      </w:r>
      <w:r w:rsidRPr="00A51A4D">
        <w:rPr>
          <w:rFonts w:ascii="Times New Roman" w:hAnsi="Times New Roman" w:cs="Times New Roman"/>
          <w:sz w:val="28"/>
          <w:szCs w:val="28"/>
        </w:rPr>
        <w:t xml:space="preserve"> стал первым подобным документом в нашей истории. Документ определяет принципы взаимодействия государства и общества, предусматривающие нетерпимость к любым проявлениям актов недобросовестной конкуренции и злоупотребления монопольным положением. Органы власти всех уровней будут проводить оценку управленческих решений с учетом последствий таких решений для конкуренции.</w:t>
      </w:r>
    </w:p>
    <w:p w14:paraId="4168F05B" w14:textId="27923059" w:rsidR="00A47DF4"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Несмотря на исполнение ряда </w:t>
      </w:r>
      <w:r w:rsidR="00494FE1">
        <w:rPr>
          <w:rFonts w:ascii="Times New Roman" w:hAnsi="Times New Roman" w:cs="Times New Roman"/>
          <w:sz w:val="28"/>
          <w:szCs w:val="28"/>
        </w:rPr>
        <w:t>мероприятий,</w:t>
      </w:r>
      <w:r>
        <w:rPr>
          <w:rFonts w:ascii="Times New Roman" w:hAnsi="Times New Roman" w:cs="Times New Roman"/>
          <w:sz w:val="28"/>
          <w:szCs w:val="28"/>
        </w:rPr>
        <w:t xml:space="preserve"> предусмотренных Национальным планом по развитию конкуренции, многие из них по итогам 2018 года остаются не выполненными.</w:t>
      </w:r>
    </w:p>
    <w:p w14:paraId="71D9AEB1" w14:textId="1068C87D" w:rsidR="00A47DF4" w:rsidRDefault="00957C70"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частности,</w:t>
      </w:r>
      <w:r w:rsidR="00A47DF4">
        <w:rPr>
          <w:rFonts w:ascii="Times New Roman" w:hAnsi="Times New Roman" w:cs="Times New Roman"/>
          <w:sz w:val="28"/>
          <w:szCs w:val="28"/>
        </w:rPr>
        <w:t xml:space="preserve"> при общем снижении в 2018 году количества нарушений антимонопольного законодательства со стороны органов государственной власти и органов местного самоуправления на 14 % по сравнению с 2017 годом, во многих регионах количество таких нарушений не только не сократилось, но даже выросло. Аналогичную тенденцию по ухудшению показателя демонстрируют ряд регионов и по доле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w:t>
      </w:r>
    </w:p>
    <w:p w14:paraId="470FC21F" w14:textId="77777777" w:rsidR="00A47DF4"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Сохранение такой динамики может поставить под угрозу исполнение ключевых показателей Национального плана по развитию конкуренции. </w:t>
      </w:r>
    </w:p>
    <w:p w14:paraId="429708FC" w14:textId="77777777" w:rsidR="00A47DF4"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Одной из причин неисполнения ключевых показателей Национального плана по развитию конкуренции может являться отсутствие определенных на законодательном уровне механизмов мотивации органов исполнительной власти субъектов и органов местного самоуправления к их исполнению, а также меры ответственности за недостижение данных показателей. ФАС России неоднократно направляла соответствующие предложения в Министерство труда Российской Федерации, однако, они не были учтены.</w:t>
      </w:r>
    </w:p>
    <w:p w14:paraId="353DCE89" w14:textId="147C5828"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В соответствии с абзацем третьим подпункта «в» пункта 1 перечня поручений Президента Р</w:t>
      </w:r>
      <w:r w:rsidR="00D403E6">
        <w:rPr>
          <w:rFonts w:ascii="Times New Roman" w:hAnsi="Times New Roman" w:cs="Times New Roman"/>
          <w:sz w:val="28"/>
          <w:szCs w:val="28"/>
        </w:rPr>
        <w:t xml:space="preserve">оссийской </w:t>
      </w:r>
      <w:r w:rsidRPr="0030183C">
        <w:rPr>
          <w:rFonts w:ascii="Times New Roman" w:hAnsi="Times New Roman" w:cs="Times New Roman"/>
          <w:sz w:val="28"/>
          <w:szCs w:val="28"/>
        </w:rPr>
        <w:t>Ф</w:t>
      </w:r>
      <w:r w:rsidR="00D403E6">
        <w:rPr>
          <w:rFonts w:ascii="Times New Roman" w:hAnsi="Times New Roman" w:cs="Times New Roman"/>
          <w:sz w:val="28"/>
          <w:szCs w:val="28"/>
        </w:rPr>
        <w:t>едерации</w:t>
      </w:r>
      <w:r w:rsidRPr="0030183C">
        <w:rPr>
          <w:rFonts w:ascii="Times New Roman" w:hAnsi="Times New Roman" w:cs="Times New Roman"/>
          <w:sz w:val="28"/>
          <w:szCs w:val="28"/>
        </w:rPr>
        <w:t xml:space="preserve"> по итогам Госсовета, Правительству Российской Федерации необходимо было представить в установленном порядке предложения в случае достижения ключевых показателей развития конкуренции, а также мер их ответственности за недостижение этих показателей. </w:t>
      </w:r>
    </w:p>
    <w:p w14:paraId="1F292F4B" w14:textId="77777777"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 xml:space="preserve">ФАС России были разработаны предложения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 Данные предложения были направлены в Министерство труда Российской Федерации, однако, они учтены не были. </w:t>
      </w:r>
    </w:p>
    <w:p w14:paraId="0A081BB4" w14:textId="77777777" w:rsidR="0030183C" w:rsidRP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Еще одной из проблем, возникших при реализации Национального плана по развитию конкуренции, с которой столкнулись при разработке ключевых показателей органы исполнительной власти регионов, связаны с получением информации, необходимой для расчетов.</w:t>
      </w:r>
    </w:p>
    <w:p w14:paraId="741B787E" w14:textId="77777777" w:rsidR="0030183C" w:rsidRDefault="0030183C" w:rsidP="0030183C">
      <w:pPr>
        <w:spacing w:after="0" w:line="240" w:lineRule="auto"/>
        <w:ind w:firstLine="709"/>
        <w:jc w:val="both"/>
        <w:rPr>
          <w:rFonts w:ascii="Times New Roman" w:hAnsi="Times New Roman" w:cs="Times New Roman"/>
          <w:sz w:val="28"/>
          <w:szCs w:val="28"/>
        </w:rPr>
      </w:pPr>
      <w:r w:rsidRPr="0030183C">
        <w:rPr>
          <w:rFonts w:ascii="Times New Roman" w:hAnsi="Times New Roman" w:cs="Times New Roman"/>
          <w:sz w:val="28"/>
          <w:szCs w:val="28"/>
        </w:rPr>
        <w:t>В этой связи ФАС России в целях совершенствования методик подготовлен ряд изменений в приказ. 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374090B3" w14:textId="5435F67C" w:rsidR="00A47DF4"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 в полном объеме в установленные сроки оказались исполненными мероприятия Национального плана по развитию конкуренции и со стороны федеральных органов исполнительной власти.</w:t>
      </w:r>
    </w:p>
    <w:p w14:paraId="42FC051C" w14:textId="77777777" w:rsidR="00A47DF4"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Так, до настоящего времени не все органы исполнительной власти обеспечили внедрение показателей, характеризующих эффективность закупок товаров, работ, услуг, в том числе подведомственными организациями. При внедрении указанных показателей отсутствовал единообразный подход. В большинстве случаев не установлен порядок оценки достижения указанных показателей и ответственность за их недостижение.</w:t>
      </w:r>
    </w:p>
    <w:p w14:paraId="595CD418" w14:textId="77777777" w:rsidR="00A47DF4"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 всеми федеральными органами исполнительной власти обеспечено размещение в информационно-телекоммуникационной сети «Интернет» планов развития конкуренции, а также сведений о динамике ключевых показателей развития конкуренции и результатов выполнения мероприятий, предусмотренных планами развития конкуренции.</w:t>
      </w:r>
    </w:p>
    <w:p w14:paraId="59417D26" w14:textId="77777777" w:rsidR="00A47DF4"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Наиболее сложная ситуация по исполнению мероприятий Национального плана по развитию конкуренции сложилась в части законопроектной деятельности.</w:t>
      </w:r>
    </w:p>
    <w:p w14:paraId="406B123E" w14:textId="77777777" w:rsidR="00A47DF4" w:rsidRPr="00CE2870"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Из всего установленного Национальным планом по развитию конкуренции перечня подлежащих к внесению в установленном порядке в Государственную Думу Федерального Собрания Российской Федерации проектов федеральных законов, в настоящее время внесен только один, а именно </w:t>
      </w:r>
      <w:r w:rsidRPr="00CE2870">
        <w:rPr>
          <w:rFonts w:ascii="Times New Roman" w:hAnsi="Times New Roman" w:cs="Times New Roman"/>
          <w:sz w:val="28"/>
          <w:szCs w:val="28"/>
        </w:rPr>
        <w:t>проект федерального закона, предусматривающий ограничение создания унитарных предприятий на конкурентных рынках.</w:t>
      </w:r>
    </w:p>
    <w:p w14:paraId="66A79C87" w14:textId="7175DDD3" w:rsidR="00A47DF4" w:rsidRDefault="00A47DF4" w:rsidP="00A47DF4">
      <w:pPr>
        <w:spacing w:after="0" w:line="240" w:lineRule="auto"/>
        <w:ind w:firstLine="851"/>
        <w:jc w:val="both"/>
        <w:rPr>
          <w:rFonts w:ascii="Times New Roman" w:hAnsi="Times New Roman" w:cs="Times New Roman"/>
          <w:sz w:val="28"/>
          <w:szCs w:val="28"/>
        </w:rPr>
      </w:pPr>
      <w:r w:rsidRPr="00CE2870">
        <w:rPr>
          <w:rFonts w:ascii="Times New Roman" w:hAnsi="Times New Roman" w:cs="Times New Roman"/>
          <w:sz w:val="28"/>
          <w:szCs w:val="28"/>
        </w:rPr>
        <w:t>Распоряжением Правительства Российской Федерации от 24.09.2018      № 2026-р законопроект внесен в Государственную Думу Федеральног</w:t>
      </w:r>
      <w:r w:rsidR="00801C53">
        <w:rPr>
          <w:rFonts w:ascii="Times New Roman" w:hAnsi="Times New Roman" w:cs="Times New Roman"/>
          <w:sz w:val="28"/>
          <w:szCs w:val="28"/>
        </w:rPr>
        <w:t>о Собрания Российской Федерации,</w:t>
      </w:r>
      <w:r w:rsidRPr="00CE2870">
        <w:rPr>
          <w:rFonts w:ascii="Times New Roman" w:hAnsi="Times New Roman" w:cs="Times New Roman"/>
          <w:sz w:val="28"/>
          <w:szCs w:val="28"/>
        </w:rPr>
        <w:t xml:space="preserve"> 11.12.2018 законопроект принят Государственной Думой в первом чтении.</w:t>
      </w:r>
    </w:p>
    <w:p w14:paraId="472CD63D" w14:textId="51CBE502" w:rsidR="00A47DF4"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Под угрозой неисполнения находятся и утвержденные распоряжениями Правительства Р</w:t>
      </w:r>
      <w:r w:rsidR="00801C53">
        <w:rPr>
          <w:rFonts w:ascii="Times New Roman" w:hAnsi="Times New Roman" w:cs="Times New Roman"/>
          <w:sz w:val="28"/>
          <w:szCs w:val="28"/>
        </w:rPr>
        <w:t xml:space="preserve">оссийской </w:t>
      </w:r>
      <w:r>
        <w:rPr>
          <w:rFonts w:ascii="Times New Roman" w:hAnsi="Times New Roman" w:cs="Times New Roman"/>
          <w:sz w:val="28"/>
          <w:szCs w:val="28"/>
        </w:rPr>
        <w:t>Ф</w:t>
      </w:r>
      <w:r w:rsidR="00801C53">
        <w:rPr>
          <w:rFonts w:ascii="Times New Roman" w:hAnsi="Times New Roman" w:cs="Times New Roman"/>
          <w:sz w:val="28"/>
          <w:szCs w:val="28"/>
        </w:rPr>
        <w:t>едерации</w:t>
      </w:r>
      <w:r>
        <w:rPr>
          <w:rFonts w:ascii="Times New Roman" w:hAnsi="Times New Roman" w:cs="Times New Roman"/>
          <w:sz w:val="28"/>
          <w:szCs w:val="28"/>
        </w:rPr>
        <w:t xml:space="preserve"> «дорожные карты» по развитию конкуренции.</w:t>
      </w:r>
    </w:p>
    <w:p w14:paraId="1E23AAEB" w14:textId="77777777" w:rsidR="00A47DF4"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Так, из подлежащих исполнению в 2018 году мероприятий, предусмотренных «дорожной картой», на январь 2019 года выполнено всего 43%. По «дорожной карте» в сфере здравоохранения лишь 30 %.</w:t>
      </w:r>
    </w:p>
    <w:p w14:paraId="5960BB28" w14:textId="161D5339" w:rsidR="00A47DF4"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Исправление складывающейся ситуации возможно лишь при установлении на законодательном уровне мер персональной ответственности руководителей соответствующих органов исполнительной власти за невыполнение поставленных Указом Президента № 618 и принятыми в его исполнение нормативными актами задач.</w:t>
      </w:r>
    </w:p>
    <w:p w14:paraId="36F43C6A" w14:textId="77777777" w:rsidR="005D77F3" w:rsidRDefault="005D77F3" w:rsidP="00D00E9D">
      <w:pPr>
        <w:spacing w:after="0" w:line="240" w:lineRule="auto"/>
        <w:jc w:val="both"/>
        <w:rPr>
          <w:rFonts w:ascii="Times New Roman" w:hAnsi="Times New Roman" w:cs="Times New Roman"/>
          <w:sz w:val="28"/>
          <w:szCs w:val="28"/>
        </w:rPr>
      </w:pPr>
    </w:p>
    <w:p w14:paraId="47D77F17" w14:textId="25A0B9F7" w:rsidR="005D77F3" w:rsidRDefault="005D77F3" w:rsidP="00EF64DA">
      <w:pPr>
        <w:pStyle w:val="2"/>
      </w:pPr>
      <w:bookmarkStart w:id="106" w:name="_Toc7447951"/>
      <w:r w:rsidRPr="005D77F3">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bookmarkEnd w:id="106"/>
    </w:p>
    <w:p w14:paraId="61065340" w14:textId="77777777" w:rsidR="00D00E9D" w:rsidRPr="00D00E9D" w:rsidRDefault="00D00E9D" w:rsidP="00D00E9D">
      <w:pPr>
        <w:rPr>
          <w:lang w:eastAsia="ru-RU"/>
        </w:rPr>
      </w:pPr>
    </w:p>
    <w:p w14:paraId="4FC85186" w14:textId="77777777" w:rsidR="005D77F3" w:rsidRPr="00A51A4D" w:rsidRDefault="005D77F3" w:rsidP="005D77F3">
      <w:pPr>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достижении ключевых показателей,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52EC57EC" w14:textId="77777777" w:rsidR="005D77F3" w:rsidRDefault="005D77F3" w:rsidP="005D77F3">
      <w:pPr>
        <w:spacing w:after="0" w:line="240" w:lineRule="auto"/>
        <w:ind w:firstLine="709"/>
        <w:jc w:val="both"/>
        <w:rPr>
          <w:rFonts w:ascii="Times New Roman" w:hAnsi="Times New Roman" w:cs="Times New Roman"/>
          <w:sz w:val="28"/>
          <w:szCs w:val="28"/>
        </w:rPr>
      </w:pPr>
    </w:p>
    <w:p w14:paraId="4FF5D532"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Одним из основополагающих принципов государственной политики по развитию конкуренции определен принцип измеримости результатов такой политики. </w:t>
      </w:r>
    </w:p>
    <w:p w14:paraId="2500BE8D" w14:textId="7AB39B0E"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его реализации пунктом 1 Национальн</w:t>
      </w:r>
      <w:r w:rsidR="00801C53">
        <w:rPr>
          <w:rFonts w:ascii="Times New Roman" w:hAnsi="Times New Roman" w:cs="Times New Roman"/>
          <w:sz w:val="28"/>
          <w:szCs w:val="28"/>
        </w:rPr>
        <w:t>ого</w:t>
      </w:r>
      <w:r w:rsidRPr="00A51A4D">
        <w:rPr>
          <w:rFonts w:ascii="Times New Roman" w:hAnsi="Times New Roman" w:cs="Times New Roman"/>
          <w:sz w:val="28"/>
          <w:szCs w:val="28"/>
        </w:rPr>
        <w:t xml:space="preserve"> план</w:t>
      </w:r>
      <w:r w:rsidR="00801C53">
        <w:rPr>
          <w:rFonts w:ascii="Times New Roman" w:hAnsi="Times New Roman" w:cs="Times New Roman"/>
          <w:sz w:val="28"/>
          <w:szCs w:val="28"/>
        </w:rPr>
        <w:t>а</w:t>
      </w:r>
      <w:r w:rsidRPr="00A51A4D">
        <w:rPr>
          <w:rFonts w:ascii="Times New Roman" w:hAnsi="Times New Roman" w:cs="Times New Roman"/>
          <w:sz w:val="28"/>
          <w:szCs w:val="28"/>
        </w:rPr>
        <w:t xml:space="preserve"> установлены следующие ключевые показатели развития конкуренции до 2020 года, на достижение которых направлены мероприятия плана:</w:t>
      </w:r>
    </w:p>
    <w:p w14:paraId="289AE377" w14:textId="77777777" w:rsidR="005D77F3" w:rsidRPr="00A51A4D" w:rsidRDefault="005D77F3" w:rsidP="005D77F3">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а)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59152791" w14:textId="77777777" w:rsidR="005D77F3" w:rsidRPr="00A51A4D" w:rsidRDefault="005D77F3" w:rsidP="005D77F3">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б) 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w:t>
      </w:r>
    </w:p>
    <w:p w14:paraId="1B9BCFA0" w14:textId="77777777" w:rsidR="005D77F3" w:rsidRPr="00A51A4D" w:rsidRDefault="005D77F3" w:rsidP="005D77F3">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437900D2" w14:textId="77777777" w:rsidR="005D77F3" w:rsidRPr="00A51A4D" w:rsidRDefault="005D77F3" w:rsidP="005D77F3">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Аналогичные контрольные показатели закреплены в пункте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с указанием ответственных исполнителей и соисполнителей. В приложении к «дорожной карте» перечислены основные виды деятельности в отраслях экономики в соответствии с ОКВЭД2, в которых необходимо достижение контрольных показателей реализации «дорожной карты».</w:t>
      </w:r>
    </w:p>
    <w:p w14:paraId="14214E03" w14:textId="1E58FBD4"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 итогам 2018 года ключевой показатель, предусмотренный подпунктом «а» пункта 1 Национального плана и подпунктом 1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w:t>
      </w:r>
      <w:r w:rsidR="00EE7ADA">
        <w:rPr>
          <w:rFonts w:ascii="Times New Roman" w:hAnsi="Times New Roman" w:cs="Times New Roman"/>
          <w:sz w:val="28"/>
          <w:szCs w:val="28"/>
        </w:rPr>
        <w:t>»</w:t>
      </w:r>
      <w:r w:rsidRPr="00A51A4D">
        <w:rPr>
          <w:rFonts w:ascii="Times New Roman" w:hAnsi="Times New Roman" w:cs="Times New Roman"/>
          <w:sz w:val="28"/>
          <w:szCs w:val="28"/>
        </w:rPr>
        <w:t xml:space="preserve">, – наличие </w:t>
      </w:r>
      <w:r w:rsidRPr="00A51A4D">
        <w:rPr>
          <w:rFonts w:ascii="Times New Roman" w:hAnsi="Times New Roman" w:cs="Times New Roman"/>
          <w:b/>
          <w:sz w:val="28"/>
          <w:szCs w:val="28"/>
        </w:rPr>
        <w:t>не менее трех хозяйствующих субъектов в каждой отрасли экономики</w:t>
      </w:r>
      <w:r w:rsidRPr="00A51A4D">
        <w:rPr>
          <w:rFonts w:ascii="Times New Roman" w:hAnsi="Times New Roman" w:cs="Times New Roman"/>
          <w:sz w:val="28"/>
          <w:szCs w:val="28"/>
        </w:rPr>
        <w:t xml:space="preserve">, не менее чем один из которых относится к частному бизнесу – достигнут в большинстве отраслей экономики Российской Федерации (кроме сфер деятельности субъектов естественных монополий и организаций оборонно-промышленного комплекса). </w:t>
      </w:r>
    </w:p>
    <w:p w14:paraId="5CBA74C6"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Исключение составляет торговля оптовая твердым, жидким и газообразным топливом и подобными продуктами в сфере угольной промышленности (код по ОКВЭД2 </w:t>
      </w:r>
      <w:hyperlink r:id="rId19" w:history="1">
        <w:r w:rsidRPr="00A51A4D">
          <w:rPr>
            <w:rFonts w:ascii="Times New Roman" w:hAnsi="Times New Roman" w:cs="Times New Roman"/>
            <w:sz w:val="28"/>
            <w:szCs w:val="28"/>
          </w:rPr>
          <w:t>46.71</w:t>
        </w:r>
      </w:hyperlink>
      <w:r w:rsidRPr="00A51A4D">
        <w:rPr>
          <w:rFonts w:ascii="Times New Roman" w:hAnsi="Times New Roman" w:cs="Times New Roman"/>
          <w:sz w:val="28"/>
          <w:szCs w:val="28"/>
        </w:rPr>
        <w:t>), где на рынке в масштабе страны представлен только один хозяйствующий субъект, относящийся к государственной собственности.</w:t>
      </w:r>
    </w:p>
    <w:p w14:paraId="781EA5CB"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то же время необходимо выделить ряд рынков, на которых число хозяйствующих субъектов в границах Российской Федерации сравнительно невелико. Это такие сферы как предоставление социальных услуг, оптовая торговля нефтью, нефтепродуктами, твердым, жидким и газообразным топливом и подобными продуктами, производство удобрений и азотных соединений (21), оптовая торговля химическими продуктами (43).</w:t>
      </w:r>
    </w:p>
    <w:p w14:paraId="4ACB6318"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Следует отметить, что «дорожной картой» предусмотрены мероприятия, направленные на увеличение количества хозяйствующих субъектов на рынках социальных услуг и оптовой торговли нефтью и нефтепродуктами, в то время как в отношении остальных рынков из перечисленных таких специальных мероприятий не запланировано.</w:t>
      </w:r>
    </w:p>
    <w:p w14:paraId="77A55D6B"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Помимо этого, ФАС России отдельно проведена оценка количества хозяйствующих субъектов на рынках в сфере жилищно-коммунального хозяйства в границах российских регионов. В соответствии с информацией, поступившей от органов исполнительной власти субъектов Российской Федерации, на большинстве рынков обеспечено присутствие не менее трех хозяйствующих субъектов, не менее чем один из которых относится к частному бизнесу. В то же время, в ряде субъектов этот показатель не достигнут. </w:t>
      </w:r>
    </w:p>
    <w:p w14:paraId="1DFDB993"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установленный подпунктом «б» пункта 1 Национального плана (подпункт 2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соответственно), предусматривает </w:t>
      </w:r>
      <w:r w:rsidRPr="00A51A4D">
        <w:rPr>
          <w:rFonts w:ascii="Times New Roman" w:hAnsi="Times New Roman" w:cs="Times New Roman"/>
          <w:b/>
          <w:sz w:val="28"/>
          <w:szCs w:val="28"/>
        </w:rPr>
        <w:t>двукратное снижение нарушений антимонопольного законодательства со стороны органов власти</w:t>
      </w:r>
      <w:r w:rsidRPr="00A51A4D">
        <w:rPr>
          <w:rFonts w:ascii="Times New Roman" w:hAnsi="Times New Roman" w:cs="Times New Roman"/>
          <w:sz w:val="28"/>
          <w:szCs w:val="28"/>
        </w:rPr>
        <w:t xml:space="preserve"> всех уровней. </w:t>
      </w:r>
    </w:p>
    <w:p w14:paraId="29C4FEDE"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2018 году количество указанных нарушений снизилось на 14 % по сравнению с 2017 годом. Очевидно, что указанные темпы снижения количества нарушений не являются достаточными для обеспечения установленного Национальным планом показателя. </w:t>
      </w:r>
    </w:p>
    <w:p w14:paraId="0572428D" w14:textId="5E601D27" w:rsidR="005D77F3" w:rsidRPr="00A51A4D" w:rsidRDefault="00EE7ADA" w:rsidP="005D77F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005D77F3" w:rsidRPr="00A51A4D">
        <w:rPr>
          <w:rFonts w:ascii="Times New Roman" w:hAnsi="Times New Roman" w:cs="Times New Roman"/>
          <w:sz w:val="28"/>
          <w:szCs w:val="28"/>
        </w:rPr>
        <w:t xml:space="preserve"> следует отметить, что Национальным планом предусмотрен комплекс мероприятий, нацеленных на профилактику нарушений антимонопольного законодательства. В частности, федеральными и региональными органам исполнительной власти проводится работа по внедрению антимонопольного комплаенса – системы обеспечения соответствия их деятельности требованиям антимонопольного законодательства. Первые результаты функционирования антимонопольного комплаенса будет возможно оценить по итогам 2019 года, когда работа по организации системы будет завершена.</w:t>
      </w:r>
    </w:p>
    <w:p w14:paraId="0B6FBBAC" w14:textId="77777777" w:rsidR="005D77F3" w:rsidRPr="00A51A4D" w:rsidRDefault="005D77F3" w:rsidP="005D77F3">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предусмотренный подпунктом «в» пункта 1 Национального плана (подпункты 3 и 4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предполагает </w:t>
      </w:r>
      <w:r w:rsidRPr="00A51A4D">
        <w:rPr>
          <w:rFonts w:ascii="Times New Roman" w:hAnsi="Times New Roman" w:cs="Times New Roman"/>
          <w:b/>
          <w:sz w:val="28"/>
          <w:szCs w:val="28"/>
        </w:rPr>
        <w:t>увеличение доли закупок у субъектов малого предпринимательства</w:t>
      </w:r>
      <w:r w:rsidRPr="00A51A4D">
        <w:rPr>
          <w:rFonts w:ascii="Times New Roman" w:hAnsi="Times New Roman" w:cs="Times New Roman"/>
          <w:sz w:val="28"/>
          <w:szCs w:val="28"/>
        </w:rPr>
        <w:t xml:space="preserve"> и социально ориентированных некоммерческих организаций в сфере государственного и муниципального заказа не менее, чем в 2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587F5B8C" w14:textId="77777777" w:rsidR="005D77F3" w:rsidRPr="00A51A4D" w:rsidRDefault="005D77F3" w:rsidP="005D77F3">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данным Минфина России числовое значение данного показателя в сфере государственного и муниципального заказа на 2017 год составило 15,4%, на 2018 год – 29,7 %, в сфере закупок отдельными видами юридических лиц – 11,2% и 12,1 % соответственно.</w:t>
      </w:r>
    </w:p>
    <w:p w14:paraId="28E7EE31"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Таким образом, в сфере государственного и муниципального заказа в 2018 году произошел существенный рост (в 1,9 раза) доли закупок у субъектов малого предпринимательства и социально ориентированных некоммерческих организаций. </w:t>
      </w:r>
    </w:p>
    <w:p w14:paraId="64A98997" w14:textId="68A51316" w:rsidR="005D77F3" w:rsidRPr="00A51A4D" w:rsidRDefault="00EE7ADA" w:rsidP="005D77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005D77F3" w:rsidRPr="00A51A4D">
        <w:rPr>
          <w:rFonts w:ascii="Times New Roman" w:hAnsi="Times New Roman" w:cs="Times New Roman"/>
          <w:sz w:val="28"/>
          <w:szCs w:val="28"/>
        </w:rPr>
        <w:t xml:space="preserve"> показатель объема закупок отдельными видами юридических лиц, участниками которых являются только субъекты малого и среднего предпринимательства, за год вырос не столь значительно – на 8% при необходимости обеспечения роста на 60,7% к 2020 году.</w:t>
      </w:r>
    </w:p>
    <w:p w14:paraId="5710641C" w14:textId="77777777" w:rsidR="005D77F3" w:rsidRPr="00A51A4D" w:rsidRDefault="005D77F3" w:rsidP="005D77F3">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Помимо общих для всех отраслей экономики ключевых показателей, в Приложении к Национальному плану установлен перечень ожидаемых результатов развития конкуренции в разрезе сфер (отраслей) экономики и видов деятельности. Ряд таких результатов носит измеримый характер и содержит установленные числовые индикаторы достижения результата.</w:t>
      </w:r>
    </w:p>
    <w:p w14:paraId="2ADD627C" w14:textId="0F4729B9" w:rsidR="005D77F3" w:rsidRPr="00A51A4D" w:rsidRDefault="005D77F3" w:rsidP="005D77F3">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Аналогичные ожидаемые результаты предусмотрены в пункте 4 раздела 1 Плана мероприятий («дорожной карты») по развитию конкуренции в отраслях экономики Р</w:t>
      </w:r>
      <w:r w:rsidR="00EE7ADA">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sidR="00EE7ADA">
        <w:rPr>
          <w:rFonts w:ascii="Times New Roman" w:hAnsi="Times New Roman" w:cs="Times New Roman"/>
          <w:sz w:val="28"/>
          <w:szCs w:val="28"/>
        </w:rPr>
        <w:t>едерации</w:t>
      </w:r>
      <w:r w:rsidRPr="00A51A4D">
        <w:rPr>
          <w:rFonts w:ascii="Times New Roman" w:hAnsi="Times New Roman" w:cs="Times New Roman"/>
          <w:sz w:val="28"/>
          <w:szCs w:val="28"/>
        </w:rPr>
        <w:t xml:space="preserve"> с указанием ответственных исполнителей и соисполнителей.</w:t>
      </w:r>
    </w:p>
    <w:p w14:paraId="0A18007F" w14:textId="77777777" w:rsidR="005D77F3" w:rsidRPr="00EE7ADA" w:rsidRDefault="005D77F3" w:rsidP="005D77F3">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В частности, в сфере дорожного строительства предусмотрен следующий ожидаемый результат: сокращение доли закупок, признанных несостоявшимися, с 30 процентов в 2017 году не менее чем на 5 процентов в год.</w:t>
      </w:r>
    </w:p>
    <w:p w14:paraId="55D7CC9F" w14:textId="77777777" w:rsidR="005D77F3" w:rsidRPr="00EE7ADA" w:rsidRDefault="005D77F3" w:rsidP="005D77F3">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 xml:space="preserve">В сфере телекоммуникаций предусмотрен следующий индикативный ожидаемый результат: обеспечение в не менее чем 80 процентах городов с численностью более 20 тыс. человек наличия не менее 3 операторов, предоставляющих услуги связи для целей передачи сигнала. </w:t>
      </w:r>
    </w:p>
    <w:p w14:paraId="52D1CA59" w14:textId="77777777" w:rsidR="005D77F3" w:rsidRPr="00EE7ADA" w:rsidRDefault="005D77F3" w:rsidP="005D77F3">
      <w:pPr>
        <w:autoSpaceDE w:val="0"/>
        <w:autoSpaceDN w:val="0"/>
        <w:adjustRightInd w:val="0"/>
        <w:spacing w:after="0" w:line="240" w:lineRule="auto"/>
        <w:ind w:firstLine="567"/>
        <w:jc w:val="both"/>
        <w:rPr>
          <w:rFonts w:ascii="Times New Roman" w:hAnsi="Times New Roman" w:cs="Times New Roman"/>
          <w:sz w:val="28"/>
          <w:szCs w:val="28"/>
        </w:rPr>
      </w:pPr>
      <w:r w:rsidRPr="00EE7ADA">
        <w:rPr>
          <w:rFonts w:ascii="Times New Roman" w:hAnsi="Times New Roman" w:cs="Times New Roman"/>
          <w:sz w:val="28"/>
          <w:szCs w:val="28"/>
        </w:rPr>
        <w:t>В сфере информационных технологий: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554CA953" w14:textId="77777777" w:rsidR="005D77F3" w:rsidRPr="00A51A4D" w:rsidRDefault="005D77F3" w:rsidP="005D77F3">
      <w:pPr>
        <w:autoSpaceDE w:val="0"/>
        <w:autoSpaceDN w:val="0"/>
        <w:adjustRightInd w:val="0"/>
        <w:spacing w:after="0" w:line="240" w:lineRule="auto"/>
        <w:ind w:firstLine="567"/>
        <w:jc w:val="both"/>
        <w:rPr>
          <w:rFonts w:ascii="Times New Roman" w:hAnsi="Times New Roman" w:cs="Times New Roman"/>
          <w:sz w:val="28"/>
          <w:szCs w:val="28"/>
        </w:rPr>
      </w:pPr>
      <w:r w:rsidRPr="00EE7ADA">
        <w:rPr>
          <w:rFonts w:ascii="Times New Roman" w:hAnsi="Times New Roman" w:cs="Times New Roman"/>
          <w:sz w:val="28"/>
          <w:szCs w:val="28"/>
        </w:rPr>
        <w:t>В сфере ЖКХ: сокращение</w:t>
      </w:r>
      <w:r w:rsidRPr="00A51A4D">
        <w:rPr>
          <w:rFonts w:ascii="Times New Roman" w:hAnsi="Times New Roman" w:cs="Times New Roman"/>
          <w:sz w:val="28"/>
          <w:szCs w:val="28"/>
        </w:rPr>
        <w:t xml:space="preserve"> в каждом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7908ABB1" w14:textId="77777777" w:rsidR="005D77F3" w:rsidRPr="00A51A4D" w:rsidRDefault="005D77F3" w:rsidP="005D77F3">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теплоснабжение - до 20 процентов в 2019 году и до 10 процентов в 2020 году;</w:t>
      </w:r>
    </w:p>
    <w:p w14:paraId="5CAF9DA2" w14:textId="77777777" w:rsidR="005D77F3" w:rsidRPr="00A51A4D" w:rsidRDefault="005D77F3" w:rsidP="005D77F3">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водоснабжение - до 20 процентов в 2019 году и до 10 процентов в 2020 году;</w:t>
      </w:r>
    </w:p>
    <w:p w14:paraId="583F4543" w14:textId="77777777" w:rsidR="005D77F3" w:rsidRPr="00A51A4D" w:rsidRDefault="005D77F3" w:rsidP="005D77F3">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водоотведение - до 20 процентов в 2019 году и до 10 процентов в 2020 году.</w:t>
      </w:r>
    </w:p>
    <w:p w14:paraId="0E510D62" w14:textId="77777777" w:rsidR="005D77F3" w:rsidRPr="00A51A4D" w:rsidRDefault="005D77F3" w:rsidP="005D77F3">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На начало 2019 года данный показатель в среднем по Российской Федерации составляет:</w:t>
      </w:r>
    </w:p>
    <w:p w14:paraId="567B2D9C" w14:textId="77777777" w:rsidR="005D77F3" w:rsidRPr="00A51A4D" w:rsidRDefault="005D77F3" w:rsidP="005D77F3">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теплоснабжения – 19,8%;</w:t>
      </w:r>
    </w:p>
    <w:p w14:paraId="4E919EAD" w14:textId="77777777" w:rsidR="005D77F3" w:rsidRPr="00A51A4D" w:rsidRDefault="005D77F3" w:rsidP="005D77F3">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водоснабжения – 40,8%;</w:t>
      </w:r>
    </w:p>
    <w:p w14:paraId="438126FE" w14:textId="77777777" w:rsidR="005D77F3" w:rsidRPr="00A51A4D" w:rsidRDefault="005D77F3" w:rsidP="005D77F3">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водоотведения – 50,4%.</w:t>
      </w:r>
    </w:p>
    <w:p w14:paraId="4CC1B770" w14:textId="77777777" w:rsidR="005D77F3" w:rsidRPr="00A51A4D" w:rsidRDefault="005D77F3" w:rsidP="005D77F3">
      <w:pPr>
        <w:autoSpaceDE w:val="0"/>
        <w:autoSpaceDN w:val="0"/>
        <w:adjustRightInd w:val="0"/>
        <w:spacing w:after="0" w:line="240" w:lineRule="auto"/>
        <w:ind w:firstLine="709"/>
        <w:jc w:val="both"/>
        <w:rPr>
          <w:rFonts w:ascii="Times New Roman" w:hAnsi="Times New Roman" w:cs="Times New Roman"/>
          <w:sz w:val="28"/>
          <w:szCs w:val="28"/>
        </w:rPr>
      </w:pPr>
    </w:p>
    <w:p w14:paraId="3EA7235F" w14:textId="77777777" w:rsidR="005D77F3" w:rsidRPr="00A51A4D" w:rsidRDefault="005D77F3" w:rsidP="005D77F3">
      <w:pPr>
        <w:autoSpaceDE w:val="0"/>
        <w:autoSpaceDN w:val="0"/>
        <w:adjustRightInd w:val="0"/>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выполнении мероприятий,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2D04CBA1" w14:textId="77777777" w:rsidR="005D77F3" w:rsidRDefault="005D77F3" w:rsidP="005D77F3">
      <w:pPr>
        <w:autoSpaceDE w:val="0"/>
        <w:autoSpaceDN w:val="0"/>
        <w:adjustRightInd w:val="0"/>
        <w:spacing w:after="0" w:line="240" w:lineRule="auto"/>
        <w:ind w:firstLine="709"/>
        <w:jc w:val="both"/>
        <w:rPr>
          <w:rFonts w:ascii="Times New Roman" w:hAnsi="Times New Roman" w:cs="Times New Roman"/>
          <w:b/>
          <w:sz w:val="28"/>
          <w:szCs w:val="28"/>
        </w:rPr>
      </w:pPr>
    </w:p>
    <w:p w14:paraId="2C04AA58"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A51A4D">
        <w:rPr>
          <w:rFonts w:ascii="Times New Roman" w:hAnsi="Times New Roman" w:cs="Times New Roman"/>
          <w:sz w:val="28"/>
          <w:szCs w:val="28"/>
        </w:rPr>
        <w:t xml:space="preserve">Постановлением Правительства Российской Федерации от 22.12.2018 </w:t>
      </w:r>
      <w:r>
        <w:rPr>
          <w:rFonts w:ascii="Times New Roman" w:hAnsi="Times New Roman" w:cs="Times New Roman"/>
          <w:sz w:val="28"/>
          <w:szCs w:val="28"/>
        </w:rPr>
        <w:t xml:space="preserve">  </w:t>
      </w:r>
      <w:r w:rsidRPr="00A51A4D">
        <w:rPr>
          <w:rFonts w:ascii="Times New Roman" w:hAnsi="Times New Roman" w:cs="Times New Roman"/>
          <w:sz w:val="28"/>
          <w:szCs w:val="28"/>
        </w:rPr>
        <w:t>№ 1640 утверждены Правила недискриминационного доступа на товарный рынок услуг общедоступной почтовой связи.</w:t>
      </w:r>
    </w:p>
    <w:p w14:paraId="4A07B70D" w14:textId="50DF1194" w:rsidR="005D77F3" w:rsidRPr="00A51A4D" w:rsidRDefault="0017161F" w:rsidP="005D77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Указанные п</w:t>
      </w:r>
      <w:r w:rsidR="005D77F3" w:rsidRPr="00A51A4D">
        <w:rPr>
          <w:rFonts w:ascii="Times New Roman" w:hAnsi="Times New Roman" w:cs="Times New Roman"/>
          <w:sz w:val="28"/>
          <w:szCs w:val="28"/>
        </w:rPr>
        <w:t>равила определяют условия и порядок обеспечения недискриминационного доступа к услугам, оказываемым с использованием сети общедоступной почтовой связи, реализуемым субъектами естественных монополий, в отношении которых применяется регулирование в соответствии с Федеральным законом «О естественных монополиях» и направлены на:</w:t>
      </w:r>
    </w:p>
    <w:p w14:paraId="250659B2"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пользователям услуг межоператорского обмена возможности оказания этих услуг;</w:t>
      </w:r>
    </w:p>
    <w:p w14:paraId="7FABD1AF"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недискриминационного доступа к услугам межоператорского обмена для пользователей услугами межоператорского обмена, получающих доступ в сопоставимых условиях;</w:t>
      </w:r>
    </w:p>
    <w:p w14:paraId="7D982679"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защиту и развитие конкуренции в сфере услуг общедоступной почтовой связи.</w:t>
      </w:r>
    </w:p>
    <w:p w14:paraId="5108F28E"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A51A4D">
        <w:rPr>
          <w:rFonts w:ascii="Times New Roman" w:hAnsi="Times New Roman" w:cs="Times New Roman"/>
          <w:sz w:val="28"/>
          <w:szCs w:val="28"/>
        </w:rPr>
        <w:t xml:space="preserve">Постановлением Правительства Российской Федерации от 20.10.2017 </w:t>
      </w:r>
      <w:r>
        <w:rPr>
          <w:rFonts w:ascii="Times New Roman" w:hAnsi="Times New Roman" w:cs="Times New Roman"/>
          <w:sz w:val="28"/>
          <w:szCs w:val="28"/>
        </w:rPr>
        <w:t xml:space="preserve">  </w:t>
      </w:r>
      <w:r w:rsidRPr="00A51A4D">
        <w:rPr>
          <w:rFonts w:ascii="Times New Roman" w:hAnsi="Times New Roman" w:cs="Times New Roman"/>
          <w:sz w:val="28"/>
          <w:szCs w:val="28"/>
        </w:rPr>
        <w:t xml:space="preserve">№ 1285 </w:t>
      </w:r>
      <w:r>
        <w:rPr>
          <w:rFonts w:ascii="Times New Roman" w:hAnsi="Times New Roman" w:cs="Times New Roman"/>
          <w:sz w:val="28"/>
          <w:szCs w:val="28"/>
        </w:rPr>
        <w:t>у</w:t>
      </w:r>
      <w:r w:rsidRPr="00A51A4D">
        <w:rPr>
          <w:rFonts w:ascii="Times New Roman" w:hAnsi="Times New Roman" w:cs="Times New Roman"/>
          <w:sz w:val="28"/>
          <w:szCs w:val="28"/>
        </w:rPr>
        <w:t>тверждены Правила недискриминационного доступа к услугам субъектов естественных монополий в портах.</w:t>
      </w:r>
    </w:p>
    <w:p w14:paraId="5F4E2280" w14:textId="5AF11339"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Указанные </w:t>
      </w:r>
      <w:r w:rsidR="005A5421">
        <w:rPr>
          <w:rFonts w:ascii="Times New Roman" w:hAnsi="Times New Roman" w:cs="Times New Roman"/>
          <w:sz w:val="28"/>
          <w:szCs w:val="28"/>
        </w:rPr>
        <w:t>п</w:t>
      </w:r>
      <w:r w:rsidRPr="00A51A4D">
        <w:rPr>
          <w:rFonts w:ascii="Times New Roman" w:hAnsi="Times New Roman" w:cs="Times New Roman"/>
          <w:sz w:val="28"/>
          <w:szCs w:val="28"/>
        </w:rPr>
        <w:t xml:space="preserve">равила регламентируют принципы доступа грузоотправителей к </w:t>
      </w:r>
      <w:r w:rsidR="00CC2B7A">
        <w:rPr>
          <w:rFonts w:ascii="Times New Roman" w:hAnsi="Times New Roman" w:cs="Times New Roman"/>
          <w:sz w:val="28"/>
          <w:szCs w:val="28"/>
        </w:rPr>
        <w:t>услугам в портах, устанавливают</w:t>
      </w:r>
      <w:r w:rsidRPr="00A51A4D">
        <w:rPr>
          <w:rFonts w:ascii="Times New Roman" w:hAnsi="Times New Roman" w:cs="Times New Roman"/>
          <w:sz w:val="28"/>
          <w:szCs w:val="28"/>
        </w:rPr>
        <w:t xml:space="preserve"> обязанность стивидоров вести реестр заявок и создавать равные условия для клиентов, а также запрет отказов заключения договора при наличии мощностей.</w:t>
      </w:r>
    </w:p>
    <w:p w14:paraId="538E7E70" w14:textId="785DA232" w:rsidR="005D77F3" w:rsidRPr="00A51A4D" w:rsidRDefault="005D77F3" w:rsidP="005D77F3">
      <w:pPr>
        <w:spacing w:before="120" w:after="0" w:line="240" w:lineRule="auto"/>
        <w:ind w:firstLine="709"/>
        <w:jc w:val="both"/>
        <w:rPr>
          <w:rFonts w:ascii="Times New Roman" w:hAnsi="Times New Roman" w:cs="Times New Roman"/>
          <w:sz w:val="28"/>
          <w:szCs w:val="28"/>
        </w:rPr>
      </w:pPr>
      <w:r w:rsidRPr="000807D3">
        <w:rPr>
          <w:rFonts w:ascii="Times New Roman" w:hAnsi="Times New Roman" w:cs="Times New Roman"/>
          <w:sz w:val="28"/>
          <w:szCs w:val="28"/>
        </w:rPr>
        <w:t>3.</w:t>
      </w:r>
      <w:r w:rsidRPr="00A51A4D">
        <w:rPr>
          <w:rFonts w:ascii="Times New Roman" w:hAnsi="Times New Roman" w:cs="Times New Roman"/>
          <w:sz w:val="28"/>
          <w:szCs w:val="28"/>
        </w:rPr>
        <w:t xml:space="preserve"> Разработаны мероприятия, направленные на системное </w:t>
      </w:r>
      <w:r w:rsidRPr="00A51A4D">
        <w:rPr>
          <w:rFonts w:ascii="Times New Roman" w:hAnsi="Times New Roman" w:cs="Times New Roman"/>
          <w:b/>
          <w:sz w:val="28"/>
          <w:szCs w:val="28"/>
        </w:rPr>
        <w:t>развитие организованных торгов на товарных рынках</w:t>
      </w:r>
      <w:r w:rsidRPr="00A51A4D">
        <w:rPr>
          <w:rFonts w:ascii="Times New Roman" w:hAnsi="Times New Roman" w:cs="Times New Roman"/>
          <w:sz w:val="28"/>
          <w:szCs w:val="28"/>
        </w:rPr>
        <w:t>, включающий в себя</w:t>
      </w:r>
      <w:r w:rsidR="008C68C4">
        <w:rPr>
          <w:rFonts w:ascii="Times New Roman" w:hAnsi="Times New Roman" w:cs="Times New Roman"/>
          <w:sz w:val="28"/>
          <w:szCs w:val="28"/>
        </w:rPr>
        <w:t>,</w:t>
      </w:r>
      <w:r w:rsidRPr="00A51A4D">
        <w:rPr>
          <w:rFonts w:ascii="Times New Roman" w:hAnsi="Times New Roman" w:cs="Times New Roman"/>
          <w:sz w:val="28"/>
          <w:szCs w:val="28"/>
        </w:rPr>
        <w:t xml:space="preserve"> в том числе механизмы формирования ключевых товарных позиций, установления рыночных цен на соответствующие группы товаров, стимулирования и привлечения хозяйствующих субъектов к участию в биржевых торгах, использования потенциала малых и средних предприятий для развития организованных торгов.</w:t>
      </w:r>
    </w:p>
    <w:p w14:paraId="1C9564C8"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0807D3">
        <w:rPr>
          <w:rFonts w:ascii="Times New Roman" w:hAnsi="Times New Roman" w:cs="Times New Roman"/>
          <w:sz w:val="28"/>
          <w:szCs w:val="28"/>
        </w:rPr>
        <w:t>4.</w:t>
      </w:r>
      <w:r w:rsidRPr="00A51A4D">
        <w:rPr>
          <w:rFonts w:ascii="Times New Roman" w:hAnsi="Times New Roman" w:cs="Times New Roman"/>
          <w:sz w:val="28"/>
          <w:szCs w:val="28"/>
        </w:rPr>
        <w:t xml:space="preserve"> ФАС России разработаны и представлены в Минфин России предложения по реализации мероприятий, направленных на разработку и </w:t>
      </w:r>
      <w:r w:rsidRPr="00A51A4D">
        <w:rPr>
          <w:rFonts w:ascii="Times New Roman" w:hAnsi="Times New Roman" w:cs="Times New Roman"/>
          <w:b/>
          <w:sz w:val="28"/>
          <w:szCs w:val="28"/>
        </w:rPr>
        <w:t>принятие компаниями из числа субъектов естественных монополий и компаний с государственным участием</w:t>
      </w:r>
      <w:r w:rsidRPr="00A51A4D">
        <w:rPr>
          <w:rFonts w:ascii="Times New Roman" w:hAnsi="Times New Roman" w:cs="Times New Roman"/>
          <w:sz w:val="28"/>
          <w:szCs w:val="28"/>
        </w:rPr>
        <w:t>, если стоимость их активов (активов их групп лиц) по бухгалтерскому балансу по состоянию на последнюю отчетную дату превышает семь миллиардов рублей или выручка таких организаций (их групп лиц) от реализации товаров за последний календарный год превышает десять миллиардов рублей:</w:t>
      </w:r>
    </w:p>
    <w:p w14:paraId="2A481B2F"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правил недискриминационного доступа поставщиков к закупкам; </w:t>
      </w:r>
    </w:p>
    <w:p w14:paraId="2B479B57"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планов сокращения практики заключения договоров с «единственным поставщиком» в закупочной деятельности; </w:t>
      </w:r>
    </w:p>
    <w:p w14:paraId="751F1418"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программ по повышению качества управления закупочной деятельностью, предусматривающих разработку показателей эффективности таких программ, оценку и повышение квалификации персонала, ответственного за осуществление закупочной деятельности.</w:t>
      </w:r>
    </w:p>
    <w:p w14:paraId="4452E577"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0807D3">
        <w:rPr>
          <w:rFonts w:ascii="Times New Roman" w:hAnsi="Times New Roman" w:cs="Times New Roman"/>
          <w:sz w:val="28"/>
          <w:szCs w:val="28"/>
        </w:rPr>
        <w:t>5.</w:t>
      </w:r>
      <w:r>
        <w:rPr>
          <w:rFonts w:ascii="Times New Roman" w:hAnsi="Times New Roman" w:cs="Times New Roman"/>
          <w:b/>
          <w:sz w:val="28"/>
          <w:szCs w:val="28"/>
        </w:rPr>
        <w:t xml:space="preserve"> </w:t>
      </w:r>
      <w:r w:rsidRPr="00A51A4D">
        <w:rPr>
          <w:rFonts w:ascii="Times New Roman" w:hAnsi="Times New Roman" w:cs="Times New Roman"/>
          <w:sz w:val="28"/>
          <w:szCs w:val="28"/>
        </w:rPr>
        <w:t xml:space="preserve">В целях принятия мер, направленных </w:t>
      </w:r>
      <w:r w:rsidRPr="00A51A4D">
        <w:rPr>
          <w:rFonts w:ascii="Times New Roman" w:hAnsi="Times New Roman" w:cs="Times New Roman"/>
          <w:b/>
          <w:sz w:val="28"/>
          <w:szCs w:val="28"/>
        </w:rPr>
        <w:t>на создание и организацию системы внутреннего обеспечения соответствия требованиям антимонопольного законодательства</w:t>
      </w:r>
      <w:r w:rsidRPr="00A51A4D">
        <w:rPr>
          <w:rFonts w:ascii="Times New Roman" w:hAnsi="Times New Roman" w:cs="Times New Roman"/>
          <w:sz w:val="28"/>
          <w:szCs w:val="28"/>
        </w:rPr>
        <w:t xml:space="preserve"> деятельности федеральных органов исполнительной власти,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3B39CCBD"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Кроме того, принятие федеральными органами исполнительной власти правовых актов об организации системы внутреннего обеспечения соответствия требованиям антимонопольного законодательства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w:t>
      </w:r>
    </w:p>
    <w:p w14:paraId="33704594"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настоящее время приняли правовые акты об организации системы внутреннего обеспечения соответствия требованиям антимонопольного законодательства 12 федеральных органов исполнительной власти.</w:t>
      </w:r>
    </w:p>
    <w:p w14:paraId="752A0D36"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6A16B6">
        <w:rPr>
          <w:rFonts w:ascii="Times New Roman" w:hAnsi="Times New Roman" w:cs="Times New Roman"/>
          <w:sz w:val="28"/>
          <w:szCs w:val="28"/>
        </w:rPr>
        <w:t>6.</w:t>
      </w:r>
      <w:r w:rsidRPr="00A51A4D">
        <w:rPr>
          <w:rFonts w:ascii="Times New Roman" w:hAnsi="Times New Roman" w:cs="Times New Roman"/>
          <w:sz w:val="28"/>
          <w:szCs w:val="28"/>
        </w:rPr>
        <w:t xml:space="preserve"> ФАС России подготовлены и представлены предложения в Минэкономразвития России </w:t>
      </w:r>
      <w:r w:rsidRPr="00A51A4D">
        <w:rPr>
          <w:rFonts w:ascii="Times New Roman" w:hAnsi="Times New Roman" w:cs="Times New Roman"/>
          <w:b/>
          <w:sz w:val="28"/>
          <w:szCs w:val="28"/>
        </w:rPr>
        <w:t>по расширению перечня социально значимых рынков</w:t>
      </w:r>
      <w:r w:rsidRPr="00A51A4D">
        <w:rPr>
          <w:rFonts w:ascii="Times New Roman" w:hAnsi="Times New Roman" w:cs="Times New Roman"/>
          <w:sz w:val="28"/>
          <w:szCs w:val="28"/>
        </w:rPr>
        <w:t>, предусмотренных стандартом развития конкуренции в субъектах Российской Федерации, для рассмотрения и подготовки соответствующих изменений.</w:t>
      </w:r>
    </w:p>
    <w:p w14:paraId="6949D7A3" w14:textId="77777777" w:rsidR="005D77F3" w:rsidRDefault="005D77F3" w:rsidP="003D21A3">
      <w:pPr>
        <w:spacing w:after="0" w:line="240" w:lineRule="auto"/>
        <w:ind w:firstLine="709"/>
        <w:jc w:val="both"/>
        <w:rPr>
          <w:rFonts w:ascii="Times New Roman" w:hAnsi="Times New Roman" w:cs="Times New Roman"/>
          <w:sz w:val="28"/>
          <w:szCs w:val="28"/>
        </w:rPr>
      </w:pPr>
      <w:r w:rsidRPr="00416EE4">
        <w:rPr>
          <w:rFonts w:ascii="Times New Roman" w:hAnsi="Times New Roman" w:cs="Times New Roman"/>
          <w:sz w:val="28"/>
          <w:szCs w:val="28"/>
        </w:rPr>
        <w:t>7.</w:t>
      </w:r>
      <w:r w:rsidRPr="00A51A4D">
        <w:rPr>
          <w:rFonts w:ascii="Times New Roman" w:hAnsi="Times New Roman" w:cs="Times New Roman"/>
          <w:sz w:val="28"/>
          <w:szCs w:val="28"/>
        </w:rPr>
        <w:t xml:space="preserve"> В целях обеспечения </w:t>
      </w:r>
      <w:r w:rsidRPr="00A51A4D">
        <w:rPr>
          <w:rFonts w:ascii="Times New Roman" w:hAnsi="Times New Roman" w:cs="Times New Roman"/>
          <w:b/>
          <w:sz w:val="28"/>
          <w:szCs w:val="28"/>
        </w:rPr>
        <w:t>взаимодействия с органами исполнительной власти</w:t>
      </w:r>
      <w:r w:rsidRPr="00A51A4D">
        <w:rPr>
          <w:rFonts w:ascii="Times New Roman" w:hAnsi="Times New Roman" w:cs="Times New Roman"/>
          <w:sz w:val="28"/>
          <w:szCs w:val="28"/>
        </w:rPr>
        <w:t xml:space="preserve"> субъектов Российской Федерации и органами местного самоуправления в целях реализации Национального плана ФАС России заключены Соглашения о взаимодействии с 84 субъектами Российской Федерации.</w:t>
      </w:r>
    </w:p>
    <w:p w14:paraId="0C23F4CA" w14:textId="5B4F09FD" w:rsidR="003D21A3" w:rsidRPr="00A718B2" w:rsidRDefault="003D21A3" w:rsidP="003D21A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8. </w:t>
      </w:r>
      <w:r w:rsidR="008C68C4">
        <w:rPr>
          <w:rFonts w:ascii="Times New Roman" w:hAnsi="Times New Roman"/>
          <w:sz w:val="28"/>
          <w:szCs w:val="28"/>
        </w:rPr>
        <w:t>В соответствии с пунктом «б» части</w:t>
      </w:r>
      <w:r w:rsidRPr="00A718B2">
        <w:rPr>
          <w:rFonts w:ascii="Times New Roman" w:hAnsi="Times New Roman"/>
          <w:sz w:val="28"/>
          <w:szCs w:val="28"/>
        </w:rPr>
        <w:t xml:space="preserve"> 2 </w:t>
      </w:r>
      <w:r w:rsidRPr="00384394">
        <w:rPr>
          <w:rFonts w:ascii="Times New Roman" w:hAnsi="Times New Roman"/>
          <w:sz w:val="28"/>
          <w:szCs w:val="28"/>
        </w:rPr>
        <w:t>Национальн</w:t>
      </w:r>
      <w:r>
        <w:rPr>
          <w:rFonts w:ascii="Times New Roman" w:hAnsi="Times New Roman"/>
          <w:sz w:val="28"/>
          <w:szCs w:val="28"/>
        </w:rPr>
        <w:t xml:space="preserve">ого плана развития конкуренции </w:t>
      </w:r>
      <w:r w:rsidRPr="004500D5">
        <w:rPr>
          <w:rFonts w:ascii="Times New Roman" w:hAnsi="Times New Roman"/>
          <w:sz w:val="28"/>
          <w:szCs w:val="28"/>
        </w:rPr>
        <w:t>Федеральной</w:t>
      </w:r>
      <w:r w:rsidRPr="00A718B2">
        <w:rPr>
          <w:rFonts w:ascii="Times New Roman" w:hAnsi="Times New Roman"/>
          <w:sz w:val="28"/>
          <w:szCs w:val="28"/>
        </w:rPr>
        <w:t xml:space="preserve"> антимонопольной службе по согласованию с Министерством иностранных дел Российской Федерации и Министерством экономического развития Российской Федерации</w:t>
      </w:r>
      <w:r>
        <w:rPr>
          <w:rFonts w:ascii="Times New Roman" w:hAnsi="Times New Roman"/>
          <w:sz w:val="28"/>
          <w:szCs w:val="28"/>
        </w:rPr>
        <w:t xml:space="preserve"> поручено</w:t>
      </w:r>
      <w:r w:rsidRPr="00A718B2">
        <w:rPr>
          <w:rFonts w:ascii="Times New Roman" w:hAnsi="Times New Roman"/>
          <w:sz w:val="28"/>
          <w:szCs w:val="28"/>
        </w:rPr>
        <w:t xml:space="preserve"> обеспечить развитие международного сотрудничества с конкурентными ведомствами стран БРИКС и Евразийского экономического союза, в том числе разработку и заключение международных договоров, направленных на выявление и пресечение антиконкурентных соглашений и недобросовестных конкурентных практик</w:t>
      </w:r>
      <w:r w:rsidRPr="00DB3411">
        <w:rPr>
          <w:rFonts w:ascii="Times New Roman" w:hAnsi="Times New Roman"/>
          <w:sz w:val="28"/>
          <w:szCs w:val="28"/>
        </w:rPr>
        <w:t xml:space="preserve"> </w:t>
      </w:r>
      <w:r w:rsidRPr="00A718B2">
        <w:rPr>
          <w:rFonts w:ascii="Times New Roman" w:hAnsi="Times New Roman"/>
          <w:sz w:val="28"/>
          <w:szCs w:val="28"/>
        </w:rPr>
        <w:t>на трансграничных рынках.</w:t>
      </w:r>
    </w:p>
    <w:p w14:paraId="5A72A4A6" w14:textId="77777777" w:rsidR="003D21A3" w:rsidRPr="00A718B2" w:rsidRDefault="003D21A3" w:rsidP="003D21A3">
      <w:pPr>
        <w:spacing w:after="0" w:line="240" w:lineRule="auto"/>
        <w:ind w:firstLine="709"/>
        <w:jc w:val="both"/>
        <w:rPr>
          <w:rFonts w:ascii="Times New Roman" w:hAnsi="Times New Roman"/>
          <w:sz w:val="28"/>
          <w:szCs w:val="28"/>
        </w:rPr>
      </w:pPr>
      <w:r w:rsidRPr="00A718B2">
        <w:rPr>
          <w:rFonts w:ascii="Times New Roman" w:hAnsi="Times New Roman"/>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sz w:val="28"/>
          <w:szCs w:val="28"/>
        </w:rPr>
        <w:t>ми</w:t>
      </w:r>
      <w:r w:rsidRPr="00A718B2">
        <w:rPr>
          <w:rFonts w:ascii="Times New Roman" w:hAnsi="Times New Roman"/>
          <w:sz w:val="28"/>
          <w:szCs w:val="28"/>
        </w:rPr>
        <w:t xml:space="preserve"> трансграничный характер</w:t>
      </w:r>
      <w:r>
        <w:rPr>
          <w:rFonts w:ascii="Times New Roman" w:hAnsi="Times New Roman"/>
          <w:sz w:val="28"/>
          <w:szCs w:val="28"/>
        </w:rPr>
        <w:t>,</w:t>
      </w:r>
      <w:r w:rsidRPr="00A718B2">
        <w:rPr>
          <w:rFonts w:ascii="Times New Roman" w:hAnsi="Times New Roman"/>
          <w:sz w:val="28"/>
          <w:szCs w:val="28"/>
        </w:rPr>
        <w:t xml:space="preserve"> ФАС России с участием МИД России, Минюста России, Минэкономразвития, МВД России, Следственного комитета Российской Федерации, Генеральной прокуратуры Российской Федерации, Института государства и права РАН, Института права и развития ВШЭ-Сколково, Академии Генеральной прокуратуры Российской Федерации разработан проект конвенции «О борьбе с картелями». </w:t>
      </w:r>
    </w:p>
    <w:p w14:paraId="7B236824" w14:textId="77777777" w:rsidR="003D21A3" w:rsidRPr="00A718B2" w:rsidRDefault="003D21A3" w:rsidP="003D21A3">
      <w:pPr>
        <w:spacing w:after="0" w:line="240" w:lineRule="auto"/>
        <w:ind w:firstLine="709"/>
        <w:jc w:val="both"/>
        <w:rPr>
          <w:rFonts w:ascii="Times New Roman" w:hAnsi="Times New Roman"/>
          <w:sz w:val="28"/>
          <w:szCs w:val="28"/>
        </w:rPr>
      </w:pPr>
      <w:r w:rsidRPr="00A718B2">
        <w:rPr>
          <w:rFonts w:ascii="Times New Roman" w:hAnsi="Times New Roman"/>
          <w:sz w:val="28"/>
          <w:szCs w:val="28"/>
        </w:rPr>
        <w:t>На сегодняшний день проект Конвенции концептуально одобрен представителями государств-участников Евразийского экономического союза (ЕАЭС). Ведется работа по дальнейшему продвижению проекта Конвенции в рамках БРИКС и СНГ.</w:t>
      </w:r>
    </w:p>
    <w:p w14:paraId="185F263D" w14:textId="77777777" w:rsidR="003D21A3" w:rsidRDefault="003D21A3" w:rsidP="003D21A3">
      <w:pPr>
        <w:spacing w:after="0" w:line="240" w:lineRule="auto"/>
        <w:ind w:firstLine="709"/>
        <w:jc w:val="both"/>
        <w:rPr>
          <w:rFonts w:ascii="Times New Roman" w:hAnsi="Times New Roman"/>
          <w:sz w:val="28"/>
          <w:szCs w:val="28"/>
        </w:rPr>
      </w:pPr>
      <w:r w:rsidRPr="00A718B2">
        <w:rPr>
          <w:rFonts w:ascii="Times New Roman" w:hAnsi="Times New Roman"/>
          <w:sz w:val="28"/>
          <w:szCs w:val="28"/>
        </w:rPr>
        <w:t>Проект Конвенции по борьбе с картелями также обсуждался в рамках   46-го заседания Межгосударственного совета по антимонопольной политике (МСАП), который состоялся 17 марта 2017 года в г. Кишинев (Молдова). В рамках данного заседания МСАП принято решение об одобрении</w:t>
      </w:r>
      <w:r>
        <w:rPr>
          <w:rFonts w:ascii="Times New Roman" w:hAnsi="Times New Roman"/>
          <w:sz w:val="28"/>
          <w:szCs w:val="28"/>
        </w:rPr>
        <w:t>,</w:t>
      </w:r>
      <w:r w:rsidRPr="00A718B2">
        <w:rPr>
          <w:rFonts w:ascii="Times New Roman" w:hAnsi="Times New Roman"/>
          <w:sz w:val="28"/>
          <w:szCs w:val="28"/>
        </w:rPr>
        <w:t xml:space="preserve"> в целом</w:t>
      </w:r>
      <w:r>
        <w:rPr>
          <w:rFonts w:ascii="Times New Roman" w:hAnsi="Times New Roman"/>
          <w:sz w:val="28"/>
          <w:szCs w:val="28"/>
        </w:rPr>
        <w:t>,</w:t>
      </w:r>
      <w:r w:rsidRPr="00A718B2">
        <w:rPr>
          <w:rFonts w:ascii="Times New Roman" w:hAnsi="Times New Roman"/>
          <w:sz w:val="28"/>
          <w:szCs w:val="28"/>
        </w:rPr>
        <w:t xml:space="preserve"> проекта Конвенции о борьбе с картелями в качестве базового проекта для дальнейшего продвижения на международных площадках в виде совместной инициативы государств-участников СНГ.</w:t>
      </w:r>
    </w:p>
    <w:p w14:paraId="243F9297" w14:textId="023F24DA" w:rsidR="003D21A3" w:rsidRDefault="003D21A3" w:rsidP="008C68C4">
      <w:pPr>
        <w:spacing w:after="0" w:line="240" w:lineRule="auto"/>
        <w:ind w:firstLine="709"/>
        <w:jc w:val="both"/>
        <w:rPr>
          <w:rFonts w:ascii="Times New Roman" w:hAnsi="Times New Roman"/>
          <w:sz w:val="28"/>
          <w:szCs w:val="28"/>
        </w:rPr>
      </w:pPr>
      <w:r w:rsidRPr="00A718B2">
        <w:rPr>
          <w:rFonts w:ascii="Times New Roman" w:hAnsi="Times New Roman"/>
          <w:sz w:val="28"/>
          <w:szCs w:val="28"/>
        </w:rPr>
        <w:t xml:space="preserve">Кроме того, в рамках заседания принято решение </w:t>
      </w:r>
      <w:r>
        <w:rPr>
          <w:rFonts w:ascii="Times New Roman" w:hAnsi="Times New Roman"/>
          <w:sz w:val="28"/>
          <w:szCs w:val="28"/>
        </w:rPr>
        <w:t>п</w:t>
      </w:r>
      <w:r w:rsidRPr="00A718B2">
        <w:rPr>
          <w:rFonts w:ascii="Times New Roman" w:hAnsi="Times New Roman"/>
          <w:sz w:val="28"/>
          <w:szCs w:val="28"/>
        </w:rPr>
        <w:t>росить Исполнительный комитет СНГ оказать содействие Межгосударственному совету по антимонопольной политике в подготовке необходимых проектов документов, направленных на консолидацию усилий мирового сообщества для эффективной борьбы с международными картелями, и их дальнейшего рассмотрения в установленном порядке. В настоящее время Заявления глав правительств государств - участников Содружества Независимых Государств о консолидации усилий мирового сообщества для эффективного противодействия международным картелям принято в качестве официального документа 72-й сессии Генеральной Ассамблеи ООН в повестке дня «Вопросы макроэкономической политики: международная торговля и развитие».</w:t>
      </w:r>
    </w:p>
    <w:p w14:paraId="160254D7" w14:textId="035DA746" w:rsidR="003D21A3" w:rsidRDefault="008C68C4" w:rsidP="003D21A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пунктом «д» части </w:t>
      </w:r>
      <w:r w:rsidR="003D21A3" w:rsidRPr="00A718B2">
        <w:rPr>
          <w:rFonts w:ascii="Times New Roman" w:hAnsi="Times New Roman"/>
          <w:sz w:val="28"/>
          <w:szCs w:val="28"/>
        </w:rPr>
        <w:t xml:space="preserve"> 2 Плана Министерству внутренних дел Российской Федерации, Следственному комитету Российской Федерации и Федеральной службе безопасности Российской Федерации</w:t>
      </w:r>
      <w:r w:rsidR="003D21A3">
        <w:rPr>
          <w:rFonts w:ascii="Times New Roman" w:hAnsi="Times New Roman"/>
          <w:sz w:val="28"/>
          <w:szCs w:val="28"/>
        </w:rPr>
        <w:t xml:space="preserve"> поручено</w:t>
      </w:r>
      <w:r w:rsidR="003D21A3" w:rsidRPr="00A718B2">
        <w:rPr>
          <w:rFonts w:ascii="Times New Roman" w:hAnsi="Times New Roman"/>
          <w:sz w:val="28"/>
          <w:szCs w:val="28"/>
        </w:rPr>
        <w:t xml:space="preserve"> обеспечить организацию в пределах своих полномочий во взаимодействии с федеральными органами исполнительной власти выявления, предупреждения, пресечения и раскрытия ограничивающих конкуренцию соглашений (картелей), запрещенных в соответствии с антимонопольным законодательством. </w:t>
      </w:r>
    </w:p>
    <w:p w14:paraId="727D7A12" w14:textId="75F96297" w:rsidR="003D21A3" w:rsidRDefault="008C68C4" w:rsidP="003D21A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пунктом «б» части </w:t>
      </w:r>
      <w:r w:rsidR="003D21A3">
        <w:rPr>
          <w:rFonts w:ascii="Times New Roman" w:hAnsi="Times New Roman"/>
          <w:sz w:val="28"/>
          <w:szCs w:val="28"/>
        </w:rPr>
        <w:t>8 У</w:t>
      </w:r>
      <w:r w:rsidR="003D21A3" w:rsidRPr="00D712A5">
        <w:rPr>
          <w:rFonts w:ascii="Times New Roman" w:hAnsi="Times New Roman"/>
          <w:sz w:val="28"/>
          <w:szCs w:val="28"/>
        </w:rPr>
        <w:t>каз</w:t>
      </w:r>
      <w:r w:rsidR="003D21A3">
        <w:rPr>
          <w:rFonts w:ascii="Times New Roman" w:hAnsi="Times New Roman"/>
          <w:sz w:val="28"/>
          <w:szCs w:val="28"/>
        </w:rPr>
        <w:t>а Президента Российской Ф</w:t>
      </w:r>
      <w:r w:rsidR="003D21A3" w:rsidRPr="00D712A5">
        <w:rPr>
          <w:rFonts w:ascii="Times New Roman" w:hAnsi="Times New Roman"/>
          <w:sz w:val="28"/>
          <w:szCs w:val="28"/>
        </w:rPr>
        <w:t>едерации</w:t>
      </w:r>
      <w:r w:rsidR="003D21A3">
        <w:rPr>
          <w:rFonts w:ascii="Times New Roman" w:hAnsi="Times New Roman"/>
          <w:sz w:val="28"/>
          <w:szCs w:val="28"/>
        </w:rPr>
        <w:t xml:space="preserve"> </w:t>
      </w:r>
      <w:r>
        <w:rPr>
          <w:rFonts w:ascii="Times New Roman" w:hAnsi="Times New Roman"/>
          <w:sz w:val="28"/>
          <w:szCs w:val="28"/>
        </w:rPr>
        <w:t>№ 618</w:t>
      </w:r>
      <w:r w:rsidR="003D21A3">
        <w:rPr>
          <w:rFonts w:ascii="Times New Roman" w:hAnsi="Times New Roman"/>
          <w:sz w:val="28"/>
          <w:szCs w:val="28"/>
        </w:rPr>
        <w:t xml:space="preserve"> </w:t>
      </w:r>
      <w:r w:rsidR="003D21A3" w:rsidRPr="00D712A5">
        <w:rPr>
          <w:rFonts w:ascii="Times New Roman" w:hAnsi="Times New Roman"/>
          <w:sz w:val="28"/>
          <w:szCs w:val="28"/>
        </w:rPr>
        <w:t>Генеральной прокуратуре Российской Федерации</w:t>
      </w:r>
      <w:r w:rsidR="003D21A3">
        <w:rPr>
          <w:rFonts w:ascii="Times New Roman" w:hAnsi="Times New Roman"/>
          <w:sz w:val="28"/>
          <w:szCs w:val="28"/>
        </w:rPr>
        <w:t xml:space="preserve"> поручено</w:t>
      </w:r>
      <w:r w:rsidR="003D21A3" w:rsidRPr="00D712A5">
        <w:rPr>
          <w:rFonts w:ascii="Times New Roman" w:hAnsi="Times New Roman"/>
          <w:sz w:val="28"/>
          <w:szCs w:val="28"/>
        </w:rPr>
        <w:t xml:space="preserve">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r w:rsidR="003D21A3">
        <w:rPr>
          <w:rFonts w:ascii="Times New Roman" w:hAnsi="Times New Roman"/>
          <w:sz w:val="28"/>
          <w:szCs w:val="28"/>
        </w:rPr>
        <w:t>.</w:t>
      </w:r>
    </w:p>
    <w:p w14:paraId="4D5F12B4" w14:textId="64D0C945" w:rsidR="003D21A3" w:rsidRPr="00A718B2" w:rsidRDefault="003D21A3" w:rsidP="003D21A3">
      <w:pPr>
        <w:autoSpaceDE w:val="0"/>
        <w:autoSpaceDN w:val="0"/>
        <w:adjustRightInd w:val="0"/>
        <w:spacing w:after="0" w:line="240" w:lineRule="auto"/>
        <w:ind w:firstLine="709"/>
        <w:jc w:val="both"/>
        <w:rPr>
          <w:rFonts w:ascii="Times New Roman" w:hAnsi="Times New Roman"/>
          <w:b/>
          <w:bCs/>
          <w:sz w:val="28"/>
          <w:szCs w:val="28"/>
        </w:rPr>
      </w:pPr>
      <w:r w:rsidRPr="00A718B2">
        <w:rPr>
          <w:rFonts w:ascii="Times New Roman" w:hAnsi="Times New Roman"/>
          <w:sz w:val="28"/>
          <w:szCs w:val="28"/>
        </w:rPr>
        <w:t xml:space="preserve">Работа по данному направлению проводится также во исполнение </w:t>
      </w:r>
      <w:r w:rsidR="008C68C4">
        <w:rPr>
          <w:rFonts w:ascii="Times New Roman" w:hAnsi="Times New Roman"/>
          <w:bCs/>
          <w:sz w:val="28"/>
          <w:szCs w:val="28"/>
        </w:rPr>
        <w:t>Переч</w:t>
      </w:r>
      <w:r w:rsidRPr="003D21A3">
        <w:rPr>
          <w:rFonts w:ascii="Times New Roman" w:hAnsi="Times New Roman"/>
          <w:bCs/>
          <w:sz w:val="28"/>
          <w:szCs w:val="28"/>
        </w:rPr>
        <w:t>н</w:t>
      </w:r>
      <w:r w:rsidR="008C68C4">
        <w:rPr>
          <w:rFonts w:ascii="Times New Roman" w:hAnsi="Times New Roman"/>
          <w:bCs/>
          <w:sz w:val="28"/>
          <w:szCs w:val="28"/>
        </w:rPr>
        <w:t>я</w:t>
      </w:r>
      <w:r w:rsidRPr="003D21A3">
        <w:rPr>
          <w:rFonts w:ascii="Times New Roman" w:hAnsi="Times New Roman"/>
          <w:bCs/>
          <w:sz w:val="28"/>
          <w:szCs w:val="28"/>
        </w:rPr>
        <w:t xml:space="preserve"> поручений</w:t>
      </w:r>
      <w:r>
        <w:rPr>
          <w:rFonts w:ascii="Times New Roman" w:hAnsi="Times New Roman"/>
          <w:bCs/>
          <w:sz w:val="28"/>
          <w:szCs w:val="28"/>
        </w:rPr>
        <w:t>,</w:t>
      </w:r>
      <w:r w:rsidRPr="003D21A3">
        <w:rPr>
          <w:rFonts w:ascii="Times New Roman" w:hAnsi="Times New Roman"/>
          <w:bCs/>
          <w:sz w:val="28"/>
          <w:szCs w:val="28"/>
        </w:rPr>
        <w:t xml:space="preserve"> </w:t>
      </w:r>
      <w:r>
        <w:rPr>
          <w:rFonts w:ascii="Times New Roman" w:hAnsi="Times New Roman"/>
          <w:bCs/>
          <w:sz w:val="28"/>
          <w:szCs w:val="28"/>
        </w:rPr>
        <w:t xml:space="preserve">в соответствии с которым </w:t>
      </w:r>
      <w:r w:rsidRPr="00A718B2">
        <w:rPr>
          <w:rFonts w:ascii="Times New Roman" w:hAnsi="Times New Roman"/>
          <w:bCs/>
          <w:sz w:val="28"/>
          <w:szCs w:val="28"/>
        </w:rPr>
        <w:t xml:space="preserve">ФАС России совместно с МВД России, ФСБ России, Следственным комитетом Российской Федерации и при участии Генеральной прокуратуры Российской Федерации </w:t>
      </w:r>
      <w:r>
        <w:rPr>
          <w:rFonts w:ascii="Times New Roman" w:hAnsi="Times New Roman"/>
          <w:bCs/>
          <w:sz w:val="28"/>
          <w:szCs w:val="28"/>
        </w:rPr>
        <w:t>разработан проект межведомственной программы</w:t>
      </w:r>
      <w:r w:rsidRPr="00A718B2">
        <w:rPr>
          <w:rFonts w:ascii="Times New Roman" w:hAnsi="Times New Roman"/>
          <w:bCs/>
          <w:sz w:val="28"/>
          <w:szCs w:val="28"/>
        </w:rPr>
        <w:t xml:space="preserve"> мер по выявлению и пр</w:t>
      </w:r>
      <w:r>
        <w:rPr>
          <w:rFonts w:ascii="Times New Roman" w:hAnsi="Times New Roman"/>
          <w:bCs/>
          <w:sz w:val="28"/>
          <w:szCs w:val="28"/>
        </w:rPr>
        <w:t xml:space="preserve">есечению деятельности картелей, </w:t>
      </w:r>
      <w:r>
        <w:rPr>
          <w:rFonts w:ascii="Times New Roman" w:hAnsi="Times New Roman"/>
          <w:sz w:val="28"/>
          <w:szCs w:val="28"/>
        </w:rPr>
        <w:t>который внесен в Правительство Российской Федерации</w:t>
      </w:r>
      <w:r w:rsidRPr="00A718B2">
        <w:rPr>
          <w:rFonts w:ascii="Times New Roman" w:hAnsi="Times New Roman"/>
          <w:sz w:val="28"/>
          <w:szCs w:val="28"/>
        </w:rPr>
        <w:t>.</w:t>
      </w:r>
    </w:p>
    <w:p w14:paraId="535D6DA3" w14:textId="7F62604F" w:rsidR="003D21A3" w:rsidRPr="005160DD" w:rsidRDefault="003D21A3" w:rsidP="003D21A3">
      <w:pPr>
        <w:spacing w:after="0" w:line="240" w:lineRule="auto"/>
        <w:ind w:firstLine="709"/>
        <w:jc w:val="both"/>
        <w:rPr>
          <w:rFonts w:ascii="Times New Roman" w:hAnsi="Times New Roman"/>
          <w:color w:val="000000" w:themeColor="text1"/>
          <w:sz w:val="28"/>
          <w:szCs w:val="28"/>
        </w:rPr>
      </w:pPr>
      <w:r w:rsidRPr="00A718B2">
        <w:rPr>
          <w:rFonts w:ascii="Times New Roman" w:hAnsi="Times New Roman"/>
          <w:sz w:val="28"/>
          <w:szCs w:val="28"/>
        </w:rPr>
        <w:t xml:space="preserve">Также в рамках межведомственного взаимодействия эффективно используются действующие на регулярной </w:t>
      </w:r>
      <w:r w:rsidRPr="005160DD">
        <w:rPr>
          <w:rFonts w:ascii="Times New Roman" w:hAnsi="Times New Roman"/>
          <w:color w:val="000000" w:themeColor="text1"/>
          <w:sz w:val="28"/>
          <w:szCs w:val="28"/>
        </w:rPr>
        <w:t>основе рабочие группы с участием ФАС России, СК России, ФСБ России, Генеральной прокуратуры</w:t>
      </w:r>
      <w:r w:rsidR="00194335">
        <w:rPr>
          <w:rFonts w:ascii="Times New Roman" w:hAnsi="Times New Roman"/>
          <w:color w:val="000000" w:themeColor="text1"/>
          <w:sz w:val="28"/>
          <w:szCs w:val="28"/>
        </w:rPr>
        <w:t xml:space="preserve"> Российской Федерации</w:t>
      </w:r>
      <w:r w:rsidRPr="005160DD">
        <w:rPr>
          <w:rFonts w:ascii="Times New Roman" w:hAnsi="Times New Roman"/>
          <w:color w:val="000000" w:themeColor="text1"/>
          <w:sz w:val="28"/>
          <w:szCs w:val="28"/>
        </w:rPr>
        <w:t>.</w:t>
      </w:r>
    </w:p>
    <w:p w14:paraId="4243F5C9" w14:textId="72627F5C" w:rsidR="003D21A3" w:rsidRPr="00154FDB" w:rsidRDefault="003D21A3" w:rsidP="003D21A3">
      <w:pPr>
        <w:spacing w:after="0" w:line="240" w:lineRule="auto"/>
        <w:ind w:firstLine="709"/>
        <w:jc w:val="both"/>
        <w:rPr>
          <w:rFonts w:ascii="Times New Roman" w:hAnsi="Times New Roman"/>
          <w:sz w:val="28"/>
          <w:szCs w:val="28"/>
        </w:rPr>
      </w:pPr>
      <w:r w:rsidRPr="00154FDB">
        <w:rPr>
          <w:rFonts w:ascii="Times New Roman" w:hAnsi="Times New Roman"/>
          <w:sz w:val="28"/>
          <w:szCs w:val="28"/>
        </w:rPr>
        <w:t>Так</w:t>
      </w:r>
      <w:r>
        <w:rPr>
          <w:rFonts w:ascii="Times New Roman" w:hAnsi="Times New Roman"/>
          <w:sz w:val="28"/>
          <w:szCs w:val="28"/>
        </w:rPr>
        <w:t>,</w:t>
      </w:r>
      <w:r w:rsidRPr="00154FDB">
        <w:rPr>
          <w:rFonts w:ascii="Times New Roman" w:hAnsi="Times New Roman"/>
          <w:sz w:val="28"/>
          <w:szCs w:val="28"/>
        </w:rPr>
        <w:t xml:space="preserve"> в 2018 году ФАС России направлено </w:t>
      </w:r>
      <w:r w:rsidRPr="0059069C">
        <w:rPr>
          <w:rFonts w:ascii="Times New Roman" w:hAnsi="Times New Roman"/>
          <w:sz w:val="28"/>
          <w:szCs w:val="28"/>
        </w:rPr>
        <w:t xml:space="preserve">148 </w:t>
      </w:r>
      <w:r w:rsidRPr="00154FDB">
        <w:rPr>
          <w:rFonts w:ascii="Times New Roman" w:hAnsi="Times New Roman"/>
          <w:sz w:val="28"/>
          <w:szCs w:val="28"/>
        </w:rPr>
        <w:t xml:space="preserve">заявлений и сообщений о преступлениях, из них </w:t>
      </w:r>
      <w:r w:rsidRPr="0059069C">
        <w:rPr>
          <w:rFonts w:ascii="Times New Roman" w:hAnsi="Times New Roman"/>
          <w:sz w:val="28"/>
          <w:szCs w:val="28"/>
        </w:rPr>
        <w:t>81</w:t>
      </w:r>
      <w:r w:rsidRPr="00154FDB">
        <w:rPr>
          <w:rFonts w:ascii="Times New Roman" w:hAnsi="Times New Roman"/>
          <w:sz w:val="28"/>
          <w:szCs w:val="28"/>
        </w:rPr>
        <w:t xml:space="preserve"> </w:t>
      </w:r>
      <w:r>
        <w:rPr>
          <w:rFonts w:ascii="Times New Roman" w:hAnsi="Times New Roman"/>
          <w:sz w:val="28"/>
          <w:szCs w:val="28"/>
        </w:rPr>
        <w:t xml:space="preserve">– </w:t>
      </w:r>
      <w:r w:rsidR="00574681">
        <w:rPr>
          <w:rFonts w:ascii="Times New Roman" w:hAnsi="Times New Roman"/>
          <w:sz w:val="28"/>
          <w:szCs w:val="28"/>
        </w:rPr>
        <w:t xml:space="preserve">по статье </w:t>
      </w:r>
      <w:r w:rsidR="002F1102">
        <w:rPr>
          <w:rFonts w:ascii="Times New Roman" w:hAnsi="Times New Roman"/>
          <w:sz w:val="28"/>
          <w:szCs w:val="28"/>
        </w:rPr>
        <w:t>178 Уголовного кодекса</w:t>
      </w:r>
      <w:r>
        <w:rPr>
          <w:rFonts w:ascii="Times New Roman" w:hAnsi="Times New Roman"/>
          <w:sz w:val="28"/>
          <w:szCs w:val="28"/>
        </w:rPr>
        <w:t xml:space="preserve"> Р</w:t>
      </w:r>
      <w:r w:rsidR="002F1102">
        <w:rPr>
          <w:rFonts w:ascii="Times New Roman" w:hAnsi="Times New Roman"/>
          <w:sz w:val="28"/>
          <w:szCs w:val="28"/>
        </w:rPr>
        <w:t xml:space="preserve">оссийской </w:t>
      </w:r>
      <w:r w:rsidR="00574681">
        <w:rPr>
          <w:rFonts w:ascii="Times New Roman" w:hAnsi="Times New Roman"/>
          <w:sz w:val="28"/>
          <w:szCs w:val="28"/>
        </w:rPr>
        <w:t>Ф</w:t>
      </w:r>
      <w:r w:rsidR="002F1102">
        <w:rPr>
          <w:rFonts w:ascii="Times New Roman" w:hAnsi="Times New Roman"/>
          <w:sz w:val="28"/>
          <w:szCs w:val="28"/>
        </w:rPr>
        <w:t>едерации (далее – УК РФ)</w:t>
      </w:r>
      <w:r w:rsidRPr="00154FDB">
        <w:rPr>
          <w:rFonts w:ascii="Times New Roman" w:hAnsi="Times New Roman"/>
          <w:sz w:val="28"/>
          <w:szCs w:val="28"/>
        </w:rPr>
        <w:t xml:space="preserve"> (Ограничение конкуренции).</w:t>
      </w:r>
    </w:p>
    <w:p w14:paraId="4438E541" w14:textId="49321705" w:rsidR="003D21A3" w:rsidRPr="00154FDB" w:rsidRDefault="003D21A3" w:rsidP="003D21A3">
      <w:pPr>
        <w:spacing w:after="0" w:line="240" w:lineRule="auto"/>
        <w:ind w:firstLine="709"/>
        <w:jc w:val="both"/>
        <w:rPr>
          <w:rFonts w:ascii="Times New Roman" w:hAnsi="Times New Roman"/>
          <w:sz w:val="28"/>
          <w:szCs w:val="28"/>
        </w:rPr>
      </w:pPr>
      <w:r w:rsidRPr="00154FDB">
        <w:rPr>
          <w:rFonts w:ascii="Times New Roman" w:hAnsi="Times New Roman"/>
          <w:sz w:val="28"/>
          <w:szCs w:val="28"/>
        </w:rPr>
        <w:t xml:space="preserve">По результатам их рассмотрения правоохранительными органами возбуждено </w:t>
      </w:r>
      <w:r>
        <w:rPr>
          <w:rFonts w:ascii="Times New Roman" w:hAnsi="Times New Roman"/>
          <w:sz w:val="28"/>
          <w:szCs w:val="28"/>
        </w:rPr>
        <w:t>34</w:t>
      </w:r>
      <w:r w:rsidRPr="00154FDB">
        <w:rPr>
          <w:rFonts w:ascii="Times New Roman" w:hAnsi="Times New Roman"/>
          <w:sz w:val="28"/>
          <w:szCs w:val="28"/>
        </w:rPr>
        <w:t xml:space="preserve"> уголовных дела </w:t>
      </w:r>
      <w:r>
        <w:rPr>
          <w:rFonts w:ascii="Times New Roman" w:hAnsi="Times New Roman"/>
          <w:sz w:val="28"/>
          <w:szCs w:val="28"/>
        </w:rPr>
        <w:t>о</w:t>
      </w:r>
      <w:r w:rsidRPr="00154FDB">
        <w:rPr>
          <w:rFonts w:ascii="Times New Roman" w:hAnsi="Times New Roman"/>
          <w:sz w:val="28"/>
          <w:szCs w:val="28"/>
        </w:rPr>
        <w:t xml:space="preserve"> преступления</w:t>
      </w:r>
      <w:r>
        <w:rPr>
          <w:rFonts w:ascii="Times New Roman" w:hAnsi="Times New Roman"/>
          <w:sz w:val="28"/>
          <w:szCs w:val="28"/>
        </w:rPr>
        <w:t>х</w:t>
      </w:r>
      <w:r w:rsidRPr="00154FDB">
        <w:rPr>
          <w:rFonts w:ascii="Times New Roman" w:hAnsi="Times New Roman"/>
          <w:sz w:val="28"/>
          <w:szCs w:val="28"/>
        </w:rPr>
        <w:t xml:space="preserve"> в сфере экономичес</w:t>
      </w:r>
      <w:r w:rsidR="00574681">
        <w:rPr>
          <w:rFonts w:ascii="Times New Roman" w:hAnsi="Times New Roman"/>
          <w:sz w:val="28"/>
          <w:szCs w:val="28"/>
        </w:rPr>
        <w:t xml:space="preserve">кой деятельности, из них по статье </w:t>
      </w:r>
      <w:r w:rsidRPr="00154FDB">
        <w:rPr>
          <w:rFonts w:ascii="Times New Roman" w:hAnsi="Times New Roman"/>
          <w:sz w:val="28"/>
          <w:szCs w:val="28"/>
        </w:rPr>
        <w:t>178 УК РФ –</w:t>
      </w:r>
      <w:r w:rsidRPr="0059069C">
        <w:rPr>
          <w:rFonts w:ascii="Times New Roman" w:hAnsi="Times New Roman"/>
          <w:sz w:val="28"/>
          <w:szCs w:val="28"/>
        </w:rPr>
        <w:t>1</w:t>
      </w:r>
      <w:r w:rsidRPr="00DF0909">
        <w:rPr>
          <w:rFonts w:ascii="Times New Roman" w:hAnsi="Times New Roman"/>
          <w:sz w:val="28"/>
          <w:szCs w:val="28"/>
        </w:rPr>
        <w:t>5</w:t>
      </w:r>
      <w:r w:rsidRPr="00154FDB">
        <w:rPr>
          <w:rFonts w:ascii="Times New Roman" w:hAnsi="Times New Roman"/>
          <w:sz w:val="28"/>
          <w:szCs w:val="28"/>
        </w:rPr>
        <w:t xml:space="preserve"> дел.</w:t>
      </w:r>
    </w:p>
    <w:p w14:paraId="55BFC228" w14:textId="77777777" w:rsidR="003D21A3" w:rsidRPr="00AD286D" w:rsidRDefault="003D21A3" w:rsidP="003D21A3">
      <w:pPr>
        <w:spacing w:after="0" w:line="240" w:lineRule="auto"/>
        <w:ind w:right="-1" w:firstLine="709"/>
        <w:jc w:val="both"/>
        <w:rPr>
          <w:rFonts w:ascii="Times New Roman" w:hAnsi="Times New Roman"/>
          <w:color w:val="000000" w:themeColor="text1"/>
          <w:sz w:val="28"/>
          <w:szCs w:val="28"/>
        </w:rPr>
      </w:pPr>
      <w:r w:rsidRPr="00AD286D">
        <w:rPr>
          <w:rFonts w:ascii="Times New Roman" w:hAnsi="Times New Roman"/>
          <w:color w:val="000000" w:themeColor="text1"/>
          <w:sz w:val="28"/>
          <w:szCs w:val="28"/>
        </w:rPr>
        <w:t xml:space="preserve">Имеется положительная практика совместной работы с правоохранительными органами в рамках рассмотрения следственным органом представленных решений о нарушении антимонопольного законодательства и соответствующих материалов антимонопольных дел: </w:t>
      </w:r>
    </w:p>
    <w:p w14:paraId="388866AD" w14:textId="24F3048F" w:rsidR="003D21A3" w:rsidRPr="00523CE6" w:rsidRDefault="003D21A3" w:rsidP="003D21A3">
      <w:pPr>
        <w:spacing w:after="0" w:line="240" w:lineRule="auto"/>
        <w:ind w:firstLine="708"/>
        <w:jc w:val="both"/>
        <w:rPr>
          <w:rFonts w:ascii="Times New Roman" w:hAnsi="Times New Roman"/>
          <w:sz w:val="28"/>
          <w:szCs w:val="28"/>
        </w:rPr>
      </w:pPr>
      <w:r w:rsidRPr="00523CE6">
        <w:rPr>
          <w:rFonts w:ascii="Times New Roman" w:hAnsi="Times New Roman"/>
          <w:sz w:val="28"/>
          <w:szCs w:val="28"/>
        </w:rPr>
        <w:t>- СУ СК России по Самарской области направлено в суд с обвинительным заключением уголовное дело по обвинению бывшего заместителя Министра здравоохранения Самарской области А.С. Навас</w:t>
      </w:r>
      <w:r>
        <w:rPr>
          <w:rFonts w:ascii="Times New Roman" w:hAnsi="Times New Roman"/>
          <w:sz w:val="28"/>
          <w:szCs w:val="28"/>
        </w:rPr>
        <w:t>ардяна и других лиц, вступивших в сговор на торгах и совершивших преступления</w:t>
      </w:r>
      <w:r w:rsidRPr="00D40638">
        <w:rPr>
          <w:rFonts w:ascii="Times New Roman" w:hAnsi="Times New Roman"/>
          <w:sz w:val="28"/>
          <w:szCs w:val="28"/>
        </w:rPr>
        <w:t>, предусмотренны</w:t>
      </w:r>
      <w:r>
        <w:rPr>
          <w:rFonts w:ascii="Times New Roman" w:hAnsi="Times New Roman"/>
          <w:sz w:val="28"/>
          <w:szCs w:val="28"/>
        </w:rPr>
        <w:t>е</w:t>
      </w:r>
      <w:r w:rsidRPr="00D40638">
        <w:rPr>
          <w:rFonts w:ascii="Times New Roman" w:hAnsi="Times New Roman"/>
          <w:sz w:val="28"/>
          <w:szCs w:val="28"/>
        </w:rPr>
        <w:t xml:space="preserve"> </w:t>
      </w:r>
      <w:r w:rsidR="009A5E65">
        <w:rPr>
          <w:rFonts w:ascii="Times New Roman" w:hAnsi="Times New Roman"/>
          <w:sz w:val="28"/>
          <w:szCs w:val="28"/>
        </w:rPr>
        <w:t>части 3 статьи 30 – части 2 статьи 178, части 3 статьи 204, части 1 статьи</w:t>
      </w:r>
      <w:r w:rsidRPr="00523CE6">
        <w:rPr>
          <w:rFonts w:ascii="Times New Roman" w:hAnsi="Times New Roman"/>
          <w:sz w:val="28"/>
          <w:szCs w:val="28"/>
        </w:rPr>
        <w:t xml:space="preserve"> 286 УК РФ;</w:t>
      </w:r>
    </w:p>
    <w:p w14:paraId="63D7D522" w14:textId="07FAA31E" w:rsidR="003D21A3" w:rsidRPr="00523CE6" w:rsidRDefault="003D21A3" w:rsidP="003D21A3">
      <w:pPr>
        <w:spacing w:after="0" w:line="240" w:lineRule="auto"/>
        <w:ind w:firstLine="708"/>
        <w:jc w:val="both"/>
        <w:rPr>
          <w:rFonts w:ascii="Times New Roman" w:hAnsi="Times New Roman"/>
          <w:sz w:val="28"/>
          <w:szCs w:val="28"/>
        </w:rPr>
      </w:pPr>
      <w:r w:rsidRPr="00523CE6">
        <w:rPr>
          <w:rFonts w:ascii="Times New Roman" w:hAnsi="Times New Roman"/>
          <w:sz w:val="28"/>
          <w:szCs w:val="28"/>
        </w:rPr>
        <w:t xml:space="preserve">-  СУ СК России по Республике Хакасия </w:t>
      </w:r>
      <w:r>
        <w:rPr>
          <w:rFonts w:ascii="Times New Roman" w:hAnsi="Times New Roman"/>
          <w:sz w:val="28"/>
          <w:szCs w:val="28"/>
        </w:rPr>
        <w:t xml:space="preserve">на основании материалов, представленных антимонопольным органом </w:t>
      </w:r>
      <w:r w:rsidRPr="00523CE6">
        <w:rPr>
          <w:rFonts w:ascii="Times New Roman" w:hAnsi="Times New Roman"/>
          <w:sz w:val="28"/>
          <w:szCs w:val="28"/>
        </w:rPr>
        <w:t xml:space="preserve">направлено в суд уголовное дело по обвинению В.М. Бызова и других </w:t>
      </w:r>
      <w:r>
        <w:rPr>
          <w:rFonts w:ascii="Times New Roman" w:hAnsi="Times New Roman"/>
          <w:sz w:val="28"/>
          <w:szCs w:val="28"/>
        </w:rPr>
        <w:t xml:space="preserve">лиц </w:t>
      </w:r>
      <w:r w:rsidRPr="00523CE6">
        <w:rPr>
          <w:rFonts w:ascii="Times New Roman" w:hAnsi="Times New Roman"/>
          <w:sz w:val="28"/>
          <w:szCs w:val="28"/>
        </w:rPr>
        <w:t>(всего 7) в организации преступного сообщества и участия в нем, хищении денежны</w:t>
      </w:r>
      <w:r>
        <w:rPr>
          <w:rFonts w:ascii="Times New Roman" w:hAnsi="Times New Roman"/>
          <w:sz w:val="28"/>
          <w:szCs w:val="28"/>
        </w:rPr>
        <w:t>х средств, выделенных на закупк</w:t>
      </w:r>
      <w:r w:rsidR="009A5E65">
        <w:rPr>
          <w:rFonts w:ascii="Times New Roman" w:hAnsi="Times New Roman"/>
          <w:sz w:val="28"/>
          <w:szCs w:val="28"/>
        </w:rPr>
        <w:t>и</w:t>
      </w:r>
      <w:r w:rsidRPr="00523CE6">
        <w:rPr>
          <w:rFonts w:ascii="Times New Roman" w:hAnsi="Times New Roman"/>
          <w:sz w:val="28"/>
          <w:szCs w:val="28"/>
        </w:rPr>
        <w:t xml:space="preserve"> медицинского оборудования и лекарственных препаратов, получении и даче взятки; </w:t>
      </w:r>
    </w:p>
    <w:p w14:paraId="6A1874D5" w14:textId="7622CB98" w:rsidR="003D21A3" w:rsidRPr="00523CE6" w:rsidRDefault="003D21A3" w:rsidP="003D21A3">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СК России в настоящее время ра</w:t>
      </w:r>
      <w:r w:rsidR="009A5E65">
        <w:rPr>
          <w:rFonts w:ascii="Times New Roman" w:hAnsi="Times New Roman"/>
          <w:sz w:val="28"/>
          <w:szCs w:val="28"/>
        </w:rPr>
        <w:t>сследуется уголовное дело по части</w:t>
      </w:r>
      <w:r>
        <w:rPr>
          <w:rFonts w:ascii="Times New Roman" w:hAnsi="Times New Roman"/>
          <w:sz w:val="28"/>
          <w:szCs w:val="28"/>
        </w:rPr>
        <w:t> </w:t>
      </w:r>
      <w:r w:rsidR="009A5E65">
        <w:rPr>
          <w:rFonts w:ascii="Times New Roman" w:hAnsi="Times New Roman"/>
          <w:sz w:val="28"/>
          <w:szCs w:val="28"/>
        </w:rPr>
        <w:t>4 статьи</w:t>
      </w:r>
      <w:r w:rsidRPr="00523CE6">
        <w:rPr>
          <w:rFonts w:ascii="Times New Roman" w:hAnsi="Times New Roman"/>
          <w:sz w:val="28"/>
          <w:szCs w:val="28"/>
        </w:rPr>
        <w:t xml:space="preserve"> 160 УК РФ в отношении бывшего министра строительства и ЖКХ Астраханской области И.В. Корнильева и других должностных лиц, </w:t>
      </w:r>
      <w:r>
        <w:rPr>
          <w:rFonts w:ascii="Times New Roman" w:hAnsi="Times New Roman"/>
          <w:sz w:val="28"/>
          <w:szCs w:val="28"/>
        </w:rPr>
        <w:t>которые в результате сговора с участниками торгов совершили</w:t>
      </w:r>
      <w:r w:rsidRPr="00523CE6">
        <w:rPr>
          <w:rFonts w:ascii="Times New Roman" w:hAnsi="Times New Roman"/>
          <w:sz w:val="28"/>
          <w:szCs w:val="28"/>
        </w:rPr>
        <w:t xml:space="preserve"> хищение бюджетных средств, выделенных на ремонт автомобильных дорог;</w:t>
      </w:r>
    </w:p>
    <w:p w14:paraId="4746F668" w14:textId="0EA88EE5" w:rsidR="003D21A3" w:rsidRPr="00523CE6" w:rsidRDefault="003D21A3" w:rsidP="003D21A3">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Следственном департаменте МВД России р</w:t>
      </w:r>
      <w:r w:rsidR="009A5E65">
        <w:rPr>
          <w:rFonts w:ascii="Times New Roman" w:hAnsi="Times New Roman"/>
          <w:sz w:val="28"/>
          <w:szCs w:val="28"/>
        </w:rPr>
        <w:t>асследуется уголовное дело по части 4 статьи</w:t>
      </w:r>
      <w:r w:rsidRPr="00523CE6">
        <w:rPr>
          <w:rFonts w:ascii="Times New Roman" w:hAnsi="Times New Roman"/>
          <w:sz w:val="28"/>
          <w:szCs w:val="28"/>
        </w:rPr>
        <w:t xml:space="preserve"> 159 УК РФ в отношении бывшего Министра здравоохранения Республики Дагестан Т.И. Ибрагимова, </w:t>
      </w:r>
      <w:r>
        <w:rPr>
          <w:rFonts w:ascii="Times New Roman" w:hAnsi="Times New Roman"/>
          <w:sz w:val="28"/>
          <w:szCs w:val="28"/>
        </w:rPr>
        <w:t>который в результате сговора с участниками торгов совершил</w:t>
      </w:r>
      <w:r w:rsidRPr="00523CE6">
        <w:rPr>
          <w:rFonts w:ascii="Times New Roman" w:hAnsi="Times New Roman"/>
          <w:sz w:val="28"/>
          <w:szCs w:val="28"/>
        </w:rPr>
        <w:t xml:space="preserve"> хищение бюджетных средств</w:t>
      </w:r>
      <w:r>
        <w:rPr>
          <w:rFonts w:ascii="Times New Roman" w:hAnsi="Times New Roman"/>
          <w:sz w:val="28"/>
          <w:szCs w:val="28"/>
        </w:rPr>
        <w:t>, выделенных на закупки лекарственных препаратов, медицинского оборудования и медицинских изделий</w:t>
      </w:r>
      <w:r w:rsidRPr="00523CE6">
        <w:rPr>
          <w:rFonts w:ascii="Times New Roman" w:hAnsi="Times New Roman"/>
          <w:sz w:val="28"/>
          <w:szCs w:val="28"/>
        </w:rPr>
        <w:t>;</w:t>
      </w:r>
    </w:p>
    <w:p w14:paraId="0867C442" w14:textId="7ECF80E6" w:rsidR="003D21A3" w:rsidRPr="00523CE6" w:rsidRDefault="003D21A3" w:rsidP="003D21A3">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ГУ МВД России по Московской области ра</w:t>
      </w:r>
      <w:r w:rsidR="009A5E65">
        <w:rPr>
          <w:rFonts w:ascii="Times New Roman" w:hAnsi="Times New Roman"/>
          <w:sz w:val="28"/>
          <w:szCs w:val="28"/>
        </w:rPr>
        <w:t>сследуется уголовное дело по части 3 статьи</w:t>
      </w:r>
      <w:r w:rsidRPr="00523CE6">
        <w:rPr>
          <w:rFonts w:ascii="Times New Roman" w:hAnsi="Times New Roman"/>
          <w:sz w:val="28"/>
          <w:szCs w:val="28"/>
        </w:rPr>
        <w:t xml:space="preserve"> 285 УК РФ в отношении бывшего первого заместителя министра строительного комплекса Московской области Е.В. Склярова, который </w:t>
      </w:r>
      <w:r>
        <w:rPr>
          <w:rFonts w:ascii="Times New Roman" w:hAnsi="Times New Roman"/>
          <w:sz w:val="28"/>
          <w:szCs w:val="28"/>
        </w:rPr>
        <w:t>на торгах</w:t>
      </w:r>
      <w:r w:rsidRPr="00523CE6">
        <w:rPr>
          <w:rFonts w:ascii="Times New Roman" w:hAnsi="Times New Roman"/>
          <w:sz w:val="28"/>
          <w:szCs w:val="28"/>
        </w:rPr>
        <w:t xml:space="preserve"> </w:t>
      </w:r>
      <w:r>
        <w:rPr>
          <w:rFonts w:ascii="Times New Roman" w:hAnsi="Times New Roman"/>
          <w:sz w:val="28"/>
          <w:szCs w:val="28"/>
        </w:rPr>
        <w:t>по</w:t>
      </w:r>
      <w:r w:rsidRPr="00523CE6">
        <w:rPr>
          <w:rFonts w:ascii="Times New Roman" w:hAnsi="Times New Roman"/>
          <w:sz w:val="28"/>
          <w:szCs w:val="28"/>
        </w:rPr>
        <w:t xml:space="preserve"> заключени</w:t>
      </w:r>
      <w:r>
        <w:rPr>
          <w:rFonts w:ascii="Times New Roman" w:hAnsi="Times New Roman"/>
          <w:sz w:val="28"/>
          <w:szCs w:val="28"/>
        </w:rPr>
        <w:t>ю</w:t>
      </w:r>
      <w:r w:rsidRPr="00523CE6">
        <w:rPr>
          <w:rFonts w:ascii="Times New Roman" w:hAnsi="Times New Roman"/>
          <w:sz w:val="28"/>
          <w:szCs w:val="28"/>
        </w:rPr>
        <w:t xml:space="preserve"> госконтрактов на строительство социальных объектов в области злоупотребил должностными полномочиями и обеспечил победу в аукционах подконтрольным ему компаниям;</w:t>
      </w:r>
    </w:p>
    <w:p w14:paraId="0FE0CE9A" w14:textId="6B727781" w:rsidR="003D21A3" w:rsidRPr="00523CE6" w:rsidRDefault="003D21A3" w:rsidP="003D21A3">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СУ УМВД России по Тюменской области</w:t>
      </w:r>
      <w:r w:rsidR="009A5E65">
        <w:rPr>
          <w:rFonts w:ascii="Times New Roman" w:hAnsi="Times New Roman"/>
          <w:sz w:val="28"/>
          <w:szCs w:val="28"/>
        </w:rPr>
        <w:t xml:space="preserve"> возбуждено уголовное дело по части 2 статьи </w:t>
      </w:r>
      <w:r w:rsidRPr="00523CE6">
        <w:rPr>
          <w:rFonts w:ascii="Times New Roman" w:hAnsi="Times New Roman"/>
          <w:sz w:val="28"/>
          <w:szCs w:val="28"/>
        </w:rPr>
        <w:t xml:space="preserve">178 УК РФ в отношении руководителя АО «Конар» В.В. Бондаренко и руководителя ООО «Научно-производственное объединение «Фундаментстройаркос» Г.М. Долгих, </w:t>
      </w:r>
      <w:r>
        <w:rPr>
          <w:rFonts w:ascii="Times New Roman" w:hAnsi="Times New Roman"/>
          <w:sz w:val="28"/>
          <w:szCs w:val="28"/>
        </w:rPr>
        <w:t>которые вступили в сговор на торгах, предметом которых являлась поставка</w:t>
      </w:r>
      <w:r w:rsidRPr="00523CE6">
        <w:rPr>
          <w:rFonts w:ascii="Times New Roman" w:hAnsi="Times New Roman"/>
          <w:sz w:val="28"/>
          <w:szCs w:val="28"/>
        </w:rPr>
        <w:t xml:space="preserve"> оборудования группе компаний «Транснефть», в результате чего общества извлекли доход в особо крупном размере на сумму более 250 млн рублей;</w:t>
      </w:r>
    </w:p>
    <w:p w14:paraId="3E62AD62" w14:textId="1F789EF8" w:rsidR="003D21A3" w:rsidRPr="00A14628" w:rsidRDefault="003D21A3" w:rsidP="003D21A3">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ГУ МВД России по Новосибирской области р</w:t>
      </w:r>
      <w:r w:rsidR="009A5E65">
        <w:rPr>
          <w:rFonts w:ascii="Times New Roman" w:hAnsi="Times New Roman"/>
          <w:sz w:val="28"/>
          <w:szCs w:val="28"/>
        </w:rPr>
        <w:t>асследуется уголовное дело по части 2 статьи</w:t>
      </w:r>
      <w:r w:rsidRPr="00523CE6">
        <w:rPr>
          <w:rFonts w:ascii="Times New Roman" w:hAnsi="Times New Roman"/>
          <w:sz w:val="28"/>
          <w:szCs w:val="28"/>
        </w:rPr>
        <w:t xml:space="preserve"> 178 УК РФ по факту </w:t>
      </w:r>
      <w:r>
        <w:rPr>
          <w:rFonts w:ascii="Times New Roman" w:hAnsi="Times New Roman"/>
          <w:sz w:val="28"/>
          <w:szCs w:val="28"/>
        </w:rPr>
        <w:t>заключения и реализации ООО </w:t>
      </w:r>
      <w:r w:rsidRPr="00523CE6">
        <w:rPr>
          <w:rFonts w:ascii="Times New Roman" w:hAnsi="Times New Roman"/>
          <w:sz w:val="28"/>
          <w:szCs w:val="28"/>
        </w:rPr>
        <w:t xml:space="preserve">«Компания Фито» и ООО «Терра» </w:t>
      </w:r>
      <w:r>
        <w:rPr>
          <w:rFonts w:ascii="Times New Roman" w:hAnsi="Times New Roman"/>
          <w:sz w:val="28"/>
          <w:szCs w:val="28"/>
        </w:rPr>
        <w:t xml:space="preserve">сговора на торгах при участии в </w:t>
      </w:r>
      <w:r w:rsidRPr="00523CE6">
        <w:rPr>
          <w:rFonts w:ascii="Times New Roman" w:hAnsi="Times New Roman"/>
          <w:sz w:val="28"/>
          <w:szCs w:val="28"/>
        </w:rPr>
        <w:t xml:space="preserve">437 аукционах </w:t>
      </w:r>
      <w:r>
        <w:rPr>
          <w:rFonts w:ascii="Times New Roman" w:hAnsi="Times New Roman"/>
          <w:sz w:val="28"/>
          <w:szCs w:val="28"/>
        </w:rPr>
        <w:t>по поставке</w:t>
      </w:r>
      <w:r w:rsidRPr="00523CE6">
        <w:rPr>
          <w:rFonts w:ascii="Times New Roman" w:hAnsi="Times New Roman"/>
          <w:sz w:val="28"/>
          <w:szCs w:val="28"/>
        </w:rPr>
        <w:t xml:space="preserve"> лекарственных средств и медицинских изделий для нужд ФГБУ «Национальный медицинский исследовательский центр им. Академика Мешалкина», в результате чего общества извлекли доход в особо крупном размере на сумму более 576 млн рублей.</w:t>
      </w:r>
    </w:p>
    <w:p w14:paraId="279969E7" w14:textId="77777777" w:rsidR="003D21A3" w:rsidRPr="00BD5446" w:rsidRDefault="003D21A3" w:rsidP="003D21A3">
      <w:pPr>
        <w:spacing w:after="0" w:line="240" w:lineRule="auto"/>
        <w:ind w:firstLine="709"/>
        <w:jc w:val="both"/>
        <w:rPr>
          <w:rFonts w:ascii="Times New Roman" w:hAnsi="Times New Roman"/>
          <w:b/>
          <w:sz w:val="28"/>
          <w:szCs w:val="28"/>
        </w:rPr>
      </w:pPr>
    </w:p>
    <w:p w14:paraId="4380798A" w14:textId="77777777" w:rsidR="003D21A3" w:rsidRPr="00555688" w:rsidRDefault="003D21A3" w:rsidP="003D21A3">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Федеральной антимонопольной службой совместно с Росфинмониторингом проводится масштабная работа по выявлению и пресечению антиконкурентных соглашений. В настоящий момент на рассмотрении в ФАС России и ее территориальных органах находится более 130 материалов, переданных Росфинмониторингом.</w:t>
      </w:r>
    </w:p>
    <w:p w14:paraId="32C38CEF" w14:textId="77777777" w:rsidR="003D21A3" w:rsidRDefault="003D21A3" w:rsidP="003D21A3">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Кроме того, по результатам представленных Росфинмониторингом сведений ФАС России и ее территори</w:t>
      </w:r>
      <w:r>
        <w:rPr>
          <w:rFonts w:ascii="Times New Roman" w:hAnsi="Times New Roman" w:cs="Times New Roman"/>
          <w:sz w:val="28"/>
          <w:szCs w:val="28"/>
        </w:rPr>
        <w:t xml:space="preserve">альными органами в 2016 – 2018 гг. </w:t>
      </w:r>
      <w:r w:rsidRPr="00555688">
        <w:rPr>
          <w:rFonts w:ascii="Times New Roman" w:hAnsi="Times New Roman" w:cs="Times New Roman"/>
          <w:sz w:val="28"/>
          <w:szCs w:val="28"/>
        </w:rPr>
        <w:t>возбуждено 20 дел о нарушении антимонопольного законодательства</w:t>
      </w:r>
      <w:r>
        <w:rPr>
          <w:rFonts w:ascii="Times New Roman" w:hAnsi="Times New Roman" w:cs="Times New Roman"/>
          <w:sz w:val="28"/>
          <w:szCs w:val="28"/>
        </w:rPr>
        <w:t>, по 9 из них</w:t>
      </w:r>
      <w:r w:rsidRPr="00555688">
        <w:rPr>
          <w:rFonts w:ascii="Times New Roman" w:hAnsi="Times New Roman" w:cs="Times New Roman"/>
          <w:sz w:val="28"/>
          <w:szCs w:val="28"/>
        </w:rPr>
        <w:t xml:space="preserve"> </w:t>
      </w:r>
      <w:r>
        <w:rPr>
          <w:rFonts w:ascii="Times New Roman" w:hAnsi="Times New Roman" w:cs="Times New Roman"/>
          <w:sz w:val="28"/>
          <w:szCs w:val="28"/>
        </w:rPr>
        <w:t xml:space="preserve">приняты решения, 5 из которых </w:t>
      </w:r>
      <w:r w:rsidRPr="00555688">
        <w:rPr>
          <w:rFonts w:ascii="Times New Roman" w:hAnsi="Times New Roman" w:cs="Times New Roman"/>
          <w:sz w:val="28"/>
          <w:szCs w:val="28"/>
        </w:rPr>
        <w:t>о нарушении антимонопольного законодательства.</w:t>
      </w:r>
    </w:p>
    <w:p w14:paraId="13027296" w14:textId="77777777" w:rsidR="003D21A3" w:rsidRPr="00384394" w:rsidRDefault="003D21A3" w:rsidP="003D21A3">
      <w:pPr>
        <w:spacing w:after="0" w:line="240" w:lineRule="auto"/>
        <w:ind w:firstLine="709"/>
        <w:jc w:val="both"/>
        <w:rPr>
          <w:rFonts w:ascii="Times New Roman" w:hAnsi="Times New Roman" w:cs="Times New Roman"/>
          <w:sz w:val="28"/>
          <w:szCs w:val="28"/>
        </w:rPr>
      </w:pPr>
      <w:r w:rsidRPr="00384394">
        <w:rPr>
          <w:rFonts w:ascii="Times New Roman" w:eastAsia="Calibri" w:hAnsi="Times New Roman" w:cs="Times New Roman"/>
          <w:sz w:val="28"/>
          <w:szCs w:val="28"/>
        </w:rPr>
        <w:t xml:space="preserve">Среди уже расследованных дел - картель ООО ПКФ «ПСТ» и </w:t>
      </w:r>
      <w:r>
        <w:rPr>
          <w:rFonts w:ascii="Times New Roman" w:eastAsia="Calibri" w:hAnsi="Times New Roman" w:cs="Times New Roman"/>
          <w:sz w:val="28"/>
          <w:szCs w:val="28"/>
        </w:rPr>
        <w:t xml:space="preserve">                           </w:t>
      </w:r>
      <w:r w:rsidRPr="00384394">
        <w:rPr>
          <w:rFonts w:ascii="Times New Roman" w:eastAsia="Calibri" w:hAnsi="Times New Roman" w:cs="Times New Roman"/>
          <w:sz w:val="28"/>
          <w:szCs w:val="28"/>
        </w:rPr>
        <w:t xml:space="preserve">                          </w:t>
      </w:r>
      <w:r w:rsidRPr="00384394">
        <w:rPr>
          <w:rFonts w:ascii="Times New Roman" w:hAnsi="Times New Roman" w:cs="Times New Roman"/>
          <w:color w:val="000000"/>
          <w:sz w:val="28"/>
          <w:szCs w:val="28"/>
        </w:rPr>
        <w:t>ООО «Пожевростандарт»</w:t>
      </w:r>
      <w:r w:rsidRPr="00384394">
        <w:rPr>
          <w:rFonts w:ascii="Times New Roman" w:eastAsia="Calibri" w:hAnsi="Times New Roman" w:cs="Times New Roman"/>
          <w:sz w:val="28"/>
          <w:szCs w:val="28"/>
        </w:rPr>
        <w:t xml:space="preserve">, организованный для поддержания цен на торгах при проведении 8 электронных аукционов </w:t>
      </w:r>
      <w:r w:rsidRPr="00384394">
        <w:rPr>
          <w:rFonts w:ascii="Times New Roman" w:hAnsi="Times New Roman" w:cs="Times New Roman"/>
          <w:color w:val="000000"/>
          <w:sz w:val="28"/>
          <w:szCs w:val="28"/>
        </w:rPr>
        <w:t>на поставку средств обмундирования (зимней обуви, боевой одежды, средств индивидуальной защиты и др.) пожарных, а также огнетушащих средств и компрессорной установки для нужд подразделений ФПС Главного управления МЧС России по Свердловской области</w:t>
      </w:r>
      <w:r w:rsidRPr="00384394">
        <w:rPr>
          <w:rFonts w:ascii="Times New Roman" w:eastAsia="Calibri" w:hAnsi="Times New Roman" w:cs="Times New Roman"/>
          <w:sz w:val="28"/>
          <w:szCs w:val="28"/>
        </w:rPr>
        <w:t xml:space="preserve"> на общую сумму более 50 миллионов рублей. </w:t>
      </w:r>
    </w:p>
    <w:p w14:paraId="5FF29C16" w14:textId="77777777" w:rsidR="003D21A3" w:rsidRDefault="003D21A3" w:rsidP="003D21A3">
      <w:pPr>
        <w:spacing w:after="0" w:line="240" w:lineRule="auto"/>
        <w:ind w:firstLine="709"/>
        <w:jc w:val="both"/>
        <w:rPr>
          <w:rFonts w:ascii="Times New Roman" w:eastAsia="Calibri" w:hAnsi="Times New Roman" w:cs="Times New Roman"/>
          <w:sz w:val="28"/>
          <w:szCs w:val="28"/>
        </w:rPr>
      </w:pPr>
      <w:r w:rsidRPr="00730780">
        <w:rPr>
          <w:rFonts w:ascii="Times New Roman" w:eastAsia="Calibri" w:hAnsi="Times New Roman" w:cs="Times New Roman"/>
          <w:sz w:val="28"/>
          <w:szCs w:val="28"/>
        </w:rPr>
        <w:t xml:space="preserve">Также Росфимониторинг передал в ФАС России информацию о нарушении антимонопольного законодательства компаниями </w:t>
      </w:r>
      <w:r w:rsidRPr="006A6C9F">
        <w:rPr>
          <w:rFonts w:ascii="Times New Roman" w:eastAsia="Calibri" w:hAnsi="Times New Roman" w:cs="Times New Roman"/>
          <w:sz w:val="28"/>
          <w:szCs w:val="28"/>
        </w:rPr>
        <w:t xml:space="preserve">                                   </w:t>
      </w:r>
      <w:r w:rsidRPr="00730780">
        <w:rPr>
          <w:rFonts w:ascii="Times New Roman" w:eastAsia="Calibri" w:hAnsi="Times New Roman" w:cs="Times New Roman"/>
          <w:sz w:val="28"/>
          <w:szCs w:val="28"/>
        </w:rPr>
        <w:t>ООО «Трансстроймеханизация» и ЗАО «Трест Камдорстрой</w:t>
      </w:r>
      <w:r>
        <w:rPr>
          <w:rFonts w:ascii="Times New Roman" w:eastAsia="Calibri" w:hAnsi="Times New Roman" w:cs="Times New Roman"/>
          <w:sz w:val="28"/>
          <w:szCs w:val="28"/>
        </w:rPr>
        <w:t>»</w:t>
      </w:r>
      <w:r w:rsidRPr="00730780">
        <w:rPr>
          <w:rFonts w:ascii="Times New Roman" w:eastAsia="Calibri" w:hAnsi="Times New Roman" w:cs="Times New Roman"/>
          <w:sz w:val="28"/>
          <w:szCs w:val="28"/>
        </w:rPr>
        <w:t xml:space="preserve">. Нарушение выразилось в заключении и реализации антиконкурентного соглашения в ходе участия </w:t>
      </w:r>
      <w:r>
        <w:rPr>
          <w:rFonts w:ascii="Times New Roman" w:eastAsia="Calibri" w:hAnsi="Times New Roman" w:cs="Times New Roman"/>
          <w:sz w:val="28"/>
          <w:szCs w:val="28"/>
        </w:rPr>
        <w:t>в</w:t>
      </w:r>
      <w:r w:rsidRPr="00730780">
        <w:rPr>
          <w:rFonts w:ascii="Times New Roman" w:eastAsia="Calibri" w:hAnsi="Times New Roman" w:cs="Times New Roman"/>
          <w:sz w:val="28"/>
          <w:szCs w:val="28"/>
        </w:rPr>
        <w:t xml:space="preserve"> 6 конкурсах с ограниченным участием при строительстве и реконструкции 6 аэропортов и взлетно-посадочных полос на общую сумму 24,66 млрд рублей.</w:t>
      </w:r>
    </w:p>
    <w:p w14:paraId="795AEFA6" w14:textId="77777777" w:rsidR="003D21A3" w:rsidRDefault="003D21A3" w:rsidP="003D21A3">
      <w:pPr>
        <w:spacing w:after="0" w:line="240" w:lineRule="auto"/>
        <w:ind w:firstLine="709"/>
        <w:jc w:val="both"/>
        <w:rPr>
          <w:rFonts w:ascii="Times New Roman" w:eastAsia="Calibri" w:hAnsi="Times New Roman" w:cs="Times New Roman"/>
          <w:sz w:val="28"/>
          <w:szCs w:val="28"/>
        </w:rPr>
      </w:pPr>
    </w:p>
    <w:p w14:paraId="53712E98" w14:textId="1F5F5BE0" w:rsidR="003D21A3" w:rsidRPr="00BB4B77" w:rsidRDefault="003D21A3" w:rsidP="003D21A3">
      <w:pPr>
        <w:spacing w:after="0" w:line="240" w:lineRule="auto"/>
        <w:ind w:firstLine="709"/>
        <w:jc w:val="both"/>
        <w:rPr>
          <w:rFonts w:ascii="Times New Roman" w:hAnsi="Times New Roman" w:cs="Times New Roman"/>
          <w:sz w:val="28"/>
          <w:szCs w:val="28"/>
        </w:rPr>
      </w:pPr>
      <w:r w:rsidRPr="00AD6723">
        <w:rPr>
          <w:rFonts w:ascii="Times New Roman" w:hAnsi="Times New Roman" w:cs="Times New Roman"/>
          <w:sz w:val="28"/>
          <w:szCs w:val="28"/>
        </w:rPr>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r>
        <w:rPr>
          <w:rFonts w:ascii="Times New Roman" w:hAnsi="Times New Roman" w:cs="Times New Roman"/>
          <w:sz w:val="28"/>
          <w:szCs w:val="28"/>
        </w:rPr>
        <w:t xml:space="preserve"> Так, ФАС России о</w:t>
      </w:r>
      <w:r w:rsidRPr="00B679EA">
        <w:rPr>
          <w:rFonts w:ascii="Times New Roman" w:hAnsi="Times New Roman" w:cs="Times New Roman"/>
          <w:sz w:val="28"/>
          <w:szCs w:val="28"/>
        </w:rPr>
        <w:t xml:space="preserve">собое внимание уделяет </w:t>
      </w:r>
      <w:r>
        <w:rPr>
          <w:rFonts w:ascii="Times New Roman" w:hAnsi="Times New Roman" w:cs="Times New Roman"/>
          <w:sz w:val="28"/>
          <w:szCs w:val="28"/>
        </w:rPr>
        <w:t xml:space="preserve">совместной </w:t>
      </w:r>
      <w:r w:rsidRPr="00B679EA">
        <w:rPr>
          <w:rFonts w:ascii="Times New Roman" w:hAnsi="Times New Roman" w:cs="Times New Roman"/>
          <w:sz w:val="28"/>
          <w:szCs w:val="28"/>
        </w:rPr>
        <w:t>работе</w:t>
      </w:r>
      <w:r>
        <w:rPr>
          <w:rFonts w:ascii="Times New Roman" w:hAnsi="Times New Roman" w:cs="Times New Roman"/>
          <w:sz w:val="28"/>
          <w:szCs w:val="28"/>
        </w:rPr>
        <w:t xml:space="preserve"> с общественными организациями – </w:t>
      </w:r>
      <w:r w:rsidRPr="00A358AA">
        <w:rPr>
          <w:rFonts w:ascii="Times New Roman" w:hAnsi="Times New Roman" w:cs="Times New Roman"/>
          <w:sz w:val="28"/>
          <w:szCs w:val="28"/>
        </w:rPr>
        <w:t>Общероссийск</w:t>
      </w:r>
      <w:r>
        <w:rPr>
          <w:rFonts w:ascii="Times New Roman" w:hAnsi="Times New Roman" w:cs="Times New Roman"/>
          <w:sz w:val="28"/>
          <w:szCs w:val="28"/>
        </w:rPr>
        <w:t>им</w:t>
      </w:r>
      <w:r w:rsidRPr="00A358AA">
        <w:rPr>
          <w:rFonts w:ascii="Times New Roman" w:hAnsi="Times New Roman" w:cs="Times New Roman"/>
          <w:sz w:val="28"/>
          <w:szCs w:val="28"/>
        </w:rPr>
        <w:t xml:space="preserve"> народн</w:t>
      </w:r>
      <w:r>
        <w:rPr>
          <w:rFonts w:ascii="Times New Roman" w:hAnsi="Times New Roman" w:cs="Times New Roman"/>
          <w:sz w:val="28"/>
          <w:szCs w:val="28"/>
        </w:rPr>
        <w:t>ым</w:t>
      </w:r>
      <w:r w:rsidRPr="00A358AA">
        <w:rPr>
          <w:rFonts w:ascii="Times New Roman" w:hAnsi="Times New Roman" w:cs="Times New Roman"/>
          <w:sz w:val="28"/>
          <w:szCs w:val="28"/>
        </w:rPr>
        <w:t xml:space="preserve"> фронт</w:t>
      </w:r>
      <w:r>
        <w:rPr>
          <w:rFonts w:ascii="Times New Roman" w:hAnsi="Times New Roman" w:cs="Times New Roman"/>
          <w:sz w:val="28"/>
          <w:szCs w:val="28"/>
        </w:rPr>
        <w:t>ом</w:t>
      </w:r>
      <w:r w:rsidRPr="00A358AA">
        <w:rPr>
          <w:rFonts w:ascii="Times New Roman" w:hAnsi="Times New Roman" w:cs="Times New Roman"/>
          <w:sz w:val="28"/>
          <w:szCs w:val="28"/>
        </w:rPr>
        <w:t xml:space="preserve"> </w:t>
      </w:r>
      <w:r w:rsidRPr="00B679EA">
        <w:rPr>
          <w:rFonts w:ascii="Times New Roman" w:hAnsi="Times New Roman" w:cs="Times New Roman"/>
          <w:sz w:val="28"/>
          <w:szCs w:val="28"/>
        </w:rPr>
        <w:t>«За честные закупки»</w:t>
      </w:r>
      <w:r w:rsidR="00FE4C5E">
        <w:rPr>
          <w:rFonts w:ascii="Times New Roman" w:hAnsi="Times New Roman" w:cs="Times New Roman"/>
          <w:sz w:val="28"/>
          <w:szCs w:val="28"/>
        </w:rPr>
        <w:t xml:space="preserve"> (далее – ОНФ)</w:t>
      </w:r>
      <w:r>
        <w:rPr>
          <w:rFonts w:ascii="Times New Roman" w:hAnsi="Times New Roman" w:cs="Times New Roman"/>
          <w:sz w:val="28"/>
          <w:szCs w:val="28"/>
        </w:rPr>
        <w:t xml:space="preserve">, привлекая активистов, в том числе к </w:t>
      </w:r>
      <w:r w:rsidRPr="00A358AA">
        <w:rPr>
          <w:rFonts w:ascii="Times New Roman" w:hAnsi="Times New Roman" w:cs="Times New Roman"/>
          <w:sz w:val="28"/>
          <w:szCs w:val="28"/>
        </w:rPr>
        <w:t>обучени</w:t>
      </w:r>
      <w:r>
        <w:rPr>
          <w:rFonts w:ascii="Times New Roman" w:hAnsi="Times New Roman" w:cs="Times New Roman"/>
          <w:sz w:val="28"/>
          <w:szCs w:val="28"/>
        </w:rPr>
        <w:t>ю</w:t>
      </w:r>
      <w:r w:rsidRPr="00A358AA">
        <w:rPr>
          <w:rFonts w:ascii="Times New Roman" w:hAnsi="Times New Roman" w:cs="Times New Roman"/>
          <w:sz w:val="28"/>
          <w:szCs w:val="28"/>
        </w:rPr>
        <w:t xml:space="preserve"> по</w:t>
      </w:r>
      <w:r>
        <w:rPr>
          <w:rFonts w:ascii="Times New Roman" w:hAnsi="Times New Roman" w:cs="Times New Roman"/>
          <w:sz w:val="28"/>
          <w:szCs w:val="28"/>
        </w:rPr>
        <w:t xml:space="preserve"> профильным </w:t>
      </w:r>
      <w:r w:rsidRPr="00A358AA">
        <w:rPr>
          <w:rFonts w:ascii="Times New Roman" w:hAnsi="Times New Roman" w:cs="Times New Roman"/>
          <w:sz w:val="28"/>
          <w:szCs w:val="28"/>
        </w:rPr>
        <w:t>курсам</w:t>
      </w:r>
      <w:r>
        <w:rPr>
          <w:rFonts w:ascii="Times New Roman" w:hAnsi="Times New Roman" w:cs="Times New Roman"/>
          <w:sz w:val="28"/>
          <w:szCs w:val="28"/>
        </w:rPr>
        <w:t xml:space="preserve"> повышения квалификации, что </w:t>
      </w:r>
      <w:r w:rsidRPr="00BB4B77">
        <w:rPr>
          <w:rFonts w:ascii="Times New Roman" w:hAnsi="Times New Roman" w:cs="Times New Roman"/>
          <w:sz w:val="28"/>
          <w:szCs w:val="28"/>
        </w:rPr>
        <w:t>позволило стать</w:t>
      </w:r>
      <w:r w:rsidRPr="00BB4B77">
        <w:rPr>
          <w:rFonts w:ascii="Times New Roman" w:hAnsi="Times New Roman" w:cs="Times New Roman"/>
          <w:iCs/>
          <w:sz w:val="28"/>
          <w:szCs w:val="28"/>
        </w:rPr>
        <w:t xml:space="preserve"> настоящими коллегами</w:t>
      </w:r>
      <w:r>
        <w:rPr>
          <w:rFonts w:ascii="Times New Roman" w:hAnsi="Times New Roman" w:cs="Times New Roman"/>
          <w:iCs/>
          <w:sz w:val="28"/>
          <w:szCs w:val="28"/>
        </w:rPr>
        <w:t xml:space="preserve"> и </w:t>
      </w:r>
      <w:r w:rsidRPr="00BB4B77">
        <w:rPr>
          <w:rFonts w:ascii="Times New Roman" w:hAnsi="Times New Roman" w:cs="Times New Roman"/>
          <w:iCs/>
          <w:sz w:val="28"/>
          <w:szCs w:val="28"/>
        </w:rPr>
        <w:t>продела</w:t>
      </w:r>
      <w:r>
        <w:rPr>
          <w:rFonts w:ascii="Times New Roman" w:hAnsi="Times New Roman" w:cs="Times New Roman"/>
          <w:iCs/>
          <w:sz w:val="28"/>
          <w:szCs w:val="28"/>
        </w:rPr>
        <w:t>ть</w:t>
      </w:r>
      <w:r w:rsidRPr="00BB4B77">
        <w:rPr>
          <w:rFonts w:ascii="Times New Roman" w:hAnsi="Times New Roman" w:cs="Times New Roman"/>
          <w:iCs/>
          <w:sz w:val="28"/>
          <w:szCs w:val="28"/>
        </w:rPr>
        <w:t xml:space="preserve"> огромную</w:t>
      </w:r>
      <w:r>
        <w:rPr>
          <w:rFonts w:ascii="Times New Roman" w:hAnsi="Times New Roman" w:cs="Times New Roman"/>
          <w:iCs/>
          <w:sz w:val="28"/>
          <w:szCs w:val="28"/>
        </w:rPr>
        <w:t xml:space="preserve"> </w:t>
      </w:r>
      <w:r w:rsidRPr="00BB4B77">
        <w:rPr>
          <w:rFonts w:ascii="Times New Roman" w:hAnsi="Times New Roman" w:cs="Times New Roman"/>
          <w:iCs/>
          <w:sz w:val="28"/>
          <w:szCs w:val="28"/>
        </w:rPr>
        <w:t>комплексную работу</w:t>
      </w:r>
      <w:r w:rsidRPr="00BB4B77">
        <w:rPr>
          <w:rFonts w:ascii="Times New Roman" w:hAnsi="Times New Roman" w:cs="Times New Roman"/>
          <w:sz w:val="28"/>
          <w:szCs w:val="28"/>
        </w:rPr>
        <w:t xml:space="preserve">. </w:t>
      </w:r>
    </w:p>
    <w:p w14:paraId="38156D76" w14:textId="77777777" w:rsidR="003D21A3" w:rsidRPr="004D0BC6" w:rsidRDefault="003D21A3" w:rsidP="003D21A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несколько лет</w:t>
      </w:r>
      <w:r w:rsidRPr="004D0BC6">
        <w:rPr>
          <w:rFonts w:ascii="Times New Roman" w:hAnsi="Times New Roman" w:cs="Times New Roman"/>
          <w:sz w:val="28"/>
          <w:szCs w:val="28"/>
        </w:rPr>
        <w:t xml:space="preserve"> совместного мониторинга </w:t>
      </w:r>
      <w:r>
        <w:rPr>
          <w:rFonts w:ascii="Times New Roman" w:hAnsi="Times New Roman" w:cs="Times New Roman"/>
          <w:sz w:val="28"/>
          <w:szCs w:val="28"/>
        </w:rPr>
        <w:t xml:space="preserve">государственных </w:t>
      </w:r>
      <w:r w:rsidRPr="004D0BC6">
        <w:rPr>
          <w:rFonts w:ascii="Times New Roman" w:hAnsi="Times New Roman" w:cs="Times New Roman"/>
          <w:sz w:val="28"/>
          <w:szCs w:val="28"/>
        </w:rPr>
        <w:t xml:space="preserve">закупок </w:t>
      </w:r>
      <w:r>
        <w:rPr>
          <w:rFonts w:ascii="Times New Roman" w:hAnsi="Times New Roman" w:cs="Times New Roman"/>
          <w:sz w:val="28"/>
          <w:szCs w:val="28"/>
        </w:rPr>
        <w:t xml:space="preserve">активистами ОНФ совместно с ФАС России </w:t>
      </w:r>
      <w:r w:rsidRPr="004D0BC6">
        <w:rPr>
          <w:rFonts w:ascii="Times New Roman" w:hAnsi="Times New Roman" w:cs="Times New Roman"/>
          <w:sz w:val="28"/>
          <w:szCs w:val="28"/>
        </w:rPr>
        <w:t xml:space="preserve">выявлены признаки нарушения антимонопольного законодательства </w:t>
      </w:r>
      <w:r>
        <w:rPr>
          <w:rFonts w:ascii="Times New Roman" w:hAnsi="Times New Roman" w:cs="Times New Roman"/>
          <w:sz w:val="28"/>
          <w:szCs w:val="28"/>
        </w:rPr>
        <w:t xml:space="preserve">в таких </w:t>
      </w:r>
      <w:r w:rsidRPr="00EC3CDB">
        <w:rPr>
          <w:rFonts w:ascii="Times New Roman" w:hAnsi="Times New Roman" w:cs="Times New Roman"/>
          <w:sz w:val="28"/>
          <w:szCs w:val="28"/>
        </w:rPr>
        <w:t>секторах российской экономики</w:t>
      </w:r>
      <w:r>
        <w:rPr>
          <w:rFonts w:ascii="Times New Roman" w:hAnsi="Times New Roman" w:cs="Times New Roman"/>
          <w:sz w:val="28"/>
          <w:szCs w:val="28"/>
        </w:rPr>
        <w:t>, как</w:t>
      </w:r>
      <w:r w:rsidRPr="00EC3CDB">
        <w:rPr>
          <w:rFonts w:ascii="Times New Roman" w:hAnsi="Times New Roman" w:cs="Times New Roman"/>
          <w:sz w:val="28"/>
          <w:szCs w:val="28"/>
        </w:rPr>
        <w:t xml:space="preserve"> постав</w:t>
      </w:r>
      <w:r>
        <w:rPr>
          <w:rFonts w:ascii="Times New Roman" w:hAnsi="Times New Roman" w:cs="Times New Roman"/>
          <w:sz w:val="28"/>
          <w:szCs w:val="28"/>
        </w:rPr>
        <w:t>ка</w:t>
      </w:r>
      <w:r w:rsidRPr="00EC3CDB">
        <w:rPr>
          <w:rFonts w:ascii="Times New Roman" w:hAnsi="Times New Roman" w:cs="Times New Roman"/>
          <w:sz w:val="28"/>
          <w:szCs w:val="28"/>
        </w:rPr>
        <w:t xml:space="preserve"> медикаментов</w:t>
      </w:r>
      <w:r>
        <w:rPr>
          <w:rFonts w:ascii="Times New Roman" w:hAnsi="Times New Roman" w:cs="Times New Roman"/>
          <w:sz w:val="28"/>
          <w:szCs w:val="28"/>
        </w:rPr>
        <w:t>,</w:t>
      </w:r>
      <w:r w:rsidRPr="00EC3CDB">
        <w:rPr>
          <w:rFonts w:ascii="Times New Roman" w:hAnsi="Times New Roman" w:cs="Times New Roman"/>
          <w:sz w:val="28"/>
          <w:szCs w:val="28"/>
        </w:rPr>
        <w:t xml:space="preserve"> продуктов питания, строительство</w:t>
      </w:r>
      <w:r>
        <w:rPr>
          <w:rFonts w:ascii="Times New Roman" w:hAnsi="Times New Roman" w:cs="Times New Roman"/>
          <w:sz w:val="28"/>
          <w:szCs w:val="28"/>
        </w:rPr>
        <w:t>, на всей территории Российской Федерации.</w:t>
      </w:r>
    </w:p>
    <w:p w14:paraId="29152574" w14:textId="77777777" w:rsidR="003D21A3" w:rsidRPr="004D0BC6" w:rsidRDefault="003D21A3" w:rsidP="003D21A3">
      <w:pPr>
        <w:spacing w:after="0" w:line="240" w:lineRule="auto"/>
        <w:ind w:firstLine="709"/>
        <w:jc w:val="both"/>
        <w:rPr>
          <w:rFonts w:ascii="Times New Roman" w:hAnsi="Times New Roman" w:cs="Times New Roman"/>
          <w:sz w:val="28"/>
          <w:szCs w:val="28"/>
        </w:rPr>
      </w:pPr>
      <w:r w:rsidRPr="004D0BC6">
        <w:rPr>
          <w:rFonts w:ascii="Times New Roman" w:hAnsi="Times New Roman" w:cs="Times New Roman"/>
          <w:sz w:val="28"/>
          <w:szCs w:val="28"/>
        </w:rPr>
        <w:t>На основании выявленных</w:t>
      </w:r>
      <w:r>
        <w:rPr>
          <w:rFonts w:ascii="Times New Roman" w:hAnsi="Times New Roman" w:cs="Times New Roman"/>
          <w:sz w:val="28"/>
          <w:szCs w:val="28"/>
        </w:rPr>
        <w:t xml:space="preserve"> активистами ОНФ </w:t>
      </w:r>
      <w:r w:rsidRPr="004D0BC6">
        <w:rPr>
          <w:rFonts w:ascii="Times New Roman" w:hAnsi="Times New Roman" w:cs="Times New Roman"/>
          <w:sz w:val="28"/>
          <w:szCs w:val="28"/>
        </w:rPr>
        <w:t xml:space="preserve">признаков </w:t>
      </w:r>
      <w:r>
        <w:rPr>
          <w:rFonts w:ascii="Times New Roman" w:hAnsi="Times New Roman" w:cs="Times New Roman"/>
          <w:sz w:val="28"/>
          <w:szCs w:val="28"/>
        </w:rPr>
        <w:t xml:space="preserve">ФАС России </w:t>
      </w:r>
      <w:r w:rsidRPr="004D0BC6">
        <w:rPr>
          <w:rFonts w:ascii="Times New Roman" w:hAnsi="Times New Roman" w:cs="Times New Roman"/>
          <w:sz w:val="28"/>
          <w:szCs w:val="28"/>
        </w:rPr>
        <w:t>направлено более 1</w:t>
      </w:r>
      <w:r>
        <w:rPr>
          <w:rFonts w:ascii="Times New Roman" w:hAnsi="Times New Roman" w:cs="Times New Roman"/>
          <w:sz w:val="28"/>
          <w:szCs w:val="28"/>
        </w:rPr>
        <w:t>6</w:t>
      </w:r>
      <w:r w:rsidRPr="004D0BC6">
        <w:rPr>
          <w:rFonts w:ascii="Times New Roman" w:hAnsi="Times New Roman" w:cs="Times New Roman"/>
          <w:sz w:val="28"/>
          <w:szCs w:val="28"/>
        </w:rPr>
        <w:t xml:space="preserve">0 поручений в территориальные органы ФАС России о проведении проверок для выявления нарушения антимонопольного законодательства. </w:t>
      </w:r>
    </w:p>
    <w:p w14:paraId="2B4AA7F6" w14:textId="77777777" w:rsidR="003D21A3" w:rsidRPr="004D0BC6" w:rsidRDefault="003D21A3" w:rsidP="003D21A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результате</w:t>
      </w:r>
      <w:r w:rsidRPr="004D0BC6">
        <w:rPr>
          <w:rFonts w:ascii="Times New Roman" w:hAnsi="Times New Roman" w:cs="Times New Roman"/>
          <w:sz w:val="28"/>
          <w:szCs w:val="28"/>
        </w:rPr>
        <w:t xml:space="preserve"> </w:t>
      </w:r>
      <w:r>
        <w:rPr>
          <w:rFonts w:ascii="Times New Roman" w:hAnsi="Times New Roman" w:cs="Times New Roman"/>
          <w:sz w:val="28"/>
          <w:szCs w:val="28"/>
        </w:rPr>
        <w:t>по сигналам активистов ОНФ антимонопольными</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органами </w:t>
      </w:r>
      <w:r w:rsidRPr="004D0BC6">
        <w:rPr>
          <w:rFonts w:ascii="Times New Roman" w:hAnsi="Times New Roman" w:cs="Times New Roman"/>
          <w:sz w:val="28"/>
          <w:szCs w:val="28"/>
        </w:rPr>
        <w:t xml:space="preserve">возбуждено более 75 дел о нарушении антимонопольного законодательства, </w:t>
      </w:r>
      <w:r>
        <w:rPr>
          <w:rFonts w:ascii="Times New Roman" w:hAnsi="Times New Roman" w:cs="Times New Roman"/>
          <w:sz w:val="28"/>
          <w:szCs w:val="28"/>
        </w:rPr>
        <w:t>преимущественно</w:t>
      </w:r>
      <w:r w:rsidRPr="004D0BC6">
        <w:rPr>
          <w:rFonts w:ascii="Times New Roman" w:hAnsi="Times New Roman" w:cs="Times New Roman"/>
          <w:sz w:val="28"/>
          <w:szCs w:val="28"/>
        </w:rPr>
        <w:t xml:space="preserve"> в сфере</w:t>
      </w:r>
      <w:r w:rsidRPr="004D0BC6">
        <w:rPr>
          <w:rFonts w:ascii="Times New Roman" w:hAnsi="Times New Roman" w:cs="Times New Roman"/>
          <w:b/>
          <w:sz w:val="28"/>
          <w:szCs w:val="28"/>
        </w:rPr>
        <w:t xml:space="preserve"> </w:t>
      </w:r>
      <w:r>
        <w:rPr>
          <w:rFonts w:ascii="Times New Roman" w:hAnsi="Times New Roman" w:cs="Times New Roman"/>
          <w:b/>
          <w:sz w:val="28"/>
          <w:szCs w:val="28"/>
        </w:rPr>
        <w:t>организации</w:t>
      </w:r>
      <w:r w:rsidRPr="004D0BC6">
        <w:rPr>
          <w:rFonts w:ascii="Times New Roman" w:hAnsi="Times New Roman" w:cs="Times New Roman"/>
          <w:b/>
          <w:sz w:val="28"/>
          <w:szCs w:val="28"/>
        </w:rPr>
        <w:t xml:space="preserve"> питания в образовательны</w:t>
      </w:r>
      <w:r>
        <w:rPr>
          <w:rFonts w:ascii="Times New Roman" w:hAnsi="Times New Roman" w:cs="Times New Roman"/>
          <w:b/>
          <w:sz w:val="28"/>
          <w:szCs w:val="28"/>
        </w:rPr>
        <w:t>х</w:t>
      </w:r>
      <w:r w:rsidRPr="004D0BC6">
        <w:rPr>
          <w:rFonts w:ascii="Times New Roman" w:hAnsi="Times New Roman" w:cs="Times New Roman"/>
          <w:b/>
          <w:sz w:val="28"/>
          <w:szCs w:val="28"/>
        </w:rPr>
        <w:t xml:space="preserve"> и медицински</w:t>
      </w:r>
      <w:r>
        <w:rPr>
          <w:rFonts w:ascii="Times New Roman" w:hAnsi="Times New Roman" w:cs="Times New Roman"/>
          <w:b/>
          <w:sz w:val="28"/>
          <w:szCs w:val="28"/>
        </w:rPr>
        <w:t>х</w:t>
      </w:r>
      <w:r w:rsidRPr="004D0BC6">
        <w:rPr>
          <w:rFonts w:ascii="Times New Roman" w:hAnsi="Times New Roman" w:cs="Times New Roman"/>
          <w:b/>
          <w:sz w:val="28"/>
          <w:szCs w:val="28"/>
        </w:rPr>
        <w:t xml:space="preserve"> учреждения</w:t>
      </w:r>
      <w:r>
        <w:rPr>
          <w:rFonts w:ascii="Times New Roman" w:hAnsi="Times New Roman" w:cs="Times New Roman"/>
          <w:b/>
          <w:sz w:val="28"/>
          <w:szCs w:val="28"/>
        </w:rPr>
        <w:t>х на территории страны</w:t>
      </w:r>
      <w:r w:rsidRPr="004D0BC6">
        <w:rPr>
          <w:rFonts w:ascii="Times New Roman" w:hAnsi="Times New Roman" w:cs="Times New Roman"/>
          <w:b/>
          <w:sz w:val="28"/>
          <w:szCs w:val="28"/>
        </w:rPr>
        <w:t>.</w:t>
      </w:r>
      <w:r w:rsidRPr="004D0BC6">
        <w:rPr>
          <w:rFonts w:ascii="Times New Roman" w:hAnsi="Times New Roman" w:cs="Times New Roman"/>
          <w:sz w:val="28"/>
          <w:szCs w:val="28"/>
        </w:rPr>
        <w:t xml:space="preserve"> Общая сумма контрактов по возбужденным делам составила </w:t>
      </w:r>
      <w:r w:rsidRPr="004D0BC6">
        <w:rPr>
          <w:rFonts w:ascii="Times New Roman" w:hAnsi="Times New Roman" w:cs="Times New Roman"/>
          <w:b/>
          <w:sz w:val="28"/>
          <w:szCs w:val="28"/>
        </w:rPr>
        <w:t xml:space="preserve">более </w:t>
      </w:r>
      <w:r>
        <w:rPr>
          <w:rFonts w:ascii="Times New Roman" w:hAnsi="Times New Roman" w:cs="Times New Roman"/>
          <w:b/>
          <w:sz w:val="28"/>
          <w:szCs w:val="28"/>
        </w:rPr>
        <w:t>7</w:t>
      </w:r>
      <w:r w:rsidRPr="004D0BC6">
        <w:rPr>
          <w:rFonts w:ascii="Times New Roman" w:hAnsi="Times New Roman" w:cs="Times New Roman"/>
          <w:b/>
          <w:sz w:val="28"/>
          <w:szCs w:val="28"/>
        </w:rPr>
        <w:t>,5 млрд руб.</w:t>
      </w:r>
      <w:r w:rsidRPr="004D0BC6">
        <w:rPr>
          <w:rFonts w:ascii="Times New Roman" w:hAnsi="Times New Roman" w:cs="Times New Roman"/>
          <w:sz w:val="28"/>
          <w:szCs w:val="28"/>
        </w:rPr>
        <w:t xml:space="preserve"> Сумма наложенных штрафов </w:t>
      </w:r>
      <w:r>
        <w:rPr>
          <w:rFonts w:ascii="Times New Roman" w:hAnsi="Times New Roman" w:cs="Times New Roman"/>
          <w:sz w:val="28"/>
          <w:szCs w:val="28"/>
        </w:rPr>
        <w:t xml:space="preserve">по </w:t>
      </w:r>
      <w:r w:rsidRPr="004D0BC6">
        <w:rPr>
          <w:rFonts w:ascii="Times New Roman" w:hAnsi="Times New Roman" w:cs="Times New Roman"/>
          <w:sz w:val="28"/>
          <w:szCs w:val="28"/>
        </w:rPr>
        <w:t>возбужденным делам</w:t>
      </w:r>
      <w:r>
        <w:rPr>
          <w:rFonts w:ascii="Times New Roman" w:hAnsi="Times New Roman" w:cs="Times New Roman"/>
          <w:sz w:val="28"/>
          <w:szCs w:val="28"/>
        </w:rPr>
        <w:t xml:space="preserve"> в настоящий момент</w:t>
      </w:r>
      <w:r w:rsidRPr="004D0BC6">
        <w:rPr>
          <w:rFonts w:ascii="Times New Roman" w:hAnsi="Times New Roman" w:cs="Times New Roman"/>
          <w:sz w:val="28"/>
          <w:szCs w:val="28"/>
        </w:rPr>
        <w:t xml:space="preserve"> состав</w:t>
      </w:r>
      <w:r>
        <w:rPr>
          <w:rFonts w:ascii="Times New Roman" w:hAnsi="Times New Roman" w:cs="Times New Roman"/>
          <w:sz w:val="28"/>
          <w:szCs w:val="28"/>
        </w:rPr>
        <w:t>ляет</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свыше </w:t>
      </w:r>
      <w:r w:rsidRPr="004D0BC6">
        <w:rPr>
          <w:rFonts w:ascii="Times New Roman" w:hAnsi="Times New Roman" w:cs="Times New Roman"/>
          <w:b/>
          <w:sz w:val="28"/>
          <w:szCs w:val="28"/>
        </w:rPr>
        <w:t>1</w:t>
      </w:r>
      <w:r>
        <w:rPr>
          <w:rFonts w:ascii="Times New Roman" w:hAnsi="Times New Roman" w:cs="Times New Roman"/>
          <w:b/>
          <w:sz w:val="28"/>
          <w:szCs w:val="28"/>
        </w:rPr>
        <w:t>50</w:t>
      </w:r>
      <w:r w:rsidRPr="004D0BC6">
        <w:rPr>
          <w:rFonts w:ascii="Times New Roman" w:hAnsi="Times New Roman" w:cs="Times New Roman"/>
          <w:b/>
          <w:sz w:val="28"/>
          <w:szCs w:val="28"/>
        </w:rPr>
        <w:t> </w:t>
      </w:r>
      <w:r>
        <w:rPr>
          <w:rFonts w:ascii="Times New Roman" w:hAnsi="Times New Roman" w:cs="Times New Roman"/>
          <w:b/>
          <w:sz w:val="28"/>
          <w:szCs w:val="28"/>
        </w:rPr>
        <w:t>млн</w:t>
      </w:r>
      <w:r w:rsidRPr="004D0BC6">
        <w:rPr>
          <w:rFonts w:ascii="Times New Roman" w:hAnsi="Times New Roman" w:cs="Times New Roman"/>
          <w:b/>
          <w:sz w:val="28"/>
          <w:szCs w:val="28"/>
        </w:rPr>
        <w:t xml:space="preserve"> руб</w:t>
      </w:r>
      <w:r>
        <w:rPr>
          <w:rFonts w:ascii="Times New Roman" w:hAnsi="Times New Roman" w:cs="Times New Roman"/>
          <w:b/>
          <w:sz w:val="28"/>
          <w:szCs w:val="28"/>
        </w:rPr>
        <w:t>лей</w:t>
      </w:r>
      <w:r w:rsidRPr="004D0BC6">
        <w:rPr>
          <w:rFonts w:ascii="Times New Roman" w:hAnsi="Times New Roman" w:cs="Times New Roman"/>
          <w:b/>
          <w:sz w:val="28"/>
          <w:szCs w:val="28"/>
        </w:rPr>
        <w:t>.</w:t>
      </w:r>
    </w:p>
    <w:p w14:paraId="6A1A5385" w14:textId="77777777" w:rsidR="003D21A3" w:rsidRPr="003C401D" w:rsidRDefault="003D21A3" w:rsidP="003D21A3">
      <w:pPr>
        <w:spacing w:after="0" w:line="240" w:lineRule="auto"/>
        <w:ind w:firstLine="709"/>
        <w:jc w:val="both"/>
        <w:rPr>
          <w:rFonts w:ascii="Times New Roman" w:hAnsi="Times New Roman" w:cs="Times New Roman"/>
          <w:sz w:val="28"/>
          <w:szCs w:val="28"/>
        </w:rPr>
      </w:pPr>
      <w:r w:rsidRPr="003C401D">
        <w:rPr>
          <w:rFonts w:ascii="Times New Roman" w:hAnsi="Times New Roman" w:cs="Times New Roman"/>
          <w:sz w:val="28"/>
          <w:szCs w:val="28"/>
        </w:rPr>
        <w:t>Кроме того, в настоящее время суды и следственные органы рассматривают </w:t>
      </w:r>
      <w:r w:rsidRPr="003C401D">
        <w:rPr>
          <w:rFonts w:ascii="Times New Roman" w:hAnsi="Times New Roman" w:cs="Times New Roman"/>
          <w:b/>
          <w:bCs/>
          <w:sz w:val="28"/>
          <w:szCs w:val="28"/>
        </w:rPr>
        <w:t xml:space="preserve">26 уголовных дел </w:t>
      </w:r>
      <w:r w:rsidRPr="003C401D">
        <w:rPr>
          <w:rFonts w:ascii="Times New Roman" w:hAnsi="Times New Roman" w:cs="Times New Roman"/>
          <w:bCs/>
          <w:sz w:val="28"/>
          <w:szCs w:val="28"/>
        </w:rPr>
        <w:t>по картелям</w:t>
      </w:r>
      <w:r w:rsidRPr="003C401D">
        <w:rPr>
          <w:rFonts w:ascii="Times New Roman" w:hAnsi="Times New Roman" w:cs="Times New Roman"/>
          <w:b/>
          <w:bCs/>
          <w:sz w:val="28"/>
          <w:szCs w:val="28"/>
        </w:rPr>
        <w:t> </w:t>
      </w:r>
      <w:r w:rsidRPr="003C401D">
        <w:rPr>
          <w:rFonts w:ascii="Times New Roman" w:hAnsi="Times New Roman" w:cs="Times New Roman"/>
          <w:sz w:val="28"/>
          <w:szCs w:val="28"/>
        </w:rPr>
        <w:t xml:space="preserve">и другим соглашениям, возбужденных по информации, полученной в ходе совместной работы с ОНФ. </w:t>
      </w:r>
    </w:p>
    <w:p w14:paraId="0F02F647" w14:textId="77777777" w:rsidR="003D21A3" w:rsidRDefault="003D21A3" w:rsidP="003D21A3">
      <w:pPr>
        <w:spacing w:after="0" w:line="240" w:lineRule="auto"/>
        <w:ind w:firstLine="709"/>
        <w:jc w:val="both"/>
        <w:rPr>
          <w:rFonts w:ascii="Times New Roman" w:hAnsi="Times New Roman" w:cs="Times New Roman"/>
          <w:sz w:val="28"/>
          <w:szCs w:val="28"/>
        </w:rPr>
      </w:pPr>
    </w:p>
    <w:p w14:paraId="235CEAA5" w14:textId="77777777" w:rsidR="003D21A3" w:rsidRDefault="003D21A3" w:rsidP="003D21A3">
      <w:pPr>
        <w:spacing w:after="0" w:line="240" w:lineRule="auto"/>
        <w:ind w:firstLine="709"/>
        <w:jc w:val="both"/>
        <w:rPr>
          <w:rFonts w:ascii="Times New Roman" w:hAnsi="Times New Roman" w:cs="Times New Roman"/>
          <w:sz w:val="28"/>
          <w:szCs w:val="28"/>
        </w:rPr>
      </w:pPr>
      <w:r w:rsidRPr="00D16B16">
        <w:rPr>
          <w:rFonts w:ascii="Times New Roman" w:hAnsi="Times New Roman" w:cs="Times New Roman"/>
          <w:sz w:val="28"/>
          <w:szCs w:val="28"/>
        </w:rPr>
        <w:t>Антиконкурентные соглашения, в том числе картели</w:t>
      </w:r>
      <w:r>
        <w:rPr>
          <w:rFonts w:ascii="Times New Roman" w:hAnsi="Times New Roman" w:cs="Times New Roman"/>
          <w:sz w:val="28"/>
          <w:szCs w:val="28"/>
        </w:rPr>
        <w:t>,</w:t>
      </w:r>
      <w:r w:rsidRPr="00D16B16">
        <w:rPr>
          <w:rFonts w:ascii="Times New Roman" w:hAnsi="Times New Roman" w:cs="Times New Roman"/>
          <w:sz w:val="28"/>
          <w:szCs w:val="28"/>
        </w:rPr>
        <w:t xml:space="preserve"> выявляются практически во всех секторах российской экономики, но всё же «лидер</w:t>
      </w:r>
      <w:r>
        <w:rPr>
          <w:rFonts w:ascii="Times New Roman" w:hAnsi="Times New Roman" w:cs="Times New Roman"/>
          <w:sz w:val="28"/>
          <w:szCs w:val="28"/>
        </w:rPr>
        <w:t>ом</w:t>
      </w:r>
      <w:r w:rsidRPr="00D16B16">
        <w:rPr>
          <w:rFonts w:ascii="Times New Roman" w:hAnsi="Times New Roman" w:cs="Times New Roman"/>
          <w:sz w:val="28"/>
          <w:szCs w:val="28"/>
        </w:rPr>
        <w:t xml:space="preserve">» по картелизации </w:t>
      </w:r>
      <w:r>
        <w:rPr>
          <w:rFonts w:ascii="Times New Roman" w:hAnsi="Times New Roman" w:cs="Times New Roman"/>
          <w:sz w:val="28"/>
          <w:szCs w:val="28"/>
        </w:rPr>
        <w:t>в 2018 году является</w:t>
      </w:r>
      <w:r w:rsidRPr="00D16B16">
        <w:rPr>
          <w:rFonts w:ascii="Times New Roman" w:hAnsi="Times New Roman" w:cs="Times New Roman"/>
          <w:sz w:val="28"/>
          <w:szCs w:val="28"/>
        </w:rPr>
        <w:t xml:space="preserve"> сфера строительства</w:t>
      </w:r>
      <w:r>
        <w:rPr>
          <w:rFonts w:ascii="Times New Roman" w:hAnsi="Times New Roman" w:cs="Times New Roman"/>
          <w:sz w:val="28"/>
          <w:szCs w:val="28"/>
        </w:rPr>
        <w:t xml:space="preserve"> (29% от общего количества дел)</w:t>
      </w:r>
      <w:r w:rsidRPr="00D16B16">
        <w:rPr>
          <w:rFonts w:ascii="Times New Roman" w:hAnsi="Times New Roman" w:cs="Times New Roman"/>
          <w:sz w:val="28"/>
          <w:szCs w:val="28"/>
        </w:rPr>
        <w:t>.</w:t>
      </w:r>
    </w:p>
    <w:p w14:paraId="3EA2927C" w14:textId="77777777" w:rsidR="003D21A3" w:rsidRPr="00CB7451" w:rsidRDefault="003D21A3" w:rsidP="003D21A3">
      <w:pPr>
        <w:spacing w:after="0" w:line="240" w:lineRule="auto"/>
        <w:ind w:firstLine="709"/>
        <w:jc w:val="both"/>
        <w:rPr>
          <w:rFonts w:ascii="Times New Roman" w:hAnsi="Times New Roman" w:cs="Times New Roman"/>
          <w:sz w:val="28"/>
          <w:szCs w:val="28"/>
        </w:rPr>
      </w:pPr>
      <w:r w:rsidRPr="00CB7451">
        <w:rPr>
          <w:rFonts w:ascii="Times New Roman" w:hAnsi="Times New Roman" w:cs="Times New Roman"/>
          <w:sz w:val="28"/>
          <w:szCs w:val="28"/>
        </w:rPr>
        <w:t>Декартелизация сферы дорожного строительства:</w:t>
      </w:r>
    </w:p>
    <w:p w14:paraId="7DDA7104" w14:textId="0C5A396A" w:rsidR="003D21A3" w:rsidRDefault="003D21A3" w:rsidP="003D21A3">
      <w:pPr>
        <w:pStyle w:val="aff8"/>
        <w:widowControl w:val="0"/>
        <w:suppressAutoHyphens/>
        <w:spacing w:line="240" w:lineRule="auto"/>
        <w:jc w:val="both"/>
        <w:rPr>
          <w:b/>
          <w:i/>
          <w:sz w:val="28"/>
          <w:szCs w:val="28"/>
        </w:rPr>
      </w:pPr>
      <w:r>
        <w:rPr>
          <w:sz w:val="28"/>
          <w:szCs w:val="28"/>
        </w:rPr>
        <w:t xml:space="preserve">-  </w:t>
      </w:r>
      <w:r w:rsidRPr="00D16B16">
        <w:rPr>
          <w:sz w:val="28"/>
          <w:szCs w:val="28"/>
        </w:rPr>
        <w:t>Национальны</w:t>
      </w:r>
      <w:r>
        <w:rPr>
          <w:sz w:val="28"/>
          <w:szCs w:val="28"/>
        </w:rPr>
        <w:t>м</w:t>
      </w:r>
      <w:r w:rsidRPr="00D16B16">
        <w:rPr>
          <w:sz w:val="28"/>
          <w:szCs w:val="28"/>
        </w:rPr>
        <w:t xml:space="preserve"> план</w:t>
      </w:r>
      <w:r>
        <w:rPr>
          <w:sz w:val="28"/>
          <w:szCs w:val="28"/>
        </w:rPr>
        <w:t>ом</w:t>
      </w:r>
      <w:r w:rsidRPr="00D16B16">
        <w:rPr>
          <w:sz w:val="28"/>
          <w:szCs w:val="28"/>
        </w:rPr>
        <w:t xml:space="preserve"> развития конкуренции в Российской Федерации на 2018-2020 годы</w:t>
      </w:r>
      <w:r w:rsidRPr="00384394">
        <w:rPr>
          <w:sz w:val="28"/>
          <w:szCs w:val="28"/>
        </w:rPr>
        <w:t xml:space="preserve">, утвержденного Указом </w:t>
      </w:r>
      <w:r>
        <w:rPr>
          <w:sz w:val="28"/>
          <w:szCs w:val="28"/>
        </w:rPr>
        <w:t>618</w:t>
      </w:r>
      <w:r w:rsidR="00CB7451">
        <w:rPr>
          <w:sz w:val="28"/>
          <w:szCs w:val="28"/>
        </w:rPr>
        <w:t>,</w:t>
      </w:r>
      <w:r>
        <w:rPr>
          <w:sz w:val="28"/>
          <w:szCs w:val="28"/>
        </w:rPr>
        <w:t xml:space="preserve"> </w:t>
      </w:r>
      <w:r w:rsidRPr="00D16B16">
        <w:rPr>
          <w:sz w:val="28"/>
          <w:szCs w:val="28"/>
        </w:rPr>
        <w:t xml:space="preserve">предусмотрена работа </w:t>
      </w:r>
      <w:r w:rsidRPr="00CB7451">
        <w:rPr>
          <w:sz w:val="28"/>
          <w:szCs w:val="28"/>
        </w:rPr>
        <w:t>по декартелизации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402E9BB7" w14:textId="77777777" w:rsidR="003D21A3" w:rsidRPr="00CB7451" w:rsidRDefault="003D21A3" w:rsidP="003D21A3">
      <w:pPr>
        <w:spacing w:after="0" w:line="240" w:lineRule="auto"/>
        <w:ind w:firstLine="709"/>
        <w:jc w:val="both"/>
        <w:rPr>
          <w:rFonts w:ascii="Times New Roman" w:eastAsia="Times New Roman" w:hAnsi="Times New Roman" w:cs="Times New Roman"/>
          <w:iCs/>
          <w:color w:val="000000"/>
          <w:sz w:val="28"/>
          <w:szCs w:val="28"/>
          <w:lang w:eastAsia="ar-SA"/>
        </w:rPr>
      </w:pPr>
      <w:r>
        <w:rPr>
          <w:rFonts w:ascii="Times New Roman" w:eastAsia="Times New Roman" w:hAnsi="Times New Roman" w:cs="Times New Roman"/>
          <w:iCs/>
          <w:color w:val="000000"/>
          <w:sz w:val="28"/>
          <w:szCs w:val="28"/>
          <w:lang w:eastAsia="ar-SA"/>
        </w:rPr>
        <w:t xml:space="preserve">- </w:t>
      </w:r>
      <w:r w:rsidRPr="00D16B16">
        <w:rPr>
          <w:rFonts w:ascii="Times New Roman" w:eastAsia="Times New Roman" w:hAnsi="Times New Roman" w:cs="Times New Roman"/>
          <w:iCs/>
          <w:color w:val="000000"/>
          <w:sz w:val="28"/>
          <w:szCs w:val="28"/>
          <w:lang w:eastAsia="ar-SA"/>
        </w:rPr>
        <w:t>Решени</w:t>
      </w:r>
      <w:r>
        <w:rPr>
          <w:rFonts w:ascii="Times New Roman" w:eastAsia="Times New Roman" w:hAnsi="Times New Roman" w:cs="Times New Roman"/>
          <w:iCs/>
          <w:color w:val="000000"/>
          <w:sz w:val="28"/>
          <w:szCs w:val="28"/>
          <w:lang w:eastAsia="ar-SA"/>
        </w:rPr>
        <w:t>ем</w:t>
      </w:r>
      <w:r w:rsidRPr="00D16B16">
        <w:rPr>
          <w:rFonts w:ascii="Times New Roman" w:eastAsia="Times New Roman" w:hAnsi="Times New Roman" w:cs="Times New Roman"/>
          <w:iCs/>
          <w:color w:val="000000"/>
          <w:sz w:val="28"/>
          <w:szCs w:val="28"/>
          <w:lang w:eastAsia="ar-SA"/>
        </w:rPr>
        <w:t xml:space="preserve"> Коллегии ФАС России от 1 марта 2017 года №1 перед ФАС России поставлена задача </w:t>
      </w:r>
      <w:r w:rsidRPr="00CB7451">
        <w:rPr>
          <w:rFonts w:ascii="Times New Roman" w:eastAsia="Times New Roman" w:hAnsi="Times New Roman" w:cs="Times New Roman"/>
          <w:iCs/>
          <w:color w:val="000000"/>
          <w:sz w:val="28"/>
          <w:szCs w:val="28"/>
          <w:lang w:eastAsia="ar-SA"/>
        </w:rPr>
        <w:t xml:space="preserve">по декартелизации сферы строительства, в том числе дорожного, содержания и ремонта дорог. </w:t>
      </w:r>
    </w:p>
    <w:p w14:paraId="57189FA9" w14:textId="77777777" w:rsidR="003D21A3" w:rsidRDefault="003D21A3" w:rsidP="003D21A3">
      <w:pPr>
        <w:spacing w:after="0" w:line="240" w:lineRule="auto"/>
        <w:ind w:firstLine="709"/>
        <w:jc w:val="both"/>
        <w:rPr>
          <w:rFonts w:ascii="Times New Roman" w:hAnsi="Times New Roman" w:cs="Times New Roman"/>
          <w:sz w:val="28"/>
        </w:rPr>
      </w:pPr>
      <w:r>
        <w:rPr>
          <w:rFonts w:ascii="Times New Roman" w:hAnsi="Times New Roman" w:cs="Times New Roman"/>
          <w:sz w:val="28"/>
        </w:rPr>
        <w:t>За 2016 – 2018 годы ФАС России возбуждено</w:t>
      </w:r>
      <w:r w:rsidRPr="00D16B16">
        <w:rPr>
          <w:rFonts w:ascii="Times New Roman" w:hAnsi="Times New Roman" w:cs="Times New Roman"/>
          <w:sz w:val="28"/>
        </w:rPr>
        <w:t xml:space="preserve"> 256 дел о картелях, которые охватили порядка 1000 конкурентных процедур по выполнению строительных работ.</w:t>
      </w:r>
      <w:r>
        <w:rPr>
          <w:rFonts w:ascii="Times New Roman" w:hAnsi="Times New Roman" w:cs="Times New Roman"/>
          <w:sz w:val="28"/>
        </w:rPr>
        <w:t xml:space="preserve"> </w:t>
      </w:r>
    </w:p>
    <w:p w14:paraId="66B1EA9D" w14:textId="77777777" w:rsidR="003D21A3" w:rsidRDefault="003D21A3" w:rsidP="003D21A3">
      <w:pPr>
        <w:spacing w:after="0" w:line="240" w:lineRule="auto"/>
        <w:ind w:firstLine="709"/>
        <w:jc w:val="both"/>
        <w:rPr>
          <w:rFonts w:ascii="Times New Roman" w:hAnsi="Times New Roman" w:cs="Times New Roman"/>
          <w:sz w:val="28"/>
        </w:rPr>
      </w:pPr>
      <w:r>
        <w:rPr>
          <w:rFonts w:ascii="Times New Roman" w:hAnsi="Times New Roman" w:cs="Times New Roman"/>
          <w:sz w:val="28"/>
        </w:rPr>
        <w:t>С</w:t>
      </w:r>
      <w:r w:rsidRPr="00D16B16">
        <w:rPr>
          <w:rFonts w:ascii="Times New Roman" w:hAnsi="Times New Roman" w:cs="Times New Roman"/>
          <w:sz w:val="28"/>
        </w:rPr>
        <w:t>умма д</w:t>
      </w:r>
      <w:r>
        <w:rPr>
          <w:rFonts w:ascii="Times New Roman" w:hAnsi="Times New Roman" w:cs="Times New Roman"/>
          <w:sz w:val="28"/>
        </w:rPr>
        <w:t>оходов участников картелей</w:t>
      </w:r>
      <w:r w:rsidRPr="00D16B16">
        <w:rPr>
          <w:rFonts w:ascii="Times New Roman" w:hAnsi="Times New Roman" w:cs="Times New Roman"/>
          <w:sz w:val="28"/>
        </w:rPr>
        <w:t xml:space="preserve"> составила </w:t>
      </w:r>
      <w:r w:rsidRPr="00FC29C3">
        <w:rPr>
          <w:rFonts w:ascii="Times New Roman" w:hAnsi="Times New Roman" w:cs="Times New Roman"/>
          <w:b/>
          <w:sz w:val="28"/>
        </w:rPr>
        <w:t>более 154 миллиардов рублей</w:t>
      </w:r>
      <w:r w:rsidRPr="00D16B16">
        <w:rPr>
          <w:rFonts w:ascii="Times New Roman" w:hAnsi="Times New Roman" w:cs="Times New Roman"/>
          <w:sz w:val="28"/>
        </w:rPr>
        <w:t xml:space="preserve">. </w:t>
      </w:r>
    </w:p>
    <w:p w14:paraId="5282692B" w14:textId="77777777" w:rsidR="003D21A3" w:rsidRPr="00D76498" w:rsidRDefault="003D21A3" w:rsidP="003D21A3">
      <w:pPr>
        <w:spacing w:after="0" w:line="240" w:lineRule="auto"/>
        <w:ind w:firstLine="709"/>
        <w:jc w:val="both"/>
        <w:rPr>
          <w:rFonts w:ascii="Times New Roman" w:hAnsi="Times New Roman" w:cs="Times New Roman"/>
          <w:sz w:val="28"/>
        </w:rPr>
      </w:pPr>
      <w:r w:rsidRPr="00D16B16">
        <w:rPr>
          <w:rFonts w:ascii="Times New Roman" w:hAnsi="Times New Roman" w:cs="Times New Roman"/>
          <w:sz w:val="28"/>
        </w:rPr>
        <w:t xml:space="preserve">Деятельностью строительных картелей </w:t>
      </w:r>
      <w:r w:rsidRPr="00FC29C3">
        <w:rPr>
          <w:rFonts w:ascii="Times New Roman" w:hAnsi="Times New Roman" w:cs="Times New Roman"/>
          <w:b/>
          <w:sz w:val="28"/>
        </w:rPr>
        <w:t xml:space="preserve">охвачено 79 </w:t>
      </w:r>
      <w:r>
        <w:rPr>
          <w:rFonts w:ascii="Times New Roman" w:hAnsi="Times New Roman" w:cs="Times New Roman"/>
          <w:b/>
          <w:sz w:val="28"/>
        </w:rPr>
        <w:t>регионов</w:t>
      </w:r>
      <w:r w:rsidRPr="00FC29C3">
        <w:rPr>
          <w:rFonts w:ascii="Times New Roman" w:hAnsi="Times New Roman" w:cs="Times New Roman"/>
          <w:b/>
          <w:sz w:val="28"/>
        </w:rPr>
        <w:t xml:space="preserve"> страны</w:t>
      </w:r>
      <w:r w:rsidRPr="00D16B16">
        <w:rPr>
          <w:rFonts w:ascii="Times New Roman" w:hAnsi="Times New Roman" w:cs="Times New Roman"/>
          <w:sz w:val="28"/>
        </w:rPr>
        <w:t>.</w:t>
      </w:r>
    </w:p>
    <w:p w14:paraId="7009722E" w14:textId="77777777" w:rsidR="003D21A3" w:rsidRDefault="003D21A3" w:rsidP="003D21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50E26E57" w14:textId="77777777" w:rsidR="005D77F3" w:rsidRPr="00A51A4D" w:rsidRDefault="005D77F3" w:rsidP="005D77F3">
      <w:pPr>
        <w:spacing w:after="0" w:line="240" w:lineRule="auto"/>
        <w:ind w:firstLine="709"/>
        <w:jc w:val="both"/>
        <w:rPr>
          <w:rFonts w:ascii="Times New Roman" w:hAnsi="Times New Roman" w:cs="Times New Roman"/>
          <w:b/>
          <w:sz w:val="28"/>
          <w:szCs w:val="28"/>
        </w:rPr>
      </w:pPr>
    </w:p>
    <w:p w14:paraId="19AFEF8D" w14:textId="77777777" w:rsidR="005D77F3" w:rsidRPr="00A51A4D" w:rsidRDefault="005D77F3" w:rsidP="005D77F3">
      <w:pPr>
        <w:spacing w:after="0" w:line="240" w:lineRule="auto"/>
        <w:jc w:val="center"/>
        <w:rPr>
          <w:rFonts w:ascii="Times New Roman" w:hAnsi="Times New Roman" w:cs="Times New Roman"/>
          <w:b/>
          <w:sz w:val="28"/>
          <w:szCs w:val="28"/>
        </w:rPr>
      </w:pPr>
      <w:r w:rsidRPr="00A51A4D">
        <w:rPr>
          <w:rFonts w:ascii="Times New Roman" w:hAnsi="Times New Roman" w:cs="Times New Roman"/>
          <w:b/>
          <w:sz w:val="28"/>
          <w:szCs w:val="28"/>
        </w:rPr>
        <w:t>Реализация плана мероприятий «дорожной</w:t>
      </w:r>
      <w:r>
        <w:rPr>
          <w:rFonts w:ascii="Times New Roman" w:hAnsi="Times New Roman" w:cs="Times New Roman"/>
          <w:b/>
          <w:sz w:val="28"/>
          <w:szCs w:val="28"/>
        </w:rPr>
        <w:t xml:space="preserve"> карты» по развитию конкуренции</w:t>
      </w:r>
    </w:p>
    <w:p w14:paraId="7854326A" w14:textId="77777777" w:rsidR="00000301" w:rsidRDefault="00000301" w:rsidP="00A91B1F">
      <w:pPr>
        <w:spacing w:after="0" w:line="240" w:lineRule="auto"/>
        <w:ind w:firstLine="709"/>
        <w:jc w:val="both"/>
        <w:rPr>
          <w:rFonts w:ascii="Times New Roman" w:hAnsi="Times New Roman" w:cs="Times New Roman"/>
          <w:sz w:val="28"/>
          <w:szCs w:val="28"/>
        </w:rPr>
      </w:pPr>
    </w:p>
    <w:p w14:paraId="52C9EB0A" w14:textId="7E7D82C6" w:rsidR="00A91B1F" w:rsidRPr="00A91B1F" w:rsidRDefault="005D77F3" w:rsidP="00A91B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A91B1F" w:rsidRPr="00A91B1F">
        <w:rPr>
          <w:rFonts w:ascii="Times New Roman" w:hAnsi="Times New Roman" w:cs="Times New Roman"/>
          <w:sz w:val="28"/>
          <w:szCs w:val="28"/>
        </w:rPr>
        <w:t xml:space="preserve">В </w:t>
      </w:r>
      <w:r w:rsidR="00A91B1F">
        <w:rPr>
          <w:rFonts w:ascii="Times New Roman" w:hAnsi="Times New Roman" w:cs="Times New Roman"/>
          <w:sz w:val="28"/>
          <w:szCs w:val="28"/>
        </w:rPr>
        <w:t>«дорожной карте»</w:t>
      </w:r>
      <w:r w:rsidR="00A91B1F" w:rsidRPr="00A91B1F">
        <w:rPr>
          <w:rFonts w:ascii="Times New Roman" w:hAnsi="Times New Roman" w:cs="Times New Roman"/>
          <w:sz w:val="28"/>
          <w:szCs w:val="28"/>
        </w:rPr>
        <w:t xml:space="preserve"> для сферы «Телекоммуникации» установлен ожидаемый результат – устранение необоснованной разницы в тарифах на услуги сотовой связи при поездках по Российской Федерации (роуминг).</w:t>
      </w:r>
    </w:p>
    <w:p w14:paraId="274AB939"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Единство телекоммуникационного пространства означает не только техническую возможность взаимодействия сетей электросвязи. Важнейшим аспектом является восприятие единого телекоммуникационного пространства Российской Федерации потребителями.</w:t>
      </w:r>
    </w:p>
    <w:p w14:paraId="78B08A55" w14:textId="300EE23D"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в настоящее время на территории Российской Федерации абоненты, приезжающие в другой регион, вынуждены оплачивать значительную наценку к услугам подвижной радиотелефонной связи, которые оказывает как тот оператор, с которым у абонента заключен договор (до недавнего времени такая услуга позиционировалась как «внутрисетевой роуминг), так и у оператора, с которым договор не заключен и который оказывает услуги на основании межоператорского роумингового соглашения.</w:t>
      </w:r>
    </w:p>
    <w:p w14:paraId="27B7DBC9"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При этом возможность взимания платы за входящие телефонные соединения, когда абонент приезжает в другой регион, прямо предусмотрена федеральным законом.</w:t>
      </w:r>
    </w:p>
    <w:p w14:paraId="53778011"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Кроме того, абонент может попадать в «роуминг», находясь в зоне действия базовых станций на границе субъектов Российской Федерации, и получать шоковые счета.</w:t>
      </w:r>
    </w:p>
    <w:p w14:paraId="2A78E20C"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По существу, оказывая услуги связи «гостевому» абоненту, оператор оказывает те же услуги связи, которые он оказывает абоненту, с которым у него заключен договор. Таким образом, установление межоператорских ставок на уровне, существенно превышающем тарифы на услуги связи для «своих» абонентов, необоснованно.</w:t>
      </w:r>
    </w:p>
    <w:p w14:paraId="7A849FFA"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Важно отметить что, устанавливая завышенные ставки для оператора – партнера, оператор «замыкает» в своей сети группу абонентов, тем самым препятствуя развитию конкуренции.</w:t>
      </w:r>
    </w:p>
    <w:p w14:paraId="57B29DB3" w14:textId="77777777" w:rsidR="00485396" w:rsidRDefault="00485396" w:rsidP="00123198">
      <w:pPr>
        <w:spacing w:after="0" w:line="240" w:lineRule="auto"/>
        <w:ind w:firstLine="709"/>
        <w:jc w:val="center"/>
        <w:rPr>
          <w:rFonts w:ascii="Times New Roman" w:hAnsi="Times New Roman" w:cs="Times New Roman"/>
          <w:b/>
          <w:sz w:val="28"/>
          <w:szCs w:val="28"/>
        </w:rPr>
      </w:pPr>
    </w:p>
    <w:p w14:paraId="4CFA2DCF" w14:textId="5CB6405A" w:rsidR="00A91B1F" w:rsidRPr="00123198" w:rsidRDefault="00A91B1F" w:rsidP="00DF2D39">
      <w:pPr>
        <w:spacing w:after="0" w:line="240" w:lineRule="auto"/>
        <w:jc w:val="center"/>
        <w:rPr>
          <w:rFonts w:ascii="Times New Roman" w:hAnsi="Times New Roman" w:cs="Times New Roman"/>
          <w:b/>
          <w:sz w:val="28"/>
          <w:szCs w:val="28"/>
        </w:rPr>
      </w:pPr>
      <w:r w:rsidRPr="00123198">
        <w:rPr>
          <w:rFonts w:ascii="Times New Roman" w:hAnsi="Times New Roman" w:cs="Times New Roman"/>
          <w:b/>
          <w:sz w:val="28"/>
          <w:szCs w:val="28"/>
        </w:rPr>
        <w:t>Ликвидация национального роуминга</w:t>
      </w:r>
    </w:p>
    <w:p w14:paraId="511F042B" w14:textId="77777777" w:rsidR="00000301" w:rsidRDefault="00000301" w:rsidP="00A91B1F">
      <w:pPr>
        <w:spacing w:after="0" w:line="240" w:lineRule="auto"/>
        <w:ind w:firstLine="709"/>
        <w:jc w:val="both"/>
        <w:rPr>
          <w:rFonts w:ascii="Times New Roman" w:hAnsi="Times New Roman" w:cs="Times New Roman"/>
          <w:sz w:val="28"/>
          <w:szCs w:val="28"/>
        </w:rPr>
      </w:pPr>
    </w:p>
    <w:p w14:paraId="34BC3EEF"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2016 году в ФАС России создана Рабочая группа по ликвидации роуминга в Российской Федерации. Целью деятельности Рабочей группы являлось формирование условий, обеспечивающих операторам связи возможность установления абонентских тарифов в национальном роуминге на уровне, близком к условиям домашнего региона.</w:t>
      </w:r>
    </w:p>
    <w:p w14:paraId="34C71D68"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ноябре 2016 года на заседании Рабочей группы установлен план по отмене национального роуминга, предусматривающий ряд этапов:</w:t>
      </w:r>
    </w:p>
    <w:p w14:paraId="4609FED3" w14:textId="57A512DC" w:rsidR="00A91B1F" w:rsidRDefault="00123198" w:rsidP="00A91B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A91B1F" w:rsidRPr="00A91B1F">
        <w:rPr>
          <w:rFonts w:ascii="Times New Roman" w:hAnsi="Times New Roman" w:cs="Times New Roman"/>
          <w:sz w:val="28"/>
          <w:szCs w:val="28"/>
        </w:rPr>
        <w:t>)</w:t>
      </w:r>
      <w:r w:rsidR="00A91B1F" w:rsidRPr="00A91B1F">
        <w:rPr>
          <w:rFonts w:ascii="Times New Roman" w:hAnsi="Times New Roman" w:cs="Times New Roman"/>
          <w:sz w:val="28"/>
          <w:szCs w:val="28"/>
        </w:rPr>
        <w:tab/>
        <w:t>снижение меж</w:t>
      </w:r>
      <w:r>
        <w:rPr>
          <w:rFonts w:ascii="Times New Roman" w:hAnsi="Times New Roman" w:cs="Times New Roman"/>
          <w:sz w:val="28"/>
          <w:szCs w:val="28"/>
        </w:rPr>
        <w:t>операторских роуминговых ставок;</w:t>
      </w:r>
      <w:r w:rsidR="00A91B1F" w:rsidRPr="00A91B1F">
        <w:rPr>
          <w:rFonts w:ascii="Times New Roman" w:hAnsi="Times New Roman" w:cs="Times New Roman"/>
          <w:sz w:val="28"/>
          <w:szCs w:val="28"/>
        </w:rPr>
        <w:t xml:space="preserve"> </w:t>
      </w:r>
    </w:p>
    <w:p w14:paraId="55BFFCAA" w14:textId="6226CF71" w:rsidR="00A91B1F" w:rsidRPr="00A91B1F" w:rsidRDefault="00123198" w:rsidP="00A91B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A91B1F" w:rsidRPr="00A91B1F">
        <w:rPr>
          <w:rFonts w:ascii="Times New Roman" w:hAnsi="Times New Roman" w:cs="Times New Roman"/>
          <w:sz w:val="28"/>
          <w:szCs w:val="28"/>
        </w:rPr>
        <w:t>)</w:t>
      </w:r>
      <w:r w:rsidR="005438CC">
        <w:rPr>
          <w:rFonts w:ascii="Times New Roman" w:hAnsi="Times New Roman" w:cs="Times New Roman"/>
          <w:sz w:val="28"/>
          <w:szCs w:val="28"/>
        </w:rPr>
        <w:tab/>
      </w:r>
      <w:r w:rsidR="00A91B1F" w:rsidRPr="00A91B1F">
        <w:rPr>
          <w:rFonts w:ascii="Times New Roman" w:hAnsi="Times New Roman" w:cs="Times New Roman"/>
          <w:sz w:val="28"/>
          <w:szCs w:val="28"/>
        </w:rPr>
        <w:t>соответствующее снижение абонентских тарифов.</w:t>
      </w:r>
    </w:p>
    <w:p w14:paraId="414CF673"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Предполагалось, что снижение абонентских тарифов до комфортного уровня, близкого к домашним тарифам, приведет к росту потребления услуг связи, характерному для привычного уровня потребления. Это приведет к увеличению доходов операторов, и позволит осуществить следующее снижение тарифов.</w:t>
      </w:r>
    </w:p>
    <w:p w14:paraId="40977ACF" w14:textId="7ADFDBDB"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По результатам обсуждений на Рабочей группе операторы подвижной радиотелефонной связи, осуществляющие деятельность на территории Республики Крым и г. Севастополь, в январе – феврале 2017 года снизили уровень межоператорских ставок для обеспечения возможности снизить абонентские тарифы на национальный роуминг. При этом участники Рабочей группы рассчитывали, что адекватное снижение абонентских тарифов приведет к росту потребления услуг и в итоге – к улучшению экономических показателей деятельности операторов Крыма. Однако абонентские тарифы не были снижены.ФАС России 03.08.2017 возбуждены антимонопольные дела в отношении операторов «большой четверки» (ВымпелКом, МегаФон, МТС, Т2 Мобайл) за установление и поддержание монопольно высоких цен на услуги связи в национальном роуминге, в том числе на территории Республики Крым и г. Севастополя. </w:t>
      </w:r>
    </w:p>
    <w:p w14:paraId="0E4F39A9"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Следует отметить, что в ходе рассмотрения дел операторами МТС, ВымпелКом, МегаФон существенно снижены межоператорские роуминговые ставки по запросу Т2 Мобайл.</w:t>
      </w:r>
    </w:p>
    <w:p w14:paraId="1063AF6F"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рассмотрения дел операторы «большой четверки» в декабре 2017 года подали ходатайства о добровольном устранении нарушения антимонопольного законодательства.</w:t>
      </w:r>
    </w:p>
    <w:p w14:paraId="5B4E0126"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устранения нарушения абонентские тарифы в национальном роуминге были существенно снижены.</w:t>
      </w:r>
    </w:p>
    <w:p w14:paraId="5A8F081D"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«ВымпелКом» (Билайн) снижение стоимости составило от 2 до 5 раз:</w:t>
      </w:r>
    </w:p>
    <w:p w14:paraId="3C371D4C"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9,95 руб./мин. до 2 руб./мин.</w:t>
      </w:r>
    </w:p>
    <w:p w14:paraId="296BC181"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СМС-сообщений с 4,95 руб./шт. до 2 руб./шт.</w:t>
      </w:r>
    </w:p>
    <w:p w14:paraId="25EB43FD"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снижение стоимости передачи данных с 9,95 руб./Мб. до 2 руб./Мб. </w:t>
      </w:r>
    </w:p>
    <w:p w14:paraId="4D9BF762"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«МегаФон» снижение стоимости составило от 2,5 до 5 раз:</w:t>
      </w:r>
    </w:p>
    <w:p w14:paraId="736E4676"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голосовые соединения с 9,90 руб./мин. до:</w:t>
      </w:r>
    </w:p>
    <w:p w14:paraId="6892113B"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- 0 руб./мин местный входящий вызов;</w:t>
      </w:r>
    </w:p>
    <w:p w14:paraId="46ABE1B8"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местный исходящий вызов;</w:t>
      </w:r>
    </w:p>
    <w:p w14:paraId="4AFF2F27"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междугородний входящий вызов;</w:t>
      </w:r>
    </w:p>
    <w:p w14:paraId="3AC0C6CE"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- 3 руб./мин междугородний исходящий вызов </w:t>
      </w:r>
    </w:p>
    <w:p w14:paraId="1097AC4C"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снижается с 4,90 до 2 руб./шт.;</w:t>
      </w:r>
    </w:p>
    <w:p w14:paraId="25B9A2D2"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снижается с 9,90 до 2,20 руб./Мб.</w:t>
      </w:r>
    </w:p>
    <w:p w14:paraId="5DA82981"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«МТС» снижение стоимости составило от 2 до 9 раз:</w:t>
      </w:r>
    </w:p>
    <w:p w14:paraId="174D2430"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10,90 руб./мин. до:</w:t>
      </w:r>
    </w:p>
    <w:p w14:paraId="0572159D"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входящие вызовы;</w:t>
      </w:r>
    </w:p>
    <w:p w14:paraId="04B3E927"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 (кроме международных);</w:t>
      </w:r>
    </w:p>
    <w:p w14:paraId="05042ABA"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снижена с 3,95 до 2 руб./шт.;</w:t>
      </w:r>
    </w:p>
    <w:p w14:paraId="0BE7E5D5"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9,90 до 1 руб./мин.;</w:t>
      </w:r>
    </w:p>
    <w:p w14:paraId="5A68E210"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(Теле2) снижение стоимости составило от 1,5 до 5 раз:</w:t>
      </w:r>
    </w:p>
    <w:p w14:paraId="04B556CF"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5 руб./мин. до:</w:t>
      </w:r>
    </w:p>
    <w:p w14:paraId="3BCFF241"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- 1 руб./мин. входящие вызовы;</w:t>
      </w:r>
    </w:p>
    <w:p w14:paraId="338D8427"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w:t>
      </w:r>
    </w:p>
    <w:p w14:paraId="57138C28"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СМС-сообщений снижена с 3,50 до 3 руб./шт.;</w:t>
      </w:r>
    </w:p>
    <w:p w14:paraId="23F4B905"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5 до 3 руб./Мб.</w:t>
      </w:r>
    </w:p>
    <w:p w14:paraId="7E6AAA29"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бюджет уплачены штрафы в размере 2 млн. 950 тыс. руб.</w:t>
      </w:r>
    </w:p>
    <w:p w14:paraId="5D0EF3AF"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Снижение абонентских тарифов было произведено в декабре 2017 – феврале 2018, что позволяет провести оценку мероприятий по «ликвидации» национального роуминга в летнем сезоне 2018 года.</w:t>
      </w:r>
    </w:p>
    <w:p w14:paraId="21A7661B"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проанализирован объем потребленных услуг связи российскими абонентами, посетившими Республику Крым и г. Севастополь, а также доходы операторов связи за период с 01.04.2017 по 30.09.2017 и с 01.04.2018 по 30.09.2018 (сезон к сезону).</w:t>
      </w:r>
    </w:p>
    <w:p w14:paraId="2E04D202"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Рост количества абонентов составил 38%; рост объемов потребления мобильного Интернета составил в среднем 60%, рост доходов операторов связи от абонентов, находящихся на территории Республики Крым и город Севастополь составил 18%. Рост доходов операторов связи в рамках межоператорских роуминговых соглашений составил 31%.</w:t>
      </w:r>
    </w:p>
    <w:p w14:paraId="09F9530C"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Прогнозы ФАС России о благоприятном влиянии мероприятий по снижению абонентских тарифов в национальном роуминге до уровня, сопоставимого с домашним регионом, подтвердились: количество активных абонентов и потребление услуг связи выросло, доходы операторов связи увеличились.</w:t>
      </w:r>
    </w:p>
    <w:p w14:paraId="3CF3AF4D"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считает необходимым совершение следующих итераций по снижению межоператорских роуминговых ставок и соответственно абонентских тарифов при поездках на территорию Республики Крым и города Севастополь с очередного периода – январь 2019 г.</w:t>
      </w:r>
    </w:p>
    <w:p w14:paraId="6B9902CC" w14:textId="77777777" w:rsidR="00A91B1F" w:rsidRPr="00A91B1F" w:rsidRDefault="00A91B1F" w:rsidP="00A91B1F">
      <w:pPr>
        <w:spacing w:after="0" w:line="240" w:lineRule="auto"/>
        <w:ind w:firstLine="709"/>
        <w:jc w:val="both"/>
        <w:rPr>
          <w:rFonts w:ascii="Times New Roman" w:hAnsi="Times New Roman" w:cs="Times New Roman"/>
          <w:sz w:val="28"/>
          <w:szCs w:val="28"/>
        </w:rPr>
      </w:pPr>
    </w:p>
    <w:p w14:paraId="680D468A" w14:textId="72D179CE" w:rsidR="00A91B1F" w:rsidRPr="00152DAC" w:rsidRDefault="00A91B1F" w:rsidP="00123198">
      <w:pPr>
        <w:spacing w:after="0" w:line="240" w:lineRule="auto"/>
        <w:jc w:val="center"/>
        <w:rPr>
          <w:rFonts w:ascii="Times New Roman" w:hAnsi="Times New Roman" w:cs="Times New Roman"/>
          <w:b/>
          <w:sz w:val="28"/>
          <w:szCs w:val="28"/>
        </w:rPr>
      </w:pPr>
      <w:r w:rsidRPr="00152DAC">
        <w:rPr>
          <w:rFonts w:ascii="Times New Roman" w:hAnsi="Times New Roman" w:cs="Times New Roman"/>
          <w:b/>
          <w:sz w:val="28"/>
          <w:szCs w:val="28"/>
        </w:rPr>
        <w:t>Ликвидация «внутрисетевого роуминга»</w:t>
      </w:r>
    </w:p>
    <w:p w14:paraId="5BFE6774" w14:textId="77777777" w:rsidR="00152DAC" w:rsidRDefault="00152DAC" w:rsidP="00A91B1F">
      <w:pPr>
        <w:spacing w:after="0" w:line="240" w:lineRule="auto"/>
        <w:ind w:firstLine="709"/>
        <w:jc w:val="both"/>
        <w:rPr>
          <w:rFonts w:ascii="Times New Roman" w:hAnsi="Times New Roman" w:cs="Times New Roman"/>
          <w:sz w:val="28"/>
          <w:szCs w:val="28"/>
        </w:rPr>
      </w:pPr>
    </w:p>
    <w:p w14:paraId="605814D7"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«Внутрисетевой роуминг» заключался в увеличении, по сравнению с условиями домашнего региона, цен на услуги связи в случае, если абонент выезжал из домашнего региона по Российской Федерации, оставаясь при этом в сети связи своего оператора связи.</w:t>
      </w:r>
    </w:p>
    <w:p w14:paraId="2E246DD9"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Наценка на услуги связи при поездках за пределы домашнего региона производилась для всех категорий абонентов, кроме самых дорогих «пакетных» тарифных планах, абонентская плата за которые составляет в зависимости от оператора ~ от 800 руб./месяц. Для повременных тарифных планов разница цен в поездках и в домашнем регионе была максимальна и составляла от 2 до 10 раз.</w:t>
      </w:r>
    </w:p>
    <w:p w14:paraId="4696ED55"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проведения расследования ФАС России установлено, что экономическая, технологическая обоснованность установления различных тарифов на услуги подвижной радиотелефонной связи в домашнем регионе и в поездках в сети того же оператора связи отсутствует: при поездке абонента в регион, отличный от домашнего, применяется точно такая же маршрутизация вызовов и оператор не несет никаких дополнительных затрат на оказание услуг связи, когда абонент попадает во «внутрисетевой роуминг».</w:t>
      </w:r>
    </w:p>
    <w:p w14:paraId="271BA501"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14.07.2017 выдано операторам «большой четверки» Предупреждение о прекращении действий (бездействия), которые содержат признаки нарушения антимонопольного законодательства, направленное на ликвидацию «внутрисетевого роуминга» на территории Российской Федерации.</w:t>
      </w:r>
    </w:p>
    <w:p w14:paraId="6A95EA02"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большим объемом технических изменений схем тарификации во всех тарифных планах операторов, срок исполнения Предупреждений был продлен по 31.01.2017 г.</w:t>
      </w:r>
    </w:p>
    <w:p w14:paraId="143F35FB"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Операторы ВымпелКом, МегаФон, МТС отчитались об исполнении Предупреждения.</w:t>
      </w:r>
    </w:p>
    <w:p w14:paraId="58069D32"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срок исполнения Предупреждения был продлен до 31.08.2018 г.</w:t>
      </w:r>
    </w:p>
    <w:p w14:paraId="10C97E27"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исполнения предупреждений операторы связи предприняли ряд действий, направленных на установление одинаковых условий в домашнем регионе и в поездках: цены на СМС, передачу данных и исходящие голосовые соединения в поездках были установлены на том же уровне, что и в домашнем регионе.</w:t>
      </w:r>
    </w:p>
    <w:p w14:paraId="1CF962BB"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предложенная операторами, даже сниженная, плата за входящие звонки (операторами предлагалось снижение с 9,00 – 10,50 до 5-5,50 руб./мин), а также введение платы за входящие на пакетных тарифных планах, где она ранее не предусматривалась, по мнению ФАС России, является экономически необоснованной. Также, операторы внесли изменения в «пакетные» тарифные планы, согласно которым при поездках за пределы домашнего региона объемы голосовых соединений (мин.), смс-сообщений (шт.), передачи данных (Мб) не расходуются из предоплаченного пакета, а тарифицируются отдельно.</w:t>
      </w:r>
    </w:p>
    <w:p w14:paraId="264D5B21"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оценив изменения условий тарификации для абонентов при поездках, сочла Предупреждения неисполненными.</w:t>
      </w:r>
    </w:p>
    <w:p w14:paraId="00ADC780"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неисполнением предупреждения 5 марта в отношении ПАО «МегаФон», ПАО «МТС», 12 марта в отношении ПАО «ВымпелКом» возбуждены дела о нарушении антимонопольного законодательства.</w:t>
      </w:r>
    </w:p>
    <w:p w14:paraId="25CB2A0E" w14:textId="2661D5FA"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В ходе рассмотрения дел операторами был установлен единый порядок расходования голосовых соединений, СМС и данных из пакетов. В августе 2018 </w:t>
      </w:r>
      <w:r w:rsidR="00156832">
        <w:rPr>
          <w:rFonts w:ascii="Times New Roman" w:hAnsi="Times New Roman" w:cs="Times New Roman"/>
          <w:sz w:val="28"/>
          <w:szCs w:val="28"/>
        </w:rPr>
        <w:t xml:space="preserve">года операторы связи объявили </w:t>
      </w:r>
      <w:r w:rsidRPr="00A91B1F">
        <w:rPr>
          <w:rFonts w:ascii="Times New Roman" w:hAnsi="Times New Roman" w:cs="Times New Roman"/>
          <w:sz w:val="28"/>
          <w:szCs w:val="28"/>
        </w:rPr>
        <w:t>об отмене платы за входящие голосовые соединения при поездках по России: ПАО «ВымпелКом» - с 20.08.2018, ПАО «МегаФон» - с 01.09.2018, ПАО «МТС» - с 01.09.2018 и 30.09.2018. Указанная информация была размещена в соответствии с пунктом 24 Правил оказания услуг телефонной связи.</w:t>
      </w:r>
    </w:p>
    <w:p w14:paraId="7E192989"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Учитывая, что операторы добровольно устранили нарушение антимонопольного законодательства, предписание об устранении нарушения не выдавалась.</w:t>
      </w:r>
    </w:p>
    <w:p w14:paraId="265B58EE"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«Т2Мобайл» исполнило предупреждение в полном объеме в установленный срок, то есть до 31 августа 2018 года.</w:t>
      </w:r>
    </w:p>
    <w:p w14:paraId="196F70C4"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цены на услуги связи, а также условия тарификации в домашнем регионе и в поездках одинаковы для абонентов «большой четверки».</w:t>
      </w:r>
    </w:p>
    <w:p w14:paraId="6345BB8F" w14:textId="77777777" w:rsidR="00A91B1F" w:rsidRPr="00A91B1F" w:rsidRDefault="00A91B1F" w:rsidP="00A91B1F">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01 июня 2019 года вступает в силу Федеральный закон от 27.12.2018              № 527-ФЗ «О внесении изменений в статьи 46 и 54 Федерального закона «О связи», который вводит такие же требования в отношении всех операторов подвижной радиотелефонной связи.</w:t>
      </w:r>
    </w:p>
    <w:p w14:paraId="05394B2C" w14:textId="77777777" w:rsidR="00A91B1F" w:rsidRPr="00A91B1F" w:rsidRDefault="00A91B1F" w:rsidP="00A91B1F">
      <w:pPr>
        <w:spacing w:after="0" w:line="240" w:lineRule="auto"/>
        <w:ind w:firstLine="709"/>
        <w:jc w:val="both"/>
        <w:rPr>
          <w:rFonts w:ascii="Times New Roman" w:hAnsi="Times New Roman" w:cs="Times New Roman"/>
          <w:sz w:val="28"/>
          <w:szCs w:val="28"/>
        </w:rPr>
      </w:pPr>
    </w:p>
    <w:p w14:paraId="5DA17720" w14:textId="7157CCB6" w:rsidR="005D77F3" w:rsidRPr="00A51A4D" w:rsidRDefault="005D77F3" w:rsidP="005D77F3">
      <w:pPr>
        <w:spacing w:after="0" w:line="240" w:lineRule="auto"/>
        <w:ind w:firstLine="709"/>
        <w:jc w:val="both"/>
        <w:rPr>
          <w:rFonts w:ascii="Times New Roman" w:hAnsi="Times New Roman" w:cs="Times New Roman"/>
          <w:sz w:val="28"/>
          <w:szCs w:val="28"/>
        </w:rPr>
      </w:pPr>
      <w:r w:rsidRPr="007E45CA">
        <w:rPr>
          <w:rFonts w:ascii="Times New Roman" w:hAnsi="Times New Roman" w:cs="Times New Roman"/>
          <w:sz w:val="28"/>
          <w:szCs w:val="28"/>
        </w:rPr>
        <w:t>2.</w:t>
      </w:r>
      <w:r>
        <w:rPr>
          <w:rFonts w:ascii="Times New Roman" w:hAnsi="Times New Roman" w:cs="Times New Roman"/>
          <w:b/>
          <w:sz w:val="28"/>
          <w:szCs w:val="28"/>
        </w:rPr>
        <w:t xml:space="preserve"> </w:t>
      </w:r>
      <w:r w:rsidRPr="00A51A4D">
        <w:rPr>
          <w:rFonts w:ascii="Times New Roman" w:hAnsi="Times New Roman" w:cs="Times New Roman"/>
          <w:sz w:val="28"/>
          <w:szCs w:val="28"/>
        </w:rPr>
        <w:t>В целях правового регулирования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w:t>
      </w:r>
      <w:r w:rsidR="00405D4F">
        <w:rPr>
          <w:rFonts w:ascii="Times New Roman" w:hAnsi="Times New Roman" w:cs="Times New Roman"/>
          <w:sz w:val="28"/>
          <w:szCs w:val="28"/>
        </w:rPr>
        <w:t>ударственной Д</w:t>
      </w:r>
      <w:r w:rsidRPr="00A51A4D">
        <w:rPr>
          <w:rFonts w:ascii="Times New Roman" w:hAnsi="Times New Roman" w:cs="Times New Roman"/>
          <w:sz w:val="28"/>
          <w:szCs w:val="28"/>
        </w:rPr>
        <w:t>умы Р</w:t>
      </w:r>
      <w:r w:rsidR="00405D4F">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sidR="00405D4F">
        <w:rPr>
          <w:rFonts w:ascii="Times New Roman" w:hAnsi="Times New Roman" w:cs="Times New Roman"/>
          <w:sz w:val="28"/>
          <w:szCs w:val="28"/>
        </w:rPr>
        <w:t>едерации</w:t>
      </w:r>
      <w:r w:rsidRPr="00A51A4D">
        <w:rPr>
          <w:rFonts w:ascii="Times New Roman" w:hAnsi="Times New Roman" w:cs="Times New Roman"/>
          <w:sz w:val="28"/>
          <w:szCs w:val="28"/>
        </w:rPr>
        <w:t>). Указанный законопроект предусматривает, в том числе,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 организациями, осуществляющими образовательную деятельность в соответствии с законодательством Р</w:t>
      </w:r>
      <w:r w:rsidR="00133908">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sidR="00133908">
        <w:rPr>
          <w:rFonts w:ascii="Times New Roman" w:hAnsi="Times New Roman" w:cs="Times New Roman"/>
          <w:sz w:val="28"/>
          <w:szCs w:val="28"/>
        </w:rPr>
        <w:t>едерации</w:t>
      </w:r>
      <w:r w:rsidRPr="00A51A4D">
        <w:rPr>
          <w:rFonts w:ascii="Times New Roman" w:hAnsi="Times New Roman" w:cs="Times New Roman"/>
          <w:sz w:val="28"/>
          <w:szCs w:val="28"/>
        </w:rPr>
        <w:t xml:space="preserve">. </w:t>
      </w:r>
    </w:p>
    <w:p w14:paraId="2DEFD989" w14:textId="77777777" w:rsidR="00000301" w:rsidRDefault="00000301" w:rsidP="005D77F3">
      <w:pPr>
        <w:spacing w:after="0" w:line="240" w:lineRule="auto"/>
        <w:ind w:firstLine="709"/>
        <w:jc w:val="both"/>
        <w:rPr>
          <w:rFonts w:ascii="Times New Roman" w:hAnsi="Times New Roman" w:cs="Times New Roman"/>
          <w:sz w:val="28"/>
          <w:szCs w:val="28"/>
        </w:rPr>
      </w:pPr>
    </w:p>
    <w:p w14:paraId="1663F6A5" w14:textId="49112398" w:rsidR="005D77F3" w:rsidRPr="00A51A4D" w:rsidRDefault="005D77F3" w:rsidP="005D77F3">
      <w:pPr>
        <w:spacing w:after="0" w:line="240" w:lineRule="auto"/>
        <w:ind w:firstLine="709"/>
        <w:jc w:val="both"/>
        <w:rPr>
          <w:rFonts w:ascii="Times New Roman" w:hAnsi="Times New Roman" w:cs="Times New Roman"/>
          <w:sz w:val="28"/>
          <w:szCs w:val="28"/>
        </w:rPr>
      </w:pPr>
      <w:r w:rsidRPr="007E45CA">
        <w:rPr>
          <w:rFonts w:ascii="Times New Roman" w:hAnsi="Times New Roman" w:cs="Times New Roman"/>
          <w:sz w:val="28"/>
          <w:szCs w:val="28"/>
        </w:rPr>
        <w:t>3.</w:t>
      </w:r>
      <w:r>
        <w:rPr>
          <w:rFonts w:ascii="Times New Roman" w:hAnsi="Times New Roman" w:cs="Times New Roman"/>
          <w:b/>
          <w:sz w:val="28"/>
          <w:szCs w:val="28"/>
        </w:rPr>
        <w:t xml:space="preserve"> </w:t>
      </w:r>
      <w:r w:rsidRPr="00A51A4D">
        <w:rPr>
          <w:rFonts w:ascii="Times New Roman" w:hAnsi="Times New Roman" w:cs="Times New Roman"/>
          <w:sz w:val="28"/>
          <w:szCs w:val="28"/>
        </w:rPr>
        <w:t>В целях закрепления полномочий по созданию и эксплуатации информационных систем обеспечения градостроительной деятельности за уполномоченными органами исполнительной власти</w:t>
      </w:r>
      <w:r w:rsidR="00F70355">
        <w:rPr>
          <w:rFonts w:ascii="Times New Roman" w:hAnsi="Times New Roman" w:cs="Times New Roman"/>
          <w:sz w:val="28"/>
          <w:szCs w:val="28"/>
        </w:rPr>
        <w:t xml:space="preserve"> субъектов Российской Федерации</w:t>
      </w:r>
      <w:r w:rsidRPr="00A51A4D">
        <w:rPr>
          <w:rFonts w:ascii="Times New Roman" w:hAnsi="Times New Roman" w:cs="Times New Roman"/>
          <w:sz w:val="28"/>
          <w:szCs w:val="28"/>
        </w:rPr>
        <w:t xml:space="preserve"> принят Фе</w:t>
      </w:r>
      <w:r w:rsidR="00F70355">
        <w:rPr>
          <w:rFonts w:ascii="Times New Roman" w:hAnsi="Times New Roman" w:cs="Times New Roman"/>
          <w:sz w:val="28"/>
          <w:szCs w:val="28"/>
        </w:rPr>
        <w:t>деральный закон от 03.08.2018</w:t>
      </w:r>
      <w:r w:rsidRPr="00A51A4D">
        <w:rPr>
          <w:rFonts w:ascii="Times New Roman" w:hAnsi="Times New Roman" w:cs="Times New Roman"/>
          <w:sz w:val="28"/>
          <w:szCs w:val="28"/>
        </w:rPr>
        <w:t xml:space="preserve"> № 342-ФЗ «О внесении изменений в Градостроительный кодекс Российской Федерации и отдельные законодательные акты Российской Федерации».</w:t>
      </w:r>
    </w:p>
    <w:p w14:paraId="65793688" w14:textId="77777777" w:rsidR="00000301" w:rsidRDefault="00000301" w:rsidP="005D77F3">
      <w:pPr>
        <w:spacing w:after="0" w:line="240" w:lineRule="auto"/>
        <w:ind w:firstLine="709"/>
        <w:jc w:val="both"/>
        <w:rPr>
          <w:rFonts w:ascii="Times New Roman" w:hAnsi="Times New Roman" w:cs="Times New Roman"/>
          <w:sz w:val="28"/>
          <w:szCs w:val="28"/>
        </w:rPr>
      </w:pPr>
    </w:p>
    <w:p w14:paraId="13F9E0A0"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7E45CA">
        <w:rPr>
          <w:rFonts w:ascii="Times New Roman" w:hAnsi="Times New Roman" w:cs="Times New Roman"/>
          <w:sz w:val="28"/>
          <w:szCs w:val="28"/>
        </w:rPr>
        <w:t>4.</w:t>
      </w:r>
      <w:r>
        <w:rPr>
          <w:rFonts w:ascii="Times New Roman" w:hAnsi="Times New Roman" w:cs="Times New Roman"/>
          <w:b/>
          <w:sz w:val="28"/>
          <w:szCs w:val="28"/>
        </w:rPr>
        <w:t xml:space="preserve"> </w:t>
      </w:r>
      <w:r w:rsidRPr="00A51A4D">
        <w:rPr>
          <w:rFonts w:ascii="Times New Roman" w:hAnsi="Times New Roman" w:cs="Times New Roman"/>
          <w:sz w:val="28"/>
          <w:szCs w:val="28"/>
        </w:rPr>
        <w:t>Пунктом 10 Раздела «Телекоммуникации» предусмотрено мероприятие по внесению изменений в законодательство Российской Федерации, предусматривающих недискриминационный доступ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742B14F1" w14:textId="1F887C23"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Во исполнение указанного пункта 24 декабря 201</w:t>
      </w:r>
      <w:r w:rsidR="00F70355">
        <w:rPr>
          <w:rFonts w:ascii="Times New Roman" w:hAnsi="Times New Roman" w:cs="Times New Roman"/>
          <w:sz w:val="28"/>
          <w:szCs w:val="28"/>
        </w:rPr>
        <w:t>8</w:t>
      </w:r>
      <w:r w:rsidRPr="00A51A4D">
        <w:rPr>
          <w:rFonts w:ascii="Times New Roman" w:hAnsi="Times New Roman" w:cs="Times New Roman"/>
          <w:sz w:val="28"/>
          <w:szCs w:val="28"/>
        </w:rPr>
        <w:t xml:space="preserve"> года Правительством Р</w:t>
      </w:r>
      <w:r w:rsidR="00F70355">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sidR="00F70355">
        <w:rPr>
          <w:rFonts w:ascii="Times New Roman" w:hAnsi="Times New Roman" w:cs="Times New Roman"/>
          <w:sz w:val="28"/>
          <w:szCs w:val="28"/>
        </w:rPr>
        <w:t>едерации</w:t>
      </w:r>
      <w:r w:rsidRPr="00A51A4D">
        <w:rPr>
          <w:rFonts w:ascii="Times New Roman" w:hAnsi="Times New Roman" w:cs="Times New Roman"/>
          <w:sz w:val="28"/>
          <w:szCs w:val="28"/>
        </w:rPr>
        <w:t xml:space="preserve"> </w:t>
      </w:r>
      <w:r>
        <w:rPr>
          <w:rFonts w:ascii="Times New Roman" w:hAnsi="Times New Roman" w:cs="Times New Roman"/>
          <w:sz w:val="28"/>
          <w:szCs w:val="28"/>
        </w:rPr>
        <w:t xml:space="preserve">внесен </w:t>
      </w:r>
      <w:r w:rsidRPr="00A51A4D">
        <w:rPr>
          <w:rFonts w:ascii="Times New Roman" w:hAnsi="Times New Roman" w:cs="Times New Roman"/>
          <w:sz w:val="28"/>
          <w:szCs w:val="28"/>
        </w:rPr>
        <w:t xml:space="preserve">в Государственную Думу Российской Федерации законопроект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 </w:t>
      </w:r>
    </w:p>
    <w:p w14:paraId="762DF078" w14:textId="77777777" w:rsidR="00000301" w:rsidRDefault="00000301" w:rsidP="005D77F3">
      <w:pPr>
        <w:spacing w:after="0" w:line="240" w:lineRule="auto"/>
        <w:ind w:firstLine="709"/>
        <w:jc w:val="both"/>
        <w:rPr>
          <w:rFonts w:ascii="Times New Roman" w:hAnsi="Times New Roman" w:cs="Times New Roman"/>
          <w:sz w:val="28"/>
          <w:szCs w:val="28"/>
        </w:rPr>
      </w:pPr>
    </w:p>
    <w:p w14:paraId="33CF51F2"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7E45CA">
        <w:rPr>
          <w:rFonts w:ascii="Times New Roman" w:hAnsi="Times New Roman" w:cs="Times New Roman"/>
          <w:sz w:val="28"/>
          <w:szCs w:val="28"/>
        </w:rPr>
        <w:t>5.</w:t>
      </w:r>
      <w:r w:rsidRPr="00A51A4D">
        <w:rPr>
          <w:rFonts w:ascii="Times New Roman" w:hAnsi="Times New Roman" w:cs="Times New Roman"/>
          <w:sz w:val="28"/>
          <w:szCs w:val="28"/>
        </w:rPr>
        <w:t xml:space="preserve"> В Государственной Думе Российской Федерации принят в первом чтении проект федерального закона № 388059-7 «О внесении изменений в Федеральный закон «О теплоснабжении», на рассмотрение в Государственную Думу Российской федерации внесен проект федерального закона № 509085-7 «О внесении изменений в Федеральный закон «О водоснабжении и водоотведении». Указанными законопроектами вносятся изменения в нормативные правовые акты Российской Федерации, предусматривающие введение критериев сетевых организаций в сферах теплоснабжения, водоснабжения, водоотведения, а также установление для таких организаций цен (тарифов) методом сравнения аналогов.</w:t>
      </w:r>
    </w:p>
    <w:p w14:paraId="5B6F2F77" w14:textId="77777777" w:rsidR="00000301" w:rsidRDefault="00000301" w:rsidP="005D77F3">
      <w:pPr>
        <w:spacing w:after="0" w:line="240" w:lineRule="auto"/>
        <w:ind w:firstLine="709"/>
        <w:jc w:val="both"/>
        <w:rPr>
          <w:rFonts w:ascii="Times New Roman" w:hAnsi="Times New Roman" w:cs="Times New Roman"/>
          <w:sz w:val="28"/>
          <w:szCs w:val="28"/>
        </w:rPr>
      </w:pPr>
    </w:p>
    <w:p w14:paraId="33877613" w14:textId="3BF8A7B0" w:rsidR="005D77F3" w:rsidRPr="00A51A4D" w:rsidRDefault="005D77F3" w:rsidP="005D77F3">
      <w:pPr>
        <w:spacing w:after="0" w:line="240" w:lineRule="auto"/>
        <w:ind w:firstLine="709"/>
        <w:jc w:val="both"/>
        <w:rPr>
          <w:rFonts w:ascii="Times New Roman" w:hAnsi="Times New Roman" w:cs="Times New Roman"/>
          <w:sz w:val="28"/>
          <w:szCs w:val="28"/>
        </w:rPr>
      </w:pPr>
      <w:r w:rsidRPr="007E45CA">
        <w:rPr>
          <w:rFonts w:ascii="Times New Roman" w:hAnsi="Times New Roman" w:cs="Times New Roman"/>
          <w:sz w:val="28"/>
          <w:szCs w:val="28"/>
        </w:rPr>
        <w:t>6.</w:t>
      </w:r>
      <w:r w:rsidRPr="00A51A4D">
        <w:rPr>
          <w:rFonts w:ascii="Times New Roman" w:hAnsi="Times New Roman" w:cs="Times New Roman"/>
          <w:sz w:val="28"/>
          <w:szCs w:val="28"/>
        </w:rPr>
        <w:t xml:space="preserve"> В целях содействия повышению конкурентоспособности программного обеспечения, произведенного в Российской Федерации, принято </w:t>
      </w:r>
      <w:r w:rsidR="000C341B">
        <w:rPr>
          <w:rFonts w:ascii="Times New Roman" w:hAnsi="Times New Roman" w:cs="Times New Roman"/>
          <w:sz w:val="28"/>
          <w:szCs w:val="28"/>
        </w:rPr>
        <w:t>п</w:t>
      </w:r>
      <w:r w:rsidRPr="00A51A4D">
        <w:rPr>
          <w:rFonts w:ascii="Times New Roman" w:hAnsi="Times New Roman" w:cs="Times New Roman"/>
          <w:sz w:val="28"/>
          <w:szCs w:val="28"/>
        </w:rPr>
        <w:t>остановление Правительства Росси</w:t>
      </w:r>
      <w:r w:rsidR="00DF4988">
        <w:rPr>
          <w:rFonts w:ascii="Times New Roman" w:hAnsi="Times New Roman" w:cs="Times New Roman"/>
          <w:sz w:val="28"/>
          <w:szCs w:val="28"/>
        </w:rPr>
        <w:t xml:space="preserve">йской Федерации от 20.12.2017 </w:t>
      </w:r>
      <w:r w:rsidRPr="00A51A4D">
        <w:rPr>
          <w:rFonts w:ascii="Times New Roman" w:hAnsi="Times New Roman" w:cs="Times New Roman"/>
          <w:sz w:val="28"/>
          <w:szCs w:val="28"/>
        </w:rPr>
        <w:t>№ 1594 «О внесении изменений в постановление Правительства Российской Федерации от 16.11.2015г. № 1236».</w:t>
      </w:r>
    </w:p>
    <w:p w14:paraId="537CDC72" w14:textId="77777777" w:rsidR="00000301" w:rsidRDefault="00000301" w:rsidP="005D77F3">
      <w:pPr>
        <w:spacing w:after="0" w:line="240" w:lineRule="auto"/>
        <w:ind w:firstLine="709"/>
        <w:jc w:val="both"/>
        <w:rPr>
          <w:rFonts w:ascii="Times New Roman" w:hAnsi="Times New Roman" w:cs="Times New Roman"/>
          <w:sz w:val="28"/>
          <w:szCs w:val="28"/>
        </w:rPr>
      </w:pPr>
    </w:p>
    <w:p w14:paraId="6EC9837A"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7E45CA">
        <w:rPr>
          <w:rFonts w:ascii="Times New Roman" w:hAnsi="Times New Roman" w:cs="Times New Roman"/>
          <w:sz w:val="28"/>
          <w:szCs w:val="28"/>
        </w:rPr>
        <w:t>7.</w:t>
      </w:r>
      <w:r w:rsidRPr="00A51A4D">
        <w:rPr>
          <w:rFonts w:ascii="Times New Roman" w:hAnsi="Times New Roman" w:cs="Times New Roman"/>
          <w:sz w:val="28"/>
          <w:szCs w:val="28"/>
        </w:rPr>
        <w:t xml:space="preserve"> Для совершенствования перечня и форм раскрываемой информации субъектами естественных монополий, оказывающими услуги по транспортировке газа по трубопроводам, ФАС России принят приказ 26.04.2018 № 554/18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правил заполнения указанных форм».</w:t>
      </w:r>
    </w:p>
    <w:p w14:paraId="7821D0AF" w14:textId="77777777" w:rsidR="00000301" w:rsidRDefault="00000301" w:rsidP="005D77F3">
      <w:pPr>
        <w:spacing w:after="0" w:line="240" w:lineRule="auto"/>
        <w:ind w:firstLine="709"/>
        <w:jc w:val="both"/>
        <w:rPr>
          <w:rFonts w:ascii="Times New Roman" w:hAnsi="Times New Roman" w:cs="Times New Roman"/>
          <w:sz w:val="28"/>
          <w:szCs w:val="28"/>
        </w:rPr>
      </w:pPr>
    </w:p>
    <w:p w14:paraId="43C5D196" w14:textId="0E85EB09" w:rsidR="005D77F3" w:rsidRPr="00A51A4D" w:rsidRDefault="005D77F3" w:rsidP="005D77F3">
      <w:pPr>
        <w:spacing w:after="0" w:line="240" w:lineRule="auto"/>
        <w:ind w:firstLine="709"/>
        <w:jc w:val="both"/>
        <w:rPr>
          <w:rFonts w:ascii="Times New Roman" w:hAnsi="Times New Roman" w:cs="Times New Roman"/>
          <w:sz w:val="28"/>
          <w:szCs w:val="28"/>
        </w:rPr>
      </w:pPr>
      <w:r w:rsidRPr="007E45CA">
        <w:rPr>
          <w:rFonts w:ascii="Times New Roman" w:hAnsi="Times New Roman" w:cs="Times New Roman"/>
          <w:sz w:val="28"/>
          <w:szCs w:val="28"/>
        </w:rPr>
        <w:t>8.</w:t>
      </w:r>
      <w:r w:rsidRPr="00A51A4D">
        <w:rPr>
          <w:rFonts w:ascii="Times New Roman" w:hAnsi="Times New Roman" w:cs="Times New Roman"/>
          <w:sz w:val="28"/>
          <w:szCs w:val="28"/>
        </w:rPr>
        <w:t xml:space="preserve"> В целях реализации мероприятий по организации мелкооптовой биржевой торговли нефтепродуктами с учетом улучшения ликвидности торгов, формирования рыночных индикаторов; по совершенствованию биржевых торгов нефтепродуктами в части развития торгов расчетными и поставочными фьючерсными контрактами на нефтепродукты; подготовки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 ФАС России был разработан и утвержден </w:t>
      </w:r>
      <w:r w:rsidR="00DF4988">
        <w:rPr>
          <w:rFonts w:ascii="Times New Roman" w:hAnsi="Times New Roman" w:cs="Times New Roman"/>
          <w:sz w:val="28"/>
          <w:szCs w:val="28"/>
        </w:rPr>
        <w:t>п</w:t>
      </w:r>
      <w:r w:rsidRPr="00A51A4D">
        <w:rPr>
          <w:rFonts w:ascii="Times New Roman" w:hAnsi="Times New Roman" w:cs="Times New Roman"/>
          <w:sz w:val="28"/>
          <w:szCs w:val="28"/>
        </w:rPr>
        <w:t>риказом от 11.10.2018 № 1403/18 План мероприятий по развитию биржевых торгов нефтью (на экспорт) и нефтепродуктами, а также производными финансовыми инструментами на нефть (на экспорт) и нефтепродукты на 2018-2019 год, предусматривающий:</w:t>
      </w:r>
    </w:p>
    <w:p w14:paraId="1706417C"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организацию мелкооптовой биржевой торговли нефтепродуктами с учетом улучшения ликвидности торгов, формирования рыночных индикаторов;</w:t>
      </w:r>
    </w:p>
    <w:p w14:paraId="660AEB4A"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совершенствование биржевых торгов нефтепродуктами в части развития торгов расчетными и поставочными фьючерсными контрактами на нефтепродукты, торгов поставочными биржевыми контрактами дизельным топливом на экспорт и внутренний рынок Российской Федерации, а также торгов нефтепродуктами с участием оператора товарных поставок ПАО «РЖД», ПАО </w:t>
      </w:r>
      <w:r>
        <w:rPr>
          <w:rFonts w:ascii="Times New Roman" w:hAnsi="Times New Roman" w:cs="Times New Roman"/>
          <w:sz w:val="28"/>
          <w:szCs w:val="28"/>
        </w:rPr>
        <w:t>«</w:t>
      </w:r>
      <w:r w:rsidRPr="00A51A4D">
        <w:rPr>
          <w:rFonts w:ascii="Times New Roman" w:hAnsi="Times New Roman" w:cs="Times New Roman"/>
          <w:sz w:val="28"/>
          <w:szCs w:val="28"/>
        </w:rPr>
        <w:t>Транснефть</w:t>
      </w:r>
      <w:r>
        <w:rPr>
          <w:rFonts w:ascii="Times New Roman" w:hAnsi="Times New Roman" w:cs="Times New Roman"/>
          <w:sz w:val="28"/>
          <w:szCs w:val="28"/>
        </w:rPr>
        <w:t>»</w:t>
      </w:r>
      <w:r w:rsidRPr="00A51A4D">
        <w:rPr>
          <w:rFonts w:ascii="Times New Roman" w:hAnsi="Times New Roman" w:cs="Times New Roman"/>
          <w:sz w:val="28"/>
          <w:szCs w:val="28"/>
        </w:rPr>
        <w:t>;</w:t>
      </w:r>
    </w:p>
    <w:p w14:paraId="4BF16D65"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 развитие торгов поставочными фьючерсными контрактами на российскую экспортную нефть с учетом привлечения новых участников, улучшения ликвидности торгов, создания новых биржевых инструментов, а также необходимости методологического, нормативного и технологического совершенствования торгов.</w:t>
      </w:r>
    </w:p>
    <w:p w14:paraId="444FD085" w14:textId="77777777" w:rsidR="00000301" w:rsidRDefault="00000301" w:rsidP="005D77F3">
      <w:pPr>
        <w:spacing w:after="0" w:line="240" w:lineRule="auto"/>
        <w:ind w:firstLine="709"/>
        <w:jc w:val="both"/>
        <w:rPr>
          <w:rFonts w:ascii="Times New Roman" w:hAnsi="Times New Roman" w:cs="Times New Roman"/>
          <w:sz w:val="28"/>
          <w:szCs w:val="28"/>
        </w:rPr>
      </w:pPr>
    </w:p>
    <w:p w14:paraId="07FE8AAB" w14:textId="56CA22A1" w:rsidR="005D77F3" w:rsidRPr="00A51A4D" w:rsidRDefault="005D77F3" w:rsidP="005D77F3">
      <w:pPr>
        <w:spacing w:after="0" w:line="240" w:lineRule="auto"/>
        <w:ind w:firstLine="709"/>
        <w:jc w:val="both"/>
        <w:rPr>
          <w:rFonts w:ascii="Times New Roman" w:hAnsi="Times New Roman" w:cs="Times New Roman"/>
          <w:sz w:val="28"/>
          <w:szCs w:val="28"/>
        </w:rPr>
      </w:pPr>
      <w:r w:rsidRPr="00F576A7">
        <w:rPr>
          <w:rFonts w:ascii="Times New Roman" w:hAnsi="Times New Roman" w:cs="Times New Roman"/>
          <w:sz w:val="28"/>
          <w:szCs w:val="28"/>
        </w:rPr>
        <w:t>9.</w:t>
      </w:r>
      <w:r w:rsidRPr="00A51A4D">
        <w:rPr>
          <w:rFonts w:ascii="Times New Roman" w:hAnsi="Times New Roman" w:cs="Times New Roman"/>
          <w:sz w:val="28"/>
          <w:szCs w:val="28"/>
        </w:rPr>
        <w:t xml:space="preserve"> Во исполнение пункта 3 раздела XI плана мероприятий «дорожной карты» по развитию конкуренции на рынке угольной промышленности, </w:t>
      </w:r>
      <w:r w:rsidR="00DF4988">
        <w:rPr>
          <w:rFonts w:ascii="Times New Roman" w:hAnsi="Times New Roman" w:cs="Times New Roman"/>
          <w:sz w:val="28"/>
          <w:szCs w:val="28"/>
        </w:rPr>
        <w:t>п</w:t>
      </w:r>
      <w:r w:rsidRPr="00A51A4D">
        <w:rPr>
          <w:rFonts w:ascii="Times New Roman" w:hAnsi="Times New Roman" w:cs="Times New Roman"/>
          <w:sz w:val="28"/>
          <w:szCs w:val="28"/>
        </w:rPr>
        <w:t xml:space="preserve">риказом ФАС России от 11 декабря 2018 г. № 1739/18 утвержден план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w:t>
      </w:r>
      <w:r w:rsidR="00DF4988">
        <w:rPr>
          <w:rFonts w:ascii="Times New Roman" w:hAnsi="Times New Roman" w:cs="Times New Roman"/>
          <w:sz w:val="28"/>
          <w:szCs w:val="28"/>
        </w:rPr>
        <w:t>Закона</w:t>
      </w:r>
      <w:r w:rsidRPr="00A51A4D">
        <w:rPr>
          <w:rFonts w:ascii="Times New Roman" w:hAnsi="Times New Roman" w:cs="Times New Roman"/>
          <w:sz w:val="28"/>
          <w:szCs w:val="28"/>
        </w:rPr>
        <w:t xml:space="preserve"> </w:t>
      </w:r>
      <w:r w:rsidR="00A91B1F">
        <w:rPr>
          <w:rFonts w:ascii="Times New Roman" w:hAnsi="Times New Roman" w:cs="Times New Roman"/>
          <w:sz w:val="28"/>
          <w:szCs w:val="28"/>
        </w:rPr>
        <w:t>№</w:t>
      </w:r>
      <w:r w:rsidRPr="00A51A4D">
        <w:rPr>
          <w:rFonts w:ascii="Times New Roman" w:hAnsi="Times New Roman" w:cs="Times New Roman"/>
          <w:sz w:val="28"/>
          <w:szCs w:val="28"/>
        </w:rPr>
        <w:t xml:space="preserve"> 223-ФЗ.</w:t>
      </w:r>
    </w:p>
    <w:p w14:paraId="44FF5D67" w14:textId="77777777" w:rsidR="00000301" w:rsidRDefault="00000301" w:rsidP="005D77F3">
      <w:pPr>
        <w:spacing w:after="0" w:line="240" w:lineRule="auto"/>
        <w:ind w:firstLine="709"/>
        <w:jc w:val="both"/>
        <w:rPr>
          <w:rFonts w:ascii="Times New Roman" w:hAnsi="Times New Roman" w:cs="Times New Roman"/>
          <w:sz w:val="28"/>
          <w:szCs w:val="28"/>
        </w:rPr>
      </w:pPr>
    </w:p>
    <w:p w14:paraId="4B1A86D4" w14:textId="2ED25BF1" w:rsidR="005D77F3" w:rsidRPr="00A51A4D" w:rsidRDefault="005D77F3" w:rsidP="005D77F3">
      <w:pPr>
        <w:spacing w:after="0" w:line="240" w:lineRule="auto"/>
        <w:ind w:firstLine="709"/>
        <w:jc w:val="both"/>
        <w:rPr>
          <w:rFonts w:ascii="Times New Roman" w:hAnsi="Times New Roman" w:cs="Times New Roman"/>
          <w:sz w:val="28"/>
          <w:szCs w:val="28"/>
        </w:rPr>
      </w:pPr>
      <w:r w:rsidRPr="00F576A7">
        <w:rPr>
          <w:rFonts w:ascii="Times New Roman" w:hAnsi="Times New Roman" w:cs="Times New Roman"/>
          <w:sz w:val="28"/>
          <w:szCs w:val="28"/>
        </w:rPr>
        <w:t>10.</w:t>
      </w:r>
      <w:r w:rsidRPr="00A51A4D">
        <w:rPr>
          <w:rFonts w:ascii="Times New Roman" w:hAnsi="Times New Roman" w:cs="Times New Roman"/>
          <w:sz w:val="28"/>
          <w:szCs w:val="28"/>
        </w:rPr>
        <w:t xml:space="preserve"> В сфере транспортных услуг ФАС России проведена оценка конкурентной среды на рынке услуг, оказываемых в морских портах субъектами естественных монополий, прежде всего в отношении услуг по погрузке-выгрузке и хранению (перевалки) грузов, которые более чем на 95% влияют на общую стоимость услуг в морских портах. Кроме того, по результатам анализа конкуренции приняты решения о неприменении ценового регулирования в сфере лоцманских услуг (приказ ФАС России от 13.06.2017г. №781/17) и услуг буксиров (приказ ФАС России от 25.12.2017г. №1771/17)</w:t>
      </w:r>
      <w:r w:rsidR="00A91B1F">
        <w:rPr>
          <w:rFonts w:ascii="Times New Roman" w:hAnsi="Times New Roman" w:cs="Times New Roman"/>
          <w:sz w:val="28"/>
          <w:szCs w:val="28"/>
        </w:rPr>
        <w:t>.</w:t>
      </w:r>
    </w:p>
    <w:p w14:paraId="53B36282" w14:textId="31F751C0"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Правлением ФАС России приняты решения о неприменении ценового регулирования на услуги по обеспечению экологической безопасности в морских портах (приказ ФАС России от 03.12.2018 № 1676/18 (регистра</w:t>
      </w:r>
      <w:r w:rsidR="00DF4988">
        <w:rPr>
          <w:rFonts w:ascii="Times New Roman" w:hAnsi="Times New Roman" w:cs="Times New Roman"/>
          <w:sz w:val="28"/>
          <w:szCs w:val="28"/>
        </w:rPr>
        <w:t>ционный № 53221 от 28.12.2018</w:t>
      </w:r>
      <w:r w:rsidR="00A91B1F">
        <w:rPr>
          <w:rFonts w:ascii="Times New Roman" w:hAnsi="Times New Roman" w:cs="Times New Roman"/>
          <w:sz w:val="28"/>
          <w:szCs w:val="28"/>
        </w:rPr>
        <w:t>).</w:t>
      </w:r>
    </w:p>
    <w:p w14:paraId="23D6F9DB" w14:textId="44B0893D"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Приняты решения о неприменении ценового регулирования на услуги по обслуживанию пассажиров в морских портах, главным образом ориентированных на круизное судоходство (приказ ФАС Р</w:t>
      </w:r>
      <w:r w:rsidR="00A91B1F">
        <w:rPr>
          <w:rFonts w:ascii="Times New Roman" w:hAnsi="Times New Roman" w:cs="Times New Roman"/>
          <w:sz w:val="28"/>
          <w:szCs w:val="28"/>
        </w:rPr>
        <w:t>оссии от 27.03.2018г. № 383/18).</w:t>
      </w:r>
    </w:p>
    <w:p w14:paraId="093C1E3A" w14:textId="5B1B3C2B"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связи с наличием межвидовой конкуренции в сфере перевозок грузов речным транспортом с железнодорожным, автомобильным и трубопроводным транспортом, ранее были приняты решения о неприменении ценового регулирования в отношении услуг, оказываемых в речных портах (приказ ФСТ Р</w:t>
      </w:r>
      <w:r w:rsidR="005F3E05">
        <w:rPr>
          <w:rFonts w:ascii="Times New Roman" w:hAnsi="Times New Roman" w:cs="Times New Roman"/>
          <w:sz w:val="28"/>
          <w:szCs w:val="28"/>
        </w:rPr>
        <w:t>оссии</w:t>
      </w:r>
      <w:r w:rsidRPr="00A51A4D">
        <w:rPr>
          <w:rFonts w:ascii="Times New Roman" w:hAnsi="Times New Roman" w:cs="Times New Roman"/>
          <w:sz w:val="28"/>
          <w:szCs w:val="28"/>
        </w:rPr>
        <w:t xml:space="preserve"> от 21.07.2009 № 170-т/9 «Об изменении государственного регулирования в отношении субъектов естественной монополии в речных портах», приказ ФСТ </w:t>
      </w:r>
      <w:r w:rsidR="005F3E05">
        <w:rPr>
          <w:rFonts w:ascii="Times New Roman" w:hAnsi="Times New Roman" w:cs="Times New Roman"/>
          <w:sz w:val="28"/>
          <w:szCs w:val="28"/>
        </w:rPr>
        <w:t>России</w:t>
      </w:r>
      <w:r w:rsidRPr="00A51A4D">
        <w:rPr>
          <w:rFonts w:ascii="Times New Roman" w:hAnsi="Times New Roman" w:cs="Times New Roman"/>
          <w:sz w:val="28"/>
          <w:szCs w:val="28"/>
        </w:rPr>
        <w:t xml:space="preserve"> от 24.12.2009 № 519-т/22 «Об изменении государственного регулирования в отношении ОАО «Усть-Донецкий порт»). Правлением ФАС России приняты решения о неприменении ценового регулирования на услуги субъектов естественных монополий по использованию инфраструктуры внутренних водных путей (п</w:t>
      </w:r>
      <w:r w:rsidR="006C3A68">
        <w:rPr>
          <w:rFonts w:ascii="Times New Roman" w:hAnsi="Times New Roman" w:cs="Times New Roman"/>
          <w:sz w:val="28"/>
          <w:szCs w:val="28"/>
        </w:rPr>
        <w:t xml:space="preserve">риказ ФАС России от 03.12.2018 </w:t>
      </w:r>
      <w:r w:rsidRPr="00A51A4D">
        <w:rPr>
          <w:rFonts w:ascii="Times New Roman" w:hAnsi="Times New Roman" w:cs="Times New Roman"/>
          <w:sz w:val="28"/>
          <w:szCs w:val="28"/>
        </w:rPr>
        <w:t>№ 1676/18 (регистр</w:t>
      </w:r>
      <w:r w:rsidR="00D155B7">
        <w:rPr>
          <w:rFonts w:ascii="Times New Roman" w:hAnsi="Times New Roman" w:cs="Times New Roman"/>
          <w:sz w:val="28"/>
          <w:szCs w:val="28"/>
        </w:rPr>
        <w:t>ационный № 53205 от 27.12.2018</w:t>
      </w:r>
      <w:r w:rsidRPr="00A51A4D">
        <w:rPr>
          <w:rFonts w:ascii="Times New Roman" w:hAnsi="Times New Roman" w:cs="Times New Roman"/>
          <w:sz w:val="28"/>
          <w:szCs w:val="28"/>
        </w:rPr>
        <w:t>).</w:t>
      </w:r>
    </w:p>
    <w:p w14:paraId="62605E7A" w14:textId="52CC456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Из 100% мероприятий, запланированных к исполнению в 2018 году, по состоянию на 1 января 20</w:t>
      </w:r>
      <w:r w:rsidR="006C3A68">
        <w:rPr>
          <w:rFonts w:ascii="Times New Roman" w:hAnsi="Times New Roman" w:cs="Times New Roman"/>
          <w:sz w:val="28"/>
          <w:szCs w:val="28"/>
        </w:rPr>
        <w:t>19 года фактически исполнено 43</w:t>
      </w:r>
      <w:r w:rsidRPr="00A51A4D">
        <w:rPr>
          <w:rFonts w:ascii="Times New Roman" w:hAnsi="Times New Roman" w:cs="Times New Roman"/>
          <w:sz w:val="28"/>
          <w:szCs w:val="28"/>
        </w:rPr>
        <w:t>%. Выполнение мероприятий, ответственным исполнителем по которым явл</w:t>
      </w:r>
      <w:r w:rsidR="006C3A68">
        <w:rPr>
          <w:rFonts w:ascii="Times New Roman" w:hAnsi="Times New Roman" w:cs="Times New Roman"/>
          <w:sz w:val="28"/>
          <w:szCs w:val="28"/>
        </w:rPr>
        <w:t>ялась ФАС России, составляет 80</w:t>
      </w:r>
      <w:r w:rsidRPr="00A51A4D">
        <w:rPr>
          <w:rFonts w:ascii="Times New Roman" w:hAnsi="Times New Roman" w:cs="Times New Roman"/>
          <w:sz w:val="28"/>
          <w:szCs w:val="28"/>
        </w:rPr>
        <w:t>%.</w:t>
      </w:r>
    </w:p>
    <w:p w14:paraId="13AEFF27" w14:textId="77777777" w:rsidR="00000301" w:rsidRDefault="00000301" w:rsidP="005D77F3">
      <w:pPr>
        <w:spacing w:after="0" w:line="240" w:lineRule="auto"/>
        <w:ind w:firstLine="709"/>
        <w:jc w:val="both"/>
        <w:rPr>
          <w:rFonts w:ascii="Times New Roman" w:hAnsi="Times New Roman" w:cs="Times New Roman"/>
          <w:sz w:val="28"/>
          <w:szCs w:val="28"/>
        </w:rPr>
      </w:pPr>
    </w:p>
    <w:p w14:paraId="26154C22"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F576A7">
        <w:rPr>
          <w:rFonts w:ascii="Times New Roman" w:hAnsi="Times New Roman" w:cs="Times New Roman"/>
          <w:sz w:val="28"/>
          <w:szCs w:val="28"/>
        </w:rPr>
        <w:t>11.</w:t>
      </w:r>
      <w:r w:rsidRPr="00A51A4D">
        <w:rPr>
          <w:rFonts w:ascii="Times New Roman" w:hAnsi="Times New Roman" w:cs="Times New Roman"/>
          <w:sz w:val="28"/>
          <w:szCs w:val="28"/>
        </w:rPr>
        <w:t xml:space="preserve"> Планом мероприятий («дорожной картой») «Развитие конкуренции в здравоохранении», утвержденным распоряжением Правительства Российской Федерации от 12.01.2018 № 9-р, предусмотрено выполнение 47 мероприятий, в том числе на 2018 год – 28 (с учетом продленных), из них 27 мероприятий, где ответственным исполнителем/соисполнителем является ФАС России.</w:t>
      </w:r>
    </w:p>
    <w:p w14:paraId="1A1677B7" w14:textId="77777777"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Из 100% запланированных мероприятий фактически исполнено около 30%. Выполнение мероприятий, ответственным исполнителем по которым являлась ФАС России, составляет 100%.</w:t>
      </w:r>
    </w:p>
    <w:p w14:paraId="6AFB6645" w14:textId="79BFCFA7" w:rsidR="005D77F3" w:rsidRPr="00A51A4D" w:rsidRDefault="00AA1195" w:rsidP="005D77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во исполнение подпункта 1 пункта</w:t>
      </w:r>
      <w:r w:rsidR="005D77F3" w:rsidRPr="00A51A4D">
        <w:rPr>
          <w:rFonts w:ascii="Times New Roman" w:hAnsi="Times New Roman" w:cs="Times New Roman"/>
          <w:sz w:val="28"/>
          <w:szCs w:val="28"/>
        </w:rPr>
        <w:t xml:space="preserve"> 3 раздела I «дорожной карты», Ф</w:t>
      </w:r>
      <w:r>
        <w:rPr>
          <w:rFonts w:ascii="Times New Roman" w:hAnsi="Times New Roman" w:cs="Times New Roman"/>
          <w:sz w:val="28"/>
          <w:szCs w:val="28"/>
        </w:rPr>
        <w:t>АС России письмом от 19.11.2018</w:t>
      </w:r>
      <w:r w:rsidR="005D77F3" w:rsidRPr="00A51A4D">
        <w:rPr>
          <w:rFonts w:ascii="Times New Roman" w:hAnsi="Times New Roman" w:cs="Times New Roman"/>
          <w:sz w:val="28"/>
          <w:szCs w:val="28"/>
        </w:rPr>
        <w:t xml:space="preserve"> в Правительство Российской Федерации 9-ПР/18 внесен проект федерального закона «О внесении изменений в Федеральный закон «Об обращении лекарственных средств».</w:t>
      </w:r>
    </w:p>
    <w:p w14:paraId="498F4726" w14:textId="5F494D54" w:rsidR="005D77F3" w:rsidRPr="00A51A4D" w:rsidRDefault="00AA1195" w:rsidP="005D77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5 пункта 4 раздела I «дорожной карты»</w:t>
      </w:r>
      <w:r w:rsidR="005D77F3" w:rsidRPr="00A51A4D">
        <w:rPr>
          <w:rFonts w:ascii="Times New Roman" w:hAnsi="Times New Roman" w:cs="Times New Roman"/>
          <w:sz w:val="28"/>
          <w:szCs w:val="28"/>
        </w:rPr>
        <w:t xml:space="preserve"> постановлением Правительства Российской Федерации от 15.11.2017 № 1380 утверждены Особенности описания лекарственных препаратов для медицинского применения, являющихся объектом закупки для обеспечения государственных и муниципальных нужд. </w:t>
      </w:r>
    </w:p>
    <w:p w14:paraId="18A94DCE" w14:textId="73FE60CA"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ФАС России разработан и письмом от 01.10.2018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w:t>
      </w:r>
      <w:r w:rsidR="00AA1195">
        <w:rPr>
          <w:rFonts w:ascii="Times New Roman" w:hAnsi="Times New Roman" w:cs="Times New Roman"/>
          <w:sz w:val="28"/>
          <w:szCs w:val="28"/>
        </w:rPr>
        <w:t>»</w:t>
      </w:r>
      <w:r w:rsidRPr="00A51A4D">
        <w:rPr>
          <w:rFonts w:ascii="Times New Roman" w:hAnsi="Times New Roman" w:cs="Times New Roman"/>
          <w:sz w:val="28"/>
          <w:szCs w:val="28"/>
        </w:rPr>
        <w:t>.</w:t>
      </w:r>
    </w:p>
    <w:p w14:paraId="321A98E0" w14:textId="71A69F4D" w:rsidR="005D77F3" w:rsidRPr="00A51A4D" w:rsidRDefault="00AA1195" w:rsidP="005D77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3 пункта 5 раздела I «дорожной карты»</w:t>
      </w:r>
      <w:r w:rsidR="005D77F3" w:rsidRPr="00A51A4D">
        <w:rPr>
          <w:rFonts w:ascii="Times New Roman" w:hAnsi="Times New Roman" w:cs="Times New Roman"/>
          <w:sz w:val="28"/>
          <w:szCs w:val="28"/>
        </w:rPr>
        <w:t xml:space="preserve">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 внесены в Правительство Российской Федерации письмом ФАС России от 12.12.2018.</w:t>
      </w:r>
    </w:p>
    <w:p w14:paraId="41679654" w14:textId="434D4315" w:rsidR="005D77F3" w:rsidRPr="00A51A4D" w:rsidRDefault="00AA1195" w:rsidP="005D77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4 пункта 8 раздела II «дорожной карты»</w:t>
      </w:r>
      <w:r w:rsidR="005D77F3" w:rsidRPr="00A51A4D">
        <w:rPr>
          <w:rFonts w:ascii="Times New Roman" w:hAnsi="Times New Roman" w:cs="Times New Roman"/>
          <w:sz w:val="28"/>
          <w:szCs w:val="28"/>
        </w:rPr>
        <w:t xml:space="preserve"> письмом ФАС России от 05.10.2018 в Правительство Российской Федерации внесен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w:t>
      </w:r>
    </w:p>
    <w:p w14:paraId="3DFEDCE6" w14:textId="007A9968" w:rsidR="005D77F3" w:rsidRPr="00A51A4D" w:rsidRDefault="005D77F3" w:rsidP="005D77F3">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результатам рассмотрения доклада «О предложениях по конкретизации условий, при которых государственные (муниципальные) медицинские организации могут оказывать платные медицинские услуги» направлен ФАС России в Правительство Российской Федерации письмом от 19.11.2018</w:t>
      </w:r>
      <w:r w:rsidR="00AA1195">
        <w:rPr>
          <w:rFonts w:ascii="Times New Roman" w:hAnsi="Times New Roman" w:cs="Times New Roman"/>
          <w:sz w:val="28"/>
          <w:szCs w:val="28"/>
        </w:rPr>
        <w:t xml:space="preserve">, </w:t>
      </w:r>
      <w:r w:rsidRPr="00A51A4D">
        <w:rPr>
          <w:rFonts w:ascii="Times New Roman" w:hAnsi="Times New Roman" w:cs="Times New Roman"/>
          <w:sz w:val="28"/>
          <w:szCs w:val="28"/>
        </w:rPr>
        <w:t xml:space="preserve">Правительством Российской Федерации дано поручение от 21.12.2018 № ТГ-П12-9218 Минздраву России, Минэкономразвития России, Минфину России, ФАС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 </w:t>
      </w:r>
    </w:p>
    <w:p w14:paraId="756D28DC" w14:textId="48335F34" w:rsidR="005D77F3" w:rsidRPr="00A51A4D" w:rsidRDefault="00AA1195" w:rsidP="005D77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пункта</w:t>
      </w:r>
      <w:r w:rsidR="005D77F3" w:rsidRPr="00A51A4D">
        <w:rPr>
          <w:rFonts w:ascii="Times New Roman" w:hAnsi="Times New Roman" w:cs="Times New Roman"/>
          <w:sz w:val="28"/>
          <w:szCs w:val="28"/>
        </w:rPr>
        <w:t xml:space="preserve"> 13 раздела III «дорожной карты», п</w:t>
      </w:r>
      <w:r>
        <w:rPr>
          <w:rFonts w:ascii="Times New Roman" w:hAnsi="Times New Roman" w:cs="Times New Roman"/>
          <w:sz w:val="28"/>
          <w:szCs w:val="28"/>
        </w:rPr>
        <w:t>исьмом ФАС России от 23.11.2018</w:t>
      </w:r>
      <w:r w:rsidR="005D77F3" w:rsidRPr="00A51A4D">
        <w:rPr>
          <w:rFonts w:ascii="Times New Roman" w:hAnsi="Times New Roman" w:cs="Times New Roman"/>
          <w:sz w:val="28"/>
          <w:szCs w:val="28"/>
        </w:rPr>
        <w:t xml:space="preserve"> в Правительство Российской Федерации направлен доклад «О предложениях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52BE7F94" w14:textId="77777777" w:rsidR="005D77F3" w:rsidRDefault="005D77F3" w:rsidP="00A47DF4">
      <w:pPr>
        <w:spacing w:after="0" w:line="240" w:lineRule="auto"/>
        <w:ind w:firstLine="851"/>
        <w:jc w:val="both"/>
        <w:rPr>
          <w:rFonts w:ascii="Times New Roman" w:hAnsi="Times New Roman" w:cs="Times New Roman"/>
          <w:sz w:val="28"/>
          <w:szCs w:val="28"/>
        </w:rPr>
      </w:pPr>
    </w:p>
    <w:p w14:paraId="6BA1F932" w14:textId="51287C7C" w:rsidR="00103BD4" w:rsidRDefault="00103BD4" w:rsidP="00EF64DA">
      <w:pPr>
        <w:pStyle w:val="2"/>
      </w:pPr>
      <w:bookmarkStart w:id="107" w:name="_Toc7447952"/>
      <w:r w:rsidRPr="00542D4B">
        <w:t xml:space="preserve">Оценка состояния </w:t>
      </w:r>
      <w:r w:rsidRPr="00695331">
        <w:t>конкуренции</w:t>
      </w:r>
      <w:r w:rsidRPr="00542D4B">
        <w:t xml:space="preserve"> в субъектах Российской Федерации</w:t>
      </w:r>
      <w:bookmarkEnd w:id="107"/>
      <w:r w:rsidRPr="00542D4B">
        <w:t xml:space="preserve"> </w:t>
      </w:r>
      <w:bookmarkStart w:id="108" w:name="_Toc1061860"/>
      <w:bookmarkStart w:id="109" w:name="_Toc1061976"/>
      <w:bookmarkStart w:id="110" w:name="_Toc1062098"/>
      <w:bookmarkStart w:id="111" w:name="_Toc1062211"/>
      <w:bookmarkStart w:id="112" w:name="_Toc2589704"/>
      <w:bookmarkStart w:id="113" w:name="_Toc2589837"/>
      <w:bookmarkStart w:id="114" w:name="_Toc2589976"/>
      <w:bookmarkStart w:id="115" w:name="_Toc3393170"/>
      <w:bookmarkStart w:id="116" w:name="_Toc3399179"/>
      <w:bookmarkStart w:id="117" w:name="_Toc3399329"/>
      <w:bookmarkStart w:id="118" w:name="_Toc3399477"/>
      <w:bookmarkStart w:id="119" w:name="_Toc3399670"/>
      <w:bookmarkStart w:id="120" w:name="_Toc3399814"/>
      <w:bookmarkStart w:id="121" w:name="_Toc3399958"/>
      <w:bookmarkStart w:id="122" w:name="_Toc3400277"/>
      <w:bookmarkStart w:id="123" w:name="_Toc3400402"/>
      <w:bookmarkStart w:id="124" w:name="_Toc3400522"/>
      <w:bookmarkStart w:id="125" w:name="_Toc3556996"/>
      <w:bookmarkStart w:id="126" w:name="_Toc3559201"/>
      <w:bookmarkStart w:id="127" w:name="_Toc3914413"/>
      <w:bookmarkStart w:id="128" w:name="_Toc3914535"/>
      <w:bookmarkStart w:id="129" w:name="_Toc3915521"/>
      <w:bookmarkStart w:id="130" w:name="_Toc3916128"/>
      <w:bookmarkStart w:id="131" w:name="_Toc3917038"/>
      <w:bookmarkStart w:id="132" w:name="_Toc3917688"/>
      <w:bookmarkStart w:id="133" w:name="_Toc3988444"/>
      <w:bookmarkStart w:id="134" w:name="_Toc3989453"/>
      <w:bookmarkStart w:id="135" w:name="_Toc3990097"/>
      <w:bookmarkStart w:id="136" w:name="_Toc3991673"/>
      <w:bookmarkStart w:id="137" w:name="_Toc3992578"/>
      <w:bookmarkStart w:id="138" w:name="_Toc4000345"/>
      <w:bookmarkStart w:id="139" w:name="_Toc4426342"/>
      <w:bookmarkStart w:id="140" w:name="_Toc4426471"/>
      <w:bookmarkStart w:id="141" w:name="_Toc4426656"/>
      <w:bookmarkStart w:id="142" w:name="_Toc4426785"/>
      <w:bookmarkStart w:id="143" w:name="_Toc4428383"/>
      <w:bookmarkStart w:id="144" w:name="_Toc4429814"/>
      <w:bookmarkStart w:id="145" w:name="_Toc4429943"/>
      <w:bookmarkStart w:id="146" w:name="_Toc4430069"/>
      <w:bookmarkStart w:id="147" w:name="_Toc4430194"/>
      <w:bookmarkStart w:id="148" w:name="_Toc4430317"/>
      <w:bookmarkStart w:id="149" w:name="_Toc4430439"/>
      <w:bookmarkStart w:id="150" w:name="_Toc4430560"/>
      <w:bookmarkStart w:id="151" w:name="_Toc4431356"/>
      <w:bookmarkStart w:id="152" w:name="_Toc4431475"/>
      <w:bookmarkStart w:id="153" w:name="_Toc4431596"/>
      <w:bookmarkStart w:id="154" w:name="_Toc4431717"/>
      <w:bookmarkStart w:id="155" w:name="_Toc4433416"/>
      <w:bookmarkStart w:id="156" w:name="_Toc4433678"/>
      <w:bookmarkStart w:id="157" w:name="_Toc4433799"/>
      <w:bookmarkStart w:id="158" w:name="_Toc4434347"/>
      <w:bookmarkStart w:id="159" w:name="_Toc1061861"/>
      <w:bookmarkStart w:id="160" w:name="_Toc1061977"/>
      <w:bookmarkStart w:id="161" w:name="_Toc1062099"/>
      <w:bookmarkStart w:id="162" w:name="_Toc1062212"/>
      <w:bookmarkStart w:id="163" w:name="_Toc2589705"/>
      <w:bookmarkStart w:id="164" w:name="_Toc2589838"/>
      <w:bookmarkStart w:id="165" w:name="_Toc2589977"/>
      <w:bookmarkStart w:id="166" w:name="_Toc3393171"/>
      <w:bookmarkStart w:id="167" w:name="_Toc3399180"/>
      <w:bookmarkStart w:id="168" w:name="_Toc3399330"/>
      <w:bookmarkStart w:id="169" w:name="_Toc3399478"/>
      <w:bookmarkStart w:id="170" w:name="_Toc3399671"/>
      <w:bookmarkStart w:id="171" w:name="_Toc3399815"/>
      <w:bookmarkStart w:id="172" w:name="_Toc3399959"/>
      <w:bookmarkStart w:id="173" w:name="_Toc3400278"/>
      <w:bookmarkStart w:id="174" w:name="_Toc3400403"/>
      <w:bookmarkStart w:id="175" w:name="_Toc3400523"/>
      <w:bookmarkStart w:id="176" w:name="_Toc3556997"/>
      <w:bookmarkStart w:id="177" w:name="_Toc3559202"/>
      <w:bookmarkStart w:id="178" w:name="_Toc3914414"/>
      <w:bookmarkStart w:id="179" w:name="_Toc3914536"/>
      <w:bookmarkStart w:id="180" w:name="_Toc3915522"/>
      <w:bookmarkStart w:id="181" w:name="_Toc3916129"/>
      <w:bookmarkStart w:id="182" w:name="_Toc3917039"/>
      <w:bookmarkStart w:id="183" w:name="_Toc3917689"/>
      <w:bookmarkStart w:id="184" w:name="_Toc3988445"/>
      <w:bookmarkStart w:id="185" w:name="_Toc3989454"/>
      <w:bookmarkStart w:id="186" w:name="_Toc3990098"/>
      <w:bookmarkStart w:id="187" w:name="_Toc3991674"/>
      <w:bookmarkStart w:id="188" w:name="_Toc3992579"/>
      <w:bookmarkStart w:id="189" w:name="_Toc4000346"/>
      <w:bookmarkStart w:id="190" w:name="_Toc4426343"/>
      <w:bookmarkStart w:id="191" w:name="_Toc4426472"/>
      <w:bookmarkStart w:id="192" w:name="_Toc4426657"/>
      <w:bookmarkStart w:id="193" w:name="_Toc4426786"/>
      <w:bookmarkStart w:id="194" w:name="_Toc4428384"/>
      <w:bookmarkStart w:id="195" w:name="_Toc4429815"/>
      <w:bookmarkStart w:id="196" w:name="_Toc4429944"/>
      <w:bookmarkStart w:id="197" w:name="_Toc4430070"/>
      <w:bookmarkStart w:id="198" w:name="_Toc4430195"/>
      <w:bookmarkStart w:id="199" w:name="_Toc4430318"/>
      <w:bookmarkStart w:id="200" w:name="_Toc4430440"/>
      <w:bookmarkStart w:id="201" w:name="_Toc4430561"/>
      <w:bookmarkStart w:id="202" w:name="_Toc4431357"/>
      <w:bookmarkStart w:id="203" w:name="_Toc4431476"/>
      <w:bookmarkStart w:id="204" w:name="_Toc4431597"/>
      <w:bookmarkStart w:id="205" w:name="_Toc4431718"/>
      <w:bookmarkStart w:id="206" w:name="_Toc4433417"/>
      <w:bookmarkStart w:id="207" w:name="_Toc4433679"/>
      <w:bookmarkStart w:id="208" w:name="_Toc4433800"/>
      <w:bookmarkStart w:id="209" w:name="_Toc4434348"/>
      <w:bookmarkStart w:id="210" w:name="_Toc6834332"/>
      <w:bookmarkStart w:id="211" w:name="_Toc6834619"/>
      <w:bookmarkStart w:id="212" w:name="_Toc6834822"/>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169BDDCD" w14:textId="77777777" w:rsidR="00DA3F05" w:rsidRPr="00DA3F05" w:rsidRDefault="00DA3F05" w:rsidP="00DA3F05">
      <w:pPr>
        <w:pStyle w:val="a5"/>
        <w:keepNext/>
        <w:keepLines/>
        <w:spacing w:after="0" w:line="240" w:lineRule="auto"/>
        <w:ind w:left="792"/>
        <w:contextualSpacing w:val="0"/>
        <w:jc w:val="both"/>
        <w:outlineLvl w:val="2"/>
        <w:rPr>
          <w:rFonts w:ascii="Times New Roman" w:eastAsia="Times New Roman" w:hAnsi="Times New Roman" w:cs="Times New Roman"/>
          <w:b/>
          <w:vanish/>
          <w:sz w:val="28"/>
          <w:szCs w:val="28"/>
          <w:lang w:eastAsia="ru-RU"/>
        </w:rPr>
      </w:pPr>
      <w:bookmarkStart w:id="213" w:name="_Toc7189757"/>
      <w:bookmarkStart w:id="214" w:name="_Toc7189987"/>
      <w:bookmarkStart w:id="215" w:name="_Toc7190341"/>
      <w:bookmarkEnd w:id="213"/>
      <w:bookmarkEnd w:id="214"/>
      <w:bookmarkEnd w:id="215"/>
    </w:p>
    <w:p w14:paraId="7A969A70" w14:textId="77777777" w:rsidR="00DA3F05" w:rsidRPr="00DA3F05" w:rsidRDefault="00DA3F05" w:rsidP="00DA3F05">
      <w:pPr>
        <w:pStyle w:val="a5"/>
        <w:keepNext/>
        <w:keepLines/>
        <w:numPr>
          <w:ilvl w:val="0"/>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216" w:name="_Toc7191523"/>
      <w:bookmarkStart w:id="217" w:name="_Toc7447148"/>
      <w:bookmarkStart w:id="218" w:name="_Toc7447953"/>
      <w:bookmarkEnd w:id="216"/>
      <w:bookmarkEnd w:id="217"/>
      <w:bookmarkEnd w:id="218"/>
    </w:p>
    <w:p w14:paraId="35B01970" w14:textId="77777777" w:rsidR="00DA3F05" w:rsidRPr="00DA3F05" w:rsidRDefault="00DA3F05" w:rsidP="00DA3F05">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219" w:name="_Toc7191524"/>
      <w:bookmarkStart w:id="220" w:name="_Toc7447149"/>
      <w:bookmarkStart w:id="221" w:name="_Toc7447954"/>
      <w:bookmarkEnd w:id="219"/>
      <w:bookmarkEnd w:id="220"/>
      <w:bookmarkEnd w:id="221"/>
    </w:p>
    <w:p w14:paraId="2CC8FAC9" w14:textId="77777777" w:rsidR="00DA3F05" w:rsidRPr="00DA3F05" w:rsidRDefault="00DA3F05" w:rsidP="00DA3F05">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222" w:name="_Toc7191525"/>
      <w:bookmarkStart w:id="223" w:name="_Toc7447150"/>
      <w:bookmarkStart w:id="224" w:name="_Toc7447955"/>
      <w:bookmarkEnd w:id="222"/>
      <w:bookmarkEnd w:id="223"/>
      <w:bookmarkEnd w:id="224"/>
    </w:p>
    <w:p w14:paraId="66A29D83" w14:textId="77777777" w:rsidR="00DA3F05" w:rsidRPr="00DA3F05" w:rsidRDefault="00DA3F05" w:rsidP="00DA3F05">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225" w:name="_Toc7191526"/>
      <w:bookmarkStart w:id="226" w:name="_Toc7447151"/>
      <w:bookmarkStart w:id="227" w:name="_Toc7447956"/>
      <w:bookmarkEnd w:id="225"/>
      <w:bookmarkEnd w:id="226"/>
      <w:bookmarkEnd w:id="227"/>
    </w:p>
    <w:p w14:paraId="7F642C50" w14:textId="3549ADF0" w:rsidR="00103BD4" w:rsidRDefault="00103BD4" w:rsidP="00DA3F05">
      <w:pPr>
        <w:pStyle w:val="3"/>
      </w:pPr>
      <w:bookmarkStart w:id="228" w:name="_Toc7447957"/>
      <w:r w:rsidRPr="00542D4B">
        <w:t xml:space="preserve">О </w:t>
      </w:r>
      <w:r w:rsidRPr="00695331">
        <w:t>реализации</w:t>
      </w:r>
      <w:r w:rsidRPr="00542D4B">
        <w:t xml:space="preserve"> </w:t>
      </w:r>
      <w:r w:rsidRPr="006A0CA8">
        <w:t>мероприятий</w:t>
      </w:r>
      <w:r w:rsidRPr="00542D4B">
        <w:t xml:space="preserve">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итогам заседания Государственного совета Российской Федерации</w:t>
      </w:r>
      <w:bookmarkStart w:id="229" w:name="_Toc6834333"/>
      <w:bookmarkStart w:id="230" w:name="_Toc6834620"/>
      <w:bookmarkStart w:id="231" w:name="_Toc6834823"/>
      <w:bookmarkEnd w:id="229"/>
      <w:bookmarkEnd w:id="230"/>
      <w:bookmarkEnd w:id="231"/>
      <w:bookmarkEnd w:id="228"/>
    </w:p>
    <w:p w14:paraId="71313F22" w14:textId="77777777" w:rsidR="005D77F3" w:rsidRDefault="005D77F3" w:rsidP="00A47DF4">
      <w:pPr>
        <w:spacing w:after="0" w:line="240" w:lineRule="auto"/>
        <w:ind w:firstLine="851"/>
        <w:jc w:val="both"/>
        <w:rPr>
          <w:rFonts w:ascii="Times New Roman" w:hAnsi="Times New Roman" w:cs="Times New Roman"/>
          <w:sz w:val="28"/>
          <w:szCs w:val="28"/>
        </w:rPr>
      </w:pPr>
    </w:p>
    <w:p w14:paraId="094FEA8C" w14:textId="77777777" w:rsidR="005D77F3" w:rsidRDefault="005D77F3" w:rsidP="00A47DF4">
      <w:pPr>
        <w:spacing w:after="0" w:line="240" w:lineRule="auto"/>
        <w:ind w:firstLine="851"/>
        <w:jc w:val="both"/>
        <w:rPr>
          <w:rFonts w:ascii="Times New Roman" w:hAnsi="Times New Roman" w:cs="Times New Roman"/>
          <w:sz w:val="28"/>
          <w:szCs w:val="28"/>
        </w:rPr>
      </w:pPr>
    </w:p>
    <w:p w14:paraId="5788EAA9"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исполнения одного из ключевых показателей Национального плана, а именно сниженение количества нарушений со стороны органов власти на региональном уровне реализуется ряд мероприятий.</w:t>
      </w:r>
    </w:p>
    <w:p w14:paraId="3A9F3AFF"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Так активно осуществляется принятие высшими должностными лицами субъектов Российской Федерации (руководителями высших исполнительных органов государственной власти) </w:t>
      </w:r>
      <w:r w:rsidRPr="00A51A4D">
        <w:rPr>
          <w:rFonts w:ascii="Times New Roman" w:hAnsi="Times New Roman" w:cs="Times New Roman"/>
          <w:b/>
          <w:sz w:val="28"/>
          <w:szCs w:val="28"/>
        </w:rPr>
        <w:t>мер, направленных на создание и организацию системы внутреннего обеспечения соответствия требованиям антимонопольного законодательства</w:t>
      </w:r>
      <w:r w:rsidRPr="00A51A4D">
        <w:rPr>
          <w:rFonts w:ascii="Times New Roman" w:hAnsi="Times New Roman" w:cs="Times New Roman"/>
          <w:sz w:val="28"/>
          <w:szCs w:val="28"/>
        </w:rPr>
        <w:t xml:space="preserve"> деятельности органов исполнительной власти субъектов Российской Федерации.</w:t>
      </w:r>
    </w:p>
    <w:p w14:paraId="09A72E2B"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Во всех субъектах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внесены </w:t>
      </w:r>
      <w:r w:rsidRPr="00A51A4D">
        <w:rPr>
          <w:rFonts w:ascii="Times New Roman" w:hAnsi="Times New Roman" w:cs="Times New Roman"/>
          <w:b/>
          <w:sz w:val="28"/>
          <w:szCs w:val="28"/>
        </w:rPr>
        <w:t>изменения в положения органов исполнительной власти</w:t>
      </w:r>
      <w:r w:rsidRPr="00A51A4D">
        <w:rPr>
          <w:rFonts w:ascii="Times New Roman" w:hAnsi="Times New Roman" w:cs="Times New Roman"/>
          <w:sz w:val="28"/>
          <w:szCs w:val="28"/>
        </w:rPr>
        <w:t>, предусматривающие приоритет целей и задач по содействию развитию конкуренции на соответствующих товарных рынках.</w:t>
      </w:r>
    </w:p>
    <w:p w14:paraId="6DA2DFD1"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обеспечения органами местного самоуправления в своей деятельности приоритета целей и задач по развитию конкуренции на товарных рынках субъектом Российской Федерации осуществляется разработка и внедрение системы мотивации органов местного самоуправления к эффективной работе по содействию развитию конкуренции.</w:t>
      </w:r>
    </w:p>
    <w:p w14:paraId="1C71379C" w14:textId="77777777" w:rsidR="00D00E9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Аналогичная задача обозначена и в Перечне поручений Президента Российской Федерации от 15.05.2018 № Пр-817ГС по итогам заседания Государственного совета Российской Федерации от 5 апреля 2018 года.</w:t>
      </w:r>
    </w:p>
    <w:p w14:paraId="2E96C0E0" w14:textId="77777777" w:rsidR="008458D7" w:rsidRPr="00A51A4D" w:rsidRDefault="008458D7" w:rsidP="008458D7">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ФАС России была проведена работа по разработке предложений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w:t>
      </w:r>
    </w:p>
    <w:p w14:paraId="3E6F17B1"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вовлечения органов местного самоуправления в реализацию конкурентной политики, в ряде регионов в рамках Стандарта развития конкуренции в субъектах Российской Федерации, утвержденного распоряжением Правительства Российской Федерации от 05.09.2015 № 1738-р, система мотивации органов местного самоуправления к эффективной работе по содействию развитию конкуренции разработана и внедрена.</w:t>
      </w:r>
    </w:p>
    <w:p w14:paraId="46ECA7BC"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большинстве регионов данная система представляет собой систему рейтингования органов местного самоуправления. Данная система построена на основе оценок таких показателей как количество реализованных составляющих Стандарта развития конкуренции в регионе, обеспечение условий для благоприятного инвестиционного климата, и имеет бальную оценку.</w:t>
      </w:r>
    </w:p>
    <w:p w14:paraId="7FEBA73E"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итогам комплексной оценки деятельности муниципальных образований по содействию развития конкуренции в регионе формируется итоговый   рейтинг.</w:t>
      </w:r>
    </w:p>
    <w:p w14:paraId="0E7BEE76"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Первое место в рейтинге присваивается муниципальному образованию, набравшему наибольший показатель комплексной оценки, последнее место - набравший наименьший показатель комплексной оценки.</w:t>
      </w:r>
    </w:p>
    <w:p w14:paraId="4377DEF0"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результатам итогового рейтинга органы местного самоуправления соответствующих муниципальных образований награждаются почетными грамотами, благодарностями главы субъекта Российской Федерации, грантами, позволяющими улучшить условия для ведения и развития бизнеса.</w:t>
      </w:r>
    </w:p>
    <w:p w14:paraId="68B06E42"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качестве примера можно привести Саратовскую область, Краснодарский край, ХМАО, Ростовскую, Самарскую, Пензенскую области, Республику Удмуртия, Калининградскую, Архангельскую области и т.д.</w:t>
      </w:r>
    </w:p>
    <w:p w14:paraId="5382C858"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Однако в настоящее время в ряде субъектов Российской Федерации методика формирования указанного рейтинга не предусматривает систему материального поощрений городских округов и муниципальных районов по итогам рейтингования, что может отрицательно сказаться на мотивации органов местного самоуправления к эффективной работе по содействию развития конкуренции в регионе.</w:t>
      </w:r>
    </w:p>
    <w:p w14:paraId="5B4CC729"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качестве примера, к  мерам стимулирующего характера в системе мотивации органов местного самоуправления к эффективной работе по содействию развития конкуренции, поощрения городских округов и муниципальных районов по итогам оценки их деятельности, можно отнести распределение дополнительного субсидирования в форме межбюджетных трансфертов из областного бюджета, в рамках существующего рейтинга, местным бюджетам муниципальных образований региона за достижение наилучших значений показателей эффективности деятельности. В качестве мер стимулирующего характера также возможно предусмотреть материальное поощрение сотрудников в виде дополнительных выплат к оплате труда (премии за выполнение особо важных и сложных заданий, заблаговременно предусмотренных в бюджете соответствующего уровня), а также иные меры, самостоятельно разработанные органами исполнительной власти субъекта Российской Федерации.</w:t>
      </w:r>
    </w:p>
    <w:p w14:paraId="2B815F04"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Вместе с системой материальной мотивации, для органов местного самоуправления, находящихся на нижних уровнях рейтинга, целесообразно разработать и реализовать программу улучшения показателей, включенных в рейтинг и направленных на развитие конкуренции в регионе.</w:t>
      </w:r>
    </w:p>
    <w:p w14:paraId="1D26DE3E" w14:textId="4B2D11C6"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качестве дальнейшего развития данного направление представляется возможным рекомендовать субъектам Р</w:t>
      </w:r>
      <w:r w:rsidR="00AA1195">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sidR="00AA1195">
        <w:rPr>
          <w:rFonts w:ascii="Times New Roman" w:hAnsi="Times New Roman" w:cs="Times New Roman"/>
          <w:sz w:val="28"/>
          <w:szCs w:val="28"/>
        </w:rPr>
        <w:t>едерации</w:t>
      </w:r>
      <w:r w:rsidRPr="00A51A4D">
        <w:rPr>
          <w:rFonts w:ascii="Times New Roman" w:hAnsi="Times New Roman" w:cs="Times New Roman"/>
          <w:sz w:val="28"/>
          <w:szCs w:val="28"/>
        </w:rPr>
        <w:t xml:space="preserve"> ежегодно публиковать в сети Интернет на официальном сайте отчет об эффективности работы системы мотивации органов местного самоуправления к эффективной работе по содействию развитию конкуренции.</w:t>
      </w:r>
    </w:p>
    <w:p w14:paraId="7728B66E" w14:textId="52F69F32"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ФАС России целесообразно проводить сбор и анализ данной информации, и, в случае необходимости, направлять рекомендации главам субъектов Р</w:t>
      </w:r>
      <w:r w:rsidR="002629FB">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sidR="002629FB">
        <w:rPr>
          <w:rFonts w:ascii="Times New Roman" w:hAnsi="Times New Roman" w:cs="Times New Roman"/>
          <w:sz w:val="28"/>
          <w:szCs w:val="28"/>
        </w:rPr>
        <w:t>едерации</w:t>
      </w:r>
      <w:r w:rsidRPr="00A51A4D">
        <w:rPr>
          <w:rFonts w:ascii="Times New Roman" w:hAnsi="Times New Roman" w:cs="Times New Roman"/>
          <w:sz w:val="28"/>
          <w:szCs w:val="28"/>
        </w:rPr>
        <w:t xml:space="preserve"> по повышению эффективности работы системы мотивации.</w:t>
      </w:r>
    </w:p>
    <w:p w14:paraId="6FEB85DB" w14:textId="5A461F1F"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рамках развития конкуренции в Российской Федерации по итогам заседания Государственного совета Российской Федерации, проведенного 05.04.2018, Президентом Российской Федерации были даны поручения по развитию конкуренции, которые вошли в Перечень поручений Президента Р</w:t>
      </w:r>
      <w:r w:rsidR="00265F04">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sidR="00265F04">
        <w:rPr>
          <w:rFonts w:ascii="Times New Roman" w:hAnsi="Times New Roman" w:cs="Times New Roman"/>
          <w:sz w:val="28"/>
          <w:szCs w:val="28"/>
        </w:rPr>
        <w:t>едерации</w:t>
      </w:r>
      <w:r w:rsidRPr="00A51A4D">
        <w:rPr>
          <w:rFonts w:ascii="Times New Roman" w:hAnsi="Times New Roman" w:cs="Times New Roman"/>
          <w:sz w:val="28"/>
          <w:szCs w:val="28"/>
        </w:rPr>
        <w:t xml:space="preserve"> по итогам Государственного совета </w:t>
      </w:r>
      <w:r w:rsidR="00265F04" w:rsidRPr="00A51A4D">
        <w:rPr>
          <w:rFonts w:ascii="Times New Roman" w:hAnsi="Times New Roman" w:cs="Times New Roman"/>
          <w:sz w:val="28"/>
          <w:szCs w:val="28"/>
        </w:rPr>
        <w:t>Российской Федерации</w:t>
      </w:r>
      <w:r w:rsidR="00265F04">
        <w:rPr>
          <w:rFonts w:ascii="Times New Roman" w:hAnsi="Times New Roman" w:cs="Times New Roman"/>
          <w:sz w:val="28"/>
          <w:szCs w:val="28"/>
        </w:rPr>
        <w:t xml:space="preserve"> </w:t>
      </w:r>
      <w:r w:rsidRPr="00A51A4D">
        <w:rPr>
          <w:rFonts w:ascii="Times New Roman" w:hAnsi="Times New Roman" w:cs="Times New Roman"/>
          <w:sz w:val="28"/>
          <w:szCs w:val="28"/>
        </w:rPr>
        <w:t>от 15.05.2018</w:t>
      </w:r>
      <w:r w:rsidR="00265F04">
        <w:rPr>
          <w:rFonts w:ascii="Times New Roman" w:hAnsi="Times New Roman" w:cs="Times New Roman"/>
          <w:sz w:val="28"/>
          <w:szCs w:val="28"/>
        </w:rPr>
        <w:t xml:space="preserve"> </w:t>
      </w:r>
      <w:r w:rsidRPr="00A51A4D">
        <w:rPr>
          <w:rFonts w:ascii="Times New Roman" w:hAnsi="Times New Roman" w:cs="Times New Roman"/>
          <w:sz w:val="28"/>
          <w:szCs w:val="28"/>
        </w:rPr>
        <w:t>№ Пр-817ГС.</w:t>
      </w:r>
    </w:p>
    <w:p w14:paraId="397B11FA" w14:textId="15BE10CA"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Во исполнение Указа Президента Российской Федерации № 618, а также перечня поручений Президента Российской Федерации от 15.05.2018 </w:t>
      </w:r>
      <w:r w:rsidR="00DC6D9B">
        <w:rPr>
          <w:rFonts w:ascii="Times New Roman" w:hAnsi="Times New Roman" w:cs="Times New Roman"/>
          <w:sz w:val="28"/>
          <w:szCs w:val="28"/>
        </w:rPr>
        <w:t xml:space="preserve">                     </w:t>
      </w:r>
      <w:r w:rsidRPr="00A51A4D">
        <w:rPr>
          <w:rFonts w:ascii="Times New Roman" w:hAnsi="Times New Roman" w:cs="Times New Roman"/>
          <w:sz w:val="28"/>
          <w:szCs w:val="28"/>
        </w:rPr>
        <w:t xml:space="preserve">№ Пр-817ГС были проведены выездные совещания заместителей руководителя ФАС России и заключены соглашения о взаимодействии между ФАС России и Правительствами субъектов. Это дало возможность вести активную работу по разработке, согласованию и утверждению ключевых показателей развития конкуренции в субъектах Российской Федерации. </w:t>
      </w:r>
    </w:p>
    <w:p w14:paraId="416D818E" w14:textId="2DE6BA21"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На основании перечня поручений Президента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Р</w:t>
      </w:r>
      <w:r w:rsidR="00DC6D9B">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sidR="00DC6D9B">
        <w:rPr>
          <w:rFonts w:ascii="Times New Roman" w:hAnsi="Times New Roman" w:cs="Times New Roman"/>
          <w:sz w:val="28"/>
          <w:szCs w:val="28"/>
        </w:rPr>
        <w:t>едерации</w:t>
      </w:r>
      <w:r w:rsidRPr="00A51A4D">
        <w:rPr>
          <w:rFonts w:ascii="Times New Roman" w:hAnsi="Times New Roman" w:cs="Times New Roman"/>
          <w:sz w:val="28"/>
          <w:szCs w:val="28"/>
        </w:rPr>
        <w:t>.</w:t>
      </w:r>
    </w:p>
    <w:p w14:paraId="21100758"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7EF67DE0"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51480272"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5292A3DC"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Вместе с тем, работа по совершенствованию методик не может быть успешно завершена до внесения изменений в Стандарт развития конкуренции в регионах, которым должны быть установлены рынки и ключевые показатели развития конкуренции.</w:t>
      </w:r>
    </w:p>
    <w:p w14:paraId="5EA4FD98" w14:textId="77777777"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Утверждение ключевых показателей развития конкуренции позволило оценить отрасли экономики субъектов с точки зрения развития конкуренции. Определяющим подходом в указанных целях является количество хозяйствующих субъектов частной формы собственности на товарном рынке. 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  </w:t>
      </w:r>
    </w:p>
    <w:p w14:paraId="7AA1A5C7" w14:textId="46A038DA" w:rsidR="00D00E9D" w:rsidRPr="00A51A4D" w:rsidRDefault="00D00E9D" w:rsidP="00D00E9D">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С целью оказания помощи при разработке и формировании перечней ключевых показателей развития конкуренции в отраслях экономики субъектов Р</w:t>
      </w:r>
      <w:r w:rsidR="00DC6D9B">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sidR="00DC6D9B">
        <w:rPr>
          <w:rFonts w:ascii="Times New Roman" w:hAnsi="Times New Roman" w:cs="Times New Roman"/>
          <w:sz w:val="28"/>
          <w:szCs w:val="28"/>
        </w:rPr>
        <w:t>едерации</w:t>
      </w:r>
      <w:r w:rsidRPr="00A51A4D">
        <w:rPr>
          <w:rFonts w:ascii="Times New Roman" w:hAnsi="Times New Roman" w:cs="Times New Roman"/>
          <w:sz w:val="28"/>
          <w:szCs w:val="28"/>
        </w:rPr>
        <w:t xml:space="preserve">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w:t>
      </w:r>
      <w:r w:rsidR="00DC6D9B">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sidR="00DC6D9B">
        <w:rPr>
          <w:rFonts w:ascii="Times New Roman" w:hAnsi="Times New Roman" w:cs="Times New Roman"/>
          <w:sz w:val="28"/>
          <w:szCs w:val="28"/>
        </w:rPr>
        <w:t>едерации</w:t>
      </w:r>
      <w:r w:rsidRPr="00A51A4D">
        <w:rPr>
          <w:rFonts w:ascii="Times New Roman" w:hAnsi="Times New Roman" w:cs="Times New Roman"/>
          <w:sz w:val="28"/>
          <w:szCs w:val="28"/>
        </w:rPr>
        <w:t xml:space="preserve"> согласовали с ФАС России и утвердили перечни ключевых показателей развития конкуренции. </w:t>
      </w:r>
    </w:p>
    <w:p w14:paraId="640CD96D" w14:textId="0F80131A" w:rsidR="00D00E9D" w:rsidRPr="00A51A4D" w:rsidRDefault="00D00E9D" w:rsidP="00D00E9D">
      <w:pPr>
        <w:spacing w:after="0" w:line="240" w:lineRule="auto"/>
        <w:ind w:firstLine="709"/>
        <w:jc w:val="both"/>
        <w:rPr>
          <w:rFonts w:ascii="Times New Roman" w:eastAsia="Times New Roman" w:hAnsi="Times New Roman" w:cs="Times New Roman"/>
          <w:sz w:val="28"/>
          <w:szCs w:val="28"/>
          <w:lang w:eastAsia="ru-RU"/>
        </w:rPr>
      </w:pPr>
    </w:p>
    <w:p w14:paraId="1EAA4314" w14:textId="77777777" w:rsidR="00D00E9D" w:rsidRDefault="00D00E9D" w:rsidP="00D00E9D">
      <w:pPr>
        <w:spacing w:after="0" w:line="240" w:lineRule="auto"/>
        <w:ind w:firstLine="708"/>
        <w:jc w:val="both"/>
        <w:rPr>
          <w:rFonts w:ascii="Times New Roman" w:hAnsi="Times New Roman" w:cs="Times New Roman"/>
          <w:sz w:val="28"/>
          <w:szCs w:val="28"/>
        </w:rPr>
      </w:pPr>
    </w:p>
    <w:p w14:paraId="04AA1768" w14:textId="77777777" w:rsidR="00103BD4" w:rsidRDefault="00103BD4" w:rsidP="00D00E9D">
      <w:pPr>
        <w:autoSpaceDE w:val="0"/>
        <w:autoSpaceDN w:val="0"/>
        <w:adjustRightInd w:val="0"/>
        <w:spacing w:after="0" w:line="240" w:lineRule="auto"/>
        <w:ind w:firstLine="709"/>
        <w:jc w:val="both"/>
        <w:rPr>
          <w:rFonts w:ascii="Times New Roman" w:hAnsi="Times New Roman" w:cs="Times New Roman"/>
          <w:b/>
          <w:sz w:val="28"/>
          <w:szCs w:val="28"/>
        </w:rPr>
      </w:pPr>
    </w:p>
    <w:p w14:paraId="5E14B5CF" w14:textId="36B0A3E7" w:rsidR="00D00E9D" w:rsidRDefault="00D00E9D" w:rsidP="00DA3F05">
      <w:pPr>
        <w:pStyle w:val="3"/>
      </w:pPr>
      <w:bookmarkStart w:id="232" w:name="_Toc7447958"/>
      <w:r w:rsidRPr="00542D4B">
        <w:t>Анализ докладов субъектов Российской Федерации о состоянии и развитии конкурентной среды на рынках товаров и услуг региона</w:t>
      </w:r>
      <w:bookmarkEnd w:id="232"/>
      <w:r w:rsidRPr="00542D4B">
        <w:t xml:space="preserve"> </w:t>
      </w:r>
      <w:bookmarkStart w:id="233" w:name="_Toc6834334"/>
      <w:bookmarkStart w:id="234" w:name="_Toc6834621"/>
      <w:bookmarkStart w:id="235" w:name="_Toc6834824"/>
      <w:bookmarkEnd w:id="233"/>
      <w:bookmarkEnd w:id="234"/>
      <w:bookmarkEnd w:id="235"/>
    </w:p>
    <w:p w14:paraId="12A2F759" w14:textId="77777777" w:rsidR="005D77F3" w:rsidRDefault="005D77F3" w:rsidP="00D00E9D">
      <w:pPr>
        <w:spacing w:after="0" w:line="240" w:lineRule="auto"/>
        <w:jc w:val="both"/>
        <w:rPr>
          <w:rFonts w:ascii="Times New Roman" w:hAnsi="Times New Roman" w:cs="Times New Roman"/>
          <w:sz w:val="28"/>
          <w:szCs w:val="28"/>
        </w:rPr>
      </w:pPr>
    </w:p>
    <w:p w14:paraId="21182CD5" w14:textId="77777777" w:rsidR="005D4A43" w:rsidRPr="005D4A43" w:rsidRDefault="005D4A43" w:rsidP="005D4A43">
      <w:pPr>
        <w:spacing w:after="0" w:line="240" w:lineRule="auto"/>
        <w:ind w:firstLine="709"/>
        <w:jc w:val="both"/>
        <w:rPr>
          <w:rFonts w:ascii="Times New Roman" w:hAnsi="Times New Roman" w:cs="Times New Roman"/>
          <w:b/>
          <w:sz w:val="28"/>
          <w:szCs w:val="28"/>
        </w:rPr>
      </w:pPr>
      <w:r w:rsidRPr="005D4A43">
        <w:rPr>
          <w:rFonts w:ascii="Times New Roman" w:hAnsi="Times New Roman" w:cs="Times New Roman"/>
          <w:sz w:val="28"/>
          <w:szCs w:val="28"/>
        </w:rPr>
        <w:t xml:space="preserve">В настоящем подразделе отражены отдельные тенденции в развитии конкурентной среды в субъектах Российской Федерации, опыт регионов в рамках внедрения Стандарта развития конкуренции в субъектах Российской Федерации (далее – Стандарт) на рынках товаров и услуг: сведения о достижении </w:t>
      </w:r>
      <w:r w:rsidRPr="005D4A43">
        <w:rPr>
          <w:rFonts w:ascii="Times New Roman" w:hAnsi="Times New Roman" w:cs="Times New Roman"/>
          <w:iCs/>
          <w:sz w:val="28"/>
          <w:szCs w:val="28"/>
        </w:rPr>
        <w:t xml:space="preserve">регионами целевых значений контрольных показателей эффективности, установленных в планах мероприятий («дорожных картах»), </w:t>
      </w:r>
      <w:r w:rsidRPr="005D4A43">
        <w:rPr>
          <w:rFonts w:ascii="Times New Roman" w:hAnsi="Times New Roman" w:cs="Times New Roman"/>
          <w:sz w:val="28"/>
          <w:szCs w:val="28"/>
        </w:rPr>
        <w:t xml:space="preserve">положительные практики регионов и муниципальных образований, предложения субъектов Российской Федерации по оптимизации деятельности в вопросах развития конкуренции. </w:t>
      </w:r>
    </w:p>
    <w:p w14:paraId="377CA0DA"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p>
    <w:p w14:paraId="43338AE2" w14:textId="77777777" w:rsidR="005D4A43" w:rsidRPr="00812BD8" w:rsidRDefault="005D4A43" w:rsidP="005D4A43">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812BD8">
        <w:rPr>
          <w:rFonts w:ascii="Times New Roman" w:hAnsi="Times New Roman" w:cs="Times New Roman"/>
          <w:b/>
          <w:iCs/>
          <w:sz w:val="28"/>
          <w:szCs w:val="28"/>
        </w:rPr>
        <w:t xml:space="preserve">О достижении целевых значений контрольных показателей эффективности, установленных в планах мероприятий («дорожных картах») по содействию развитию конкуренции в субъектах Российской Федерации, и динамике показателей удовлетворенности потребителей качеством товаров, работ и услуг на региональных рынках </w:t>
      </w:r>
      <w:r w:rsidRPr="00812BD8">
        <w:rPr>
          <w:rFonts w:ascii="Times New Roman" w:eastAsia="Calibri" w:hAnsi="Times New Roman" w:cs="Times New Roman"/>
          <w:color w:val="000000"/>
          <w:sz w:val="28"/>
          <w:szCs w:val="28"/>
        </w:rPr>
        <w:t xml:space="preserve">  </w:t>
      </w:r>
    </w:p>
    <w:p w14:paraId="2B63E914" w14:textId="0DE2D03F" w:rsidR="005D4A43" w:rsidRPr="005D4A43" w:rsidRDefault="005D4A43" w:rsidP="005D4A43">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eastAsia="Calibri" w:hAnsi="Times New Roman" w:cs="Times New Roman"/>
          <w:color w:val="000000"/>
          <w:sz w:val="28"/>
          <w:szCs w:val="28"/>
        </w:rPr>
        <w:t xml:space="preserve">Начиная с 2017 года региональный раздел Доклада о состоянии конкуренции в Российской Федерации формируется с учетом положений </w:t>
      </w:r>
      <w:r w:rsidRPr="005D4A43">
        <w:rPr>
          <w:rFonts w:ascii="Times New Roman" w:hAnsi="Times New Roman" w:cs="Times New Roman"/>
          <w:sz w:val="28"/>
          <w:szCs w:val="28"/>
        </w:rPr>
        <w:t xml:space="preserve">Указа </w:t>
      </w:r>
      <w:r w:rsidR="00812BD8">
        <w:rPr>
          <w:rFonts w:ascii="Times New Roman" w:hAnsi="Times New Roman" w:cs="Times New Roman"/>
          <w:sz w:val="28"/>
          <w:szCs w:val="28"/>
        </w:rPr>
        <w:t>№ 618</w:t>
      </w:r>
      <w:r w:rsidRPr="005D4A43">
        <w:rPr>
          <w:rFonts w:ascii="Times New Roman" w:hAnsi="Times New Roman" w:cs="Times New Roman"/>
          <w:sz w:val="28"/>
          <w:szCs w:val="28"/>
        </w:rPr>
        <w:t xml:space="preserve">. </w:t>
      </w:r>
    </w:p>
    <w:p w14:paraId="32F16A1A" w14:textId="515BAF91" w:rsidR="005D4A43" w:rsidRPr="005D4A43" w:rsidRDefault="005D4A43" w:rsidP="005D4A43">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sz w:val="28"/>
          <w:szCs w:val="28"/>
        </w:rPr>
        <w:t xml:space="preserve">В соответствии с подпунктом «а» пункта 2 Указа </w:t>
      </w:r>
      <w:r w:rsidR="00812BD8" w:rsidRPr="00812BD8">
        <w:rPr>
          <w:rFonts w:ascii="Times New Roman" w:hAnsi="Times New Roman" w:cs="Times New Roman"/>
          <w:sz w:val="28"/>
          <w:szCs w:val="28"/>
        </w:rPr>
        <w:t xml:space="preserve">№ </w:t>
      </w:r>
      <w:r w:rsidRPr="00812BD8">
        <w:rPr>
          <w:rFonts w:ascii="Times New Roman" w:hAnsi="Times New Roman" w:cs="Times New Roman"/>
          <w:sz w:val="28"/>
          <w:szCs w:val="28"/>
        </w:rPr>
        <w:t>618 повышение удовлетворенности потребителей за счет расширения ассортимента товаров, работ, услуг, повышения их качества и снижения цен</w:t>
      </w:r>
      <w:r w:rsidRPr="005D4A43">
        <w:rPr>
          <w:rFonts w:ascii="Times New Roman" w:hAnsi="Times New Roman" w:cs="Times New Roman"/>
          <w:sz w:val="28"/>
          <w:szCs w:val="28"/>
        </w:rPr>
        <w:t xml:space="preserve"> определено в качестве главной цели совершенствования государственной политики по развитию конкуренции.</w:t>
      </w:r>
    </w:p>
    <w:p w14:paraId="72802602"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5D4A43">
        <w:rPr>
          <w:rFonts w:ascii="Times New Roman" w:hAnsi="Times New Roman" w:cs="Times New Roman"/>
          <w:sz w:val="28"/>
          <w:szCs w:val="28"/>
        </w:rPr>
        <w:t>В</w:t>
      </w:r>
      <w:r w:rsidRPr="005D4A43">
        <w:rPr>
          <w:rFonts w:ascii="Times New Roman" w:hAnsi="Times New Roman" w:cs="Times New Roman"/>
          <w:iCs/>
          <w:sz w:val="28"/>
          <w:szCs w:val="28"/>
        </w:rPr>
        <w:t xml:space="preserve"> рамках подготовки регионального раздела Доклада о состоянии конкуренции в Российской Федерации </w:t>
      </w:r>
      <w:r w:rsidRPr="005D4A43">
        <w:rPr>
          <w:rFonts w:ascii="Times New Roman" w:hAnsi="Times New Roman" w:cs="Times New Roman"/>
          <w:b/>
          <w:iCs/>
          <w:sz w:val="28"/>
          <w:szCs w:val="28"/>
        </w:rPr>
        <w:t>за 2018 год</w:t>
      </w:r>
      <w:r w:rsidRPr="005D4A43">
        <w:rPr>
          <w:rFonts w:ascii="Times New Roman" w:hAnsi="Times New Roman" w:cs="Times New Roman"/>
          <w:iCs/>
          <w:sz w:val="28"/>
          <w:szCs w:val="28"/>
        </w:rPr>
        <w:t xml:space="preserve"> с целью оценки состояния конкуренции в субъектах Российской Федерации ФАС России разработаны формы представления сведений уполномоченными органами субъектов Российской Федерации по: </w:t>
      </w:r>
    </w:p>
    <w:p w14:paraId="43132424" w14:textId="2B742B72" w:rsidR="005D4A43" w:rsidRPr="005D4A43" w:rsidRDefault="005D4A43" w:rsidP="00812BD8">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достижению целевых значений контрольных показателей эффективности, установленных в планах мероприятий («дорожной карте») по содействию развитию конкуренции в субъекте Российской Федерации</w:t>
      </w:r>
      <w:r w:rsidR="00812BD8">
        <w:rPr>
          <w:rFonts w:ascii="Times New Roman" w:hAnsi="Times New Roman" w:cs="Times New Roman"/>
          <w:iCs/>
          <w:sz w:val="28"/>
          <w:szCs w:val="28"/>
        </w:rPr>
        <w:t>;</w:t>
      </w:r>
    </w:p>
    <w:p w14:paraId="505E3FF6"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(далее – Сведения). </w:t>
      </w:r>
    </w:p>
    <w:p w14:paraId="4AC893C3"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С целью корреляции </w:t>
      </w:r>
      <w:r w:rsidRPr="00812BD8">
        <w:rPr>
          <w:rFonts w:ascii="Times New Roman" w:eastAsia="Calibri" w:hAnsi="Times New Roman" w:cs="Times New Roman"/>
          <w:color w:val="000000"/>
          <w:sz w:val="28"/>
          <w:szCs w:val="28"/>
        </w:rPr>
        <w:t>динамики доли присутствия организаций частной формы собственности на рынке</w:t>
      </w:r>
      <w:r w:rsidRPr="00812BD8">
        <w:rPr>
          <w:rFonts w:ascii="Times New Roman" w:hAnsi="Times New Roman" w:cs="Times New Roman"/>
          <w:iCs/>
          <w:sz w:val="28"/>
          <w:szCs w:val="28"/>
        </w:rPr>
        <w:t xml:space="preserve"> товаров, работ и услуг</w:t>
      </w:r>
      <w:r w:rsidRPr="00812BD8">
        <w:rPr>
          <w:rFonts w:ascii="Times New Roman" w:eastAsia="Calibri" w:hAnsi="Times New Roman" w:cs="Times New Roman"/>
          <w:color w:val="000000"/>
          <w:sz w:val="28"/>
          <w:szCs w:val="28"/>
        </w:rPr>
        <w:t xml:space="preserve"> на территории субъектов Российской Федерации и </w:t>
      </w: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eastAsia="Calibri" w:hAnsi="Times New Roman" w:cs="Times New Roman"/>
          <w:color w:val="000000"/>
          <w:sz w:val="28"/>
          <w:szCs w:val="28"/>
        </w:rPr>
        <w:t xml:space="preserve">а также в целях межрегионального сравнения, ФАС России обобщены и проанализированы данные, представленные Уполномоченными органами субъектов Российской Федерации (далее – обобщенные сведения). </w:t>
      </w:r>
    </w:p>
    <w:p w14:paraId="0BD9800D"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hAnsi="Times New Roman" w:cs="Times New Roman"/>
          <w:iCs/>
          <w:sz w:val="28"/>
          <w:szCs w:val="28"/>
        </w:rPr>
        <w:t>В настоящем разделе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представлены обобщение и анализ Сведений за 2018 год по 8 рынкам из приложения к Стандарту, показателем по которым является </w:t>
      </w:r>
      <w:r w:rsidRPr="00812BD8">
        <w:rPr>
          <w:rFonts w:ascii="Times New Roman" w:eastAsia="Calibri" w:hAnsi="Times New Roman" w:cs="Times New Roman"/>
          <w:color w:val="000000"/>
          <w:sz w:val="28"/>
          <w:szCs w:val="28"/>
        </w:rPr>
        <w:t>доля присутствия организаций частной формы собственности в отраслях (сферах) экономики (виде деятельности) на территории субъекта Российской Федерации.</w:t>
      </w:r>
    </w:p>
    <w:p w14:paraId="32122EE4"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Данные по регионам в обобщенных сведениях формировались по уменьшению показателя фактической доли присутствия организаций частной формы собственности на каждом из рынков в 2018 году. Указанные фактические показатели 2018 года сравнивались с фактическими показателями 2017 года. </w:t>
      </w:r>
    </w:p>
    <w:p w14:paraId="7E9DB532"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В обобщенные сведения не включались данные регионов по тем рынкам, наименование показателя по которым не соответствует показателям из приложения к Стандарту. Также в обобщенные сведения не вошли некорректно указанные показатели. </w:t>
      </w:r>
    </w:p>
    <w:p w14:paraId="033D2D3D"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eastAsia="Calibri" w:hAnsi="Times New Roman" w:cs="Times New Roman"/>
          <w:color w:val="000000"/>
          <w:sz w:val="28"/>
          <w:szCs w:val="28"/>
        </w:rPr>
        <w:t xml:space="preserve">Для анализа обобщенных сведений представлены 15 субъектов Российской Федерации, имеющих </w:t>
      </w:r>
      <w:r w:rsidRPr="00812BD8">
        <w:rPr>
          <w:rFonts w:ascii="Times New Roman" w:eastAsia="Calibri" w:hAnsi="Times New Roman" w:cs="Times New Roman"/>
          <w:color w:val="000000"/>
          <w:sz w:val="28"/>
          <w:szCs w:val="28"/>
        </w:rPr>
        <w:t>наибольшие значения показателя фактической доли присутствия организаций частной формы собственности на каждом из 8 рынков в 2018 году.</w:t>
      </w:r>
      <w:r w:rsidRPr="005D4A43">
        <w:rPr>
          <w:rFonts w:ascii="Times New Roman" w:eastAsia="Calibri" w:hAnsi="Times New Roman" w:cs="Times New Roman"/>
          <w:b/>
          <w:i/>
          <w:color w:val="000000"/>
          <w:sz w:val="28"/>
          <w:szCs w:val="28"/>
        </w:rPr>
        <w:t xml:space="preserve"> </w:t>
      </w:r>
    </w:p>
    <w:p w14:paraId="5CFD2A31"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p>
    <w:p w14:paraId="77487A02" w14:textId="77777777" w:rsidR="005D4A43" w:rsidRPr="00812BD8" w:rsidRDefault="005D4A43" w:rsidP="00F6030C">
      <w:pPr>
        <w:numPr>
          <w:ilvl w:val="0"/>
          <w:numId w:val="57"/>
        </w:numPr>
        <w:pBdr>
          <w:bottom w:val="single" w:sz="4" w:space="29" w:color="FFFFFF"/>
        </w:pBdr>
        <w:tabs>
          <w:tab w:val="left" w:pos="0"/>
        </w:tabs>
        <w:spacing w:after="0" w:line="240" w:lineRule="auto"/>
        <w:ind w:left="0" w:firstLine="709"/>
        <w:contextualSpacing/>
        <w:jc w:val="both"/>
        <w:rPr>
          <w:rFonts w:ascii="Times New Roman" w:hAnsi="Times New Roman" w:cs="Times New Roman"/>
          <w:b/>
          <w:sz w:val="28"/>
          <w:szCs w:val="28"/>
        </w:rPr>
      </w:pPr>
      <w:r w:rsidRPr="00812BD8">
        <w:rPr>
          <w:rFonts w:ascii="Times New Roman" w:hAnsi="Times New Roman" w:cs="Times New Roman"/>
          <w:b/>
          <w:sz w:val="28"/>
          <w:szCs w:val="28"/>
        </w:rPr>
        <w:t>Рынок услуг дошкольного образования</w:t>
      </w:r>
    </w:p>
    <w:p w14:paraId="327D9843"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удельный вес численности детей частных дошкольных образовательных организаций в общей численности детей дошкольных образовательных организаций  (процентов)</w:t>
      </w:r>
    </w:p>
    <w:tbl>
      <w:tblPr>
        <w:tblStyle w:val="afa"/>
        <w:tblW w:w="10631" w:type="dxa"/>
        <w:tblInd w:w="-1139" w:type="dxa"/>
        <w:tblLayout w:type="fixed"/>
        <w:tblLook w:val="04A0" w:firstRow="1" w:lastRow="0" w:firstColumn="1" w:lastColumn="0" w:noHBand="0" w:noVBand="1"/>
      </w:tblPr>
      <w:tblGrid>
        <w:gridCol w:w="568"/>
        <w:gridCol w:w="1842"/>
        <w:gridCol w:w="1134"/>
        <w:gridCol w:w="992"/>
        <w:gridCol w:w="992"/>
        <w:gridCol w:w="1134"/>
        <w:gridCol w:w="1134"/>
        <w:gridCol w:w="1134"/>
        <w:gridCol w:w="1701"/>
      </w:tblGrid>
      <w:tr w:rsidR="005D4A43" w:rsidRPr="005D4A43" w14:paraId="2B74A58E" w14:textId="77777777" w:rsidTr="00126F5B">
        <w:trPr>
          <w:trHeight w:val="870"/>
          <w:tblHeader/>
        </w:trPr>
        <w:tc>
          <w:tcPr>
            <w:tcW w:w="568" w:type="dxa"/>
            <w:vMerge w:val="restart"/>
            <w:shd w:val="clear" w:color="auto" w:fill="DEEAF6" w:themeFill="accent1" w:themeFillTint="33"/>
            <w:vAlign w:val="center"/>
          </w:tcPr>
          <w:p w14:paraId="17470DCC"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842" w:type="dxa"/>
            <w:vMerge w:val="restart"/>
            <w:shd w:val="clear" w:color="auto" w:fill="DEEAF6" w:themeFill="accent1" w:themeFillTint="33"/>
            <w:vAlign w:val="center"/>
          </w:tcPr>
          <w:p w14:paraId="1BE8FB37"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2" w:type="dxa"/>
            <w:gridSpan w:val="4"/>
            <w:tcBorders>
              <w:bottom w:val="single" w:sz="4" w:space="0" w:color="auto"/>
            </w:tcBorders>
            <w:shd w:val="clear" w:color="auto" w:fill="DEEAF6" w:themeFill="accent1" w:themeFillTint="33"/>
            <w:vAlign w:val="center"/>
          </w:tcPr>
          <w:p w14:paraId="53FA37FC" w14:textId="77777777" w:rsidR="005D4A43" w:rsidRPr="005D4A43" w:rsidRDefault="005D4A43" w:rsidP="005D4A43">
            <w:pPr>
              <w:jc w:val="both"/>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41429191"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31D74B68"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5D4A43" w:rsidRPr="005D4A43" w14:paraId="54C1E32A" w14:textId="77777777" w:rsidTr="00126F5B">
        <w:trPr>
          <w:trHeight w:val="177"/>
          <w:tblHeader/>
        </w:trPr>
        <w:tc>
          <w:tcPr>
            <w:tcW w:w="568" w:type="dxa"/>
            <w:vMerge/>
            <w:shd w:val="clear" w:color="auto" w:fill="DEEAF6" w:themeFill="accent1" w:themeFillTint="33"/>
          </w:tcPr>
          <w:p w14:paraId="35000B15" w14:textId="77777777" w:rsidR="005D4A43" w:rsidRPr="005D4A43" w:rsidRDefault="005D4A43" w:rsidP="005D4A43">
            <w:pPr>
              <w:jc w:val="both"/>
              <w:rPr>
                <w:rFonts w:ascii="Times New Roman" w:hAnsi="Times New Roman" w:cs="Times New Roman"/>
                <w:b/>
                <w:sz w:val="24"/>
                <w:szCs w:val="24"/>
              </w:rPr>
            </w:pPr>
          </w:p>
        </w:tc>
        <w:tc>
          <w:tcPr>
            <w:tcW w:w="1842" w:type="dxa"/>
            <w:vMerge/>
            <w:shd w:val="clear" w:color="auto" w:fill="DEEAF6" w:themeFill="accent1" w:themeFillTint="33"/>
          </w:tcPr>
          <w:p w14:paraId="5DB5FDF1" w14:textId="77777777" w:rsidR="005D4A43" w:rsidRPr="005D4A43" w:rsidRDefault="005D4A43" w:rsidP="005D4A43">
            <w:pPr>
              <w:jc w:val="both"/>
              <w:rPr>
                <w:rFonts w:ascii="Times New Roman" w:hAnsi="Times New Roman" w:cs="Times New Roman"/>
                <w:b/>
                <w:sz w:val="24"/>
                <w:szCs w:val="24"/>
              </w:rPr>
            </w:pPr>
          </w:p>
        </w:tc>
        <w:tc>
          <w:tcPr>
            <w:tcW w:w="1134" w:type="dxa"/>
            <w:shd w:val="clear" w:color="auto" w:fill="DEEAF6" w:themeFill="accent1" w:themeFillTint="33"/>
            <w:vAlign w:val="center"/>
          </w:tcPr>
          <w:p w14:paraId="29DBF42C"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76330BDB"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1F5AC287"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7E57328"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87FB5A0"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16678AC7"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1D43AAFE"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48039CAD"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tcPr>
          <w:p w14:paraId="4D9E80D9" w14:textId="77777777" w:rsidR="005D4A43" w:rsidRPr="005D4A43" w:rsidRDefault="005D4A43" w:rsidP="005D4A43">
            <w:pPr>
              <w:jc w:val="both"/>
              <w:rPr>
                <w:rFonts w:ascii="Times New Roman" w:hAnsi="Times New Roman" w:cs="Times New Roman"/>
                <w:b/>
                <w:sz w:val="24"/>
                <w:szCs w:val="24"/>
              </w:rPr>
            </w:pPr>
          </w:p>
        </w:tc>
      </w:tr>
      <w:tr w:rsidR="005D4A43" w:rsidRPr="005D4A43" w14:paraId="00ADBFC2" w14:textId="77777777" w:rsidTr="00126F5B">
        <w:tc>
          <w:tcPr>
            <w:tcW w:w="568" w:type="dxa"/>
            <w:tcBorders>
              <w:top w:val="single" w:sz="4" w:space="0" w:color="auto"/>
              <w:left w:val="single" w:sz="4" w:space="0" w:color="auto"/>
              <w:bottom w:val="single" w:sz="4" w:space="0" w:color="auto"/>
              <w:right w:val="single" w:sz="4" w:space="0" w:color="auto"/>
            </w:tcBorders>
          </w:tcPr>
          <w:p w14:paraId="2D34B666"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462F5C"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93C12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15,2</w:t>
            </w:r>
          </w:p>
        </w:tc>
        <w:tc>
          <w:tcPr>
            <w:tcW w:w="992" w:type="dxa"/>
            <w:tcBorders>
              <w:top w:val="single" w:sz="4" w:space="0" w:color="auto"/>
              <w:left w:val="nil"/>
              <w:bottom w:val="single" w:sz="4" w:space="0" w:color="auto"/>
              <w:right w:val="single" w:sz="4" w:space="0" w:color="auto"/>
            </w:tcBorders>
            <w:shd w:val="clear" w:color="auto" w:fill="auto"/>
            <w:vAlign w:val="center"/>
          </w:tcPr>
          <w:p w14:paraId="2C64C74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11,3</w:t>
            </w:r>
          </w:p>
        </w:tc>
        <w:tc>
          <w:tcPr>
            <w:tcW w:w="992" w:type="dxa"/>
            <w:tcBorders>
              <w:top w:val="single" w:sz="4" w:space="0" w:color="auto"/>
              <w:left w:val="nil"/>
              <w:bottom w:val="single" w:sz="4" w:space="0" w:color="auto"/>
              <w:right w:val="single" w:sz="4" w:space="0" w:color="auto"/>
            </w:tcBorders>
            <w:shd w:val="clear" w:color="auto" w:fill="auto"/>
            <w:vAlign w:val="center"/>
          </w:tcPr>
          <w:p w14:paraId="313D18A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15,9</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E69050"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3B0CE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52</w:t>
            </w:r>
          </w:p>
        </w:tc>
        <w:tc>
          <w:tcPr>
            <w:tcW w:w="1134" w:type="dxa"/>
            <w:tcBorders>
              <w:top w:val="single" w:sz="4" w:space="0" w:color="auto"/>
              <w:left w:val="nil"/>
              <w:bottom w:val="single" w:sz="4" w:space="0" w:color="auto"/>
              <w:right w:val="single" w:sz="4" w:space="0" w:color="auto"/>
            </w:tcBorders>
            <w:shd w:val="clear" w:color="auto" w:fill="auto"/>
          </w:tcPr>
          <w:p w14:paraId="436ACA7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50,65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72E61B2F"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5D4A43" w:rsidRPr="005D4A43" w14:paraId="6EAE1F0E" w14:textId="77777777" w:rsidTr="00126F5B">
        <w:tc>
          <w:tcPr>
            <w:tcW w:w="568" w:type="dxa"/>
            <w:tcBorders>
              <w:top w:val="single" w:sz="4" w:space="0" w:color="auto"/>
              <w:left w:val="single" w:sz="4" w:space="0" w:color="auto"/>
              <w:bottom w:val="single" w:sz="4" w:space="0" w:color="auto"/>
              <w:right w:val="single" w:sz="4" w:space="0" w:color="auto"/>
            </w:tcBorders>
          </w:tcPr>
          <w:p w14:paraId="24A21553"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7918CC32"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475E849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12,7</w:t>
            </w:r>
          </w:p>
        </w:tc>
        <w:tc>
          <w:tcPr>
            <w:tcW w:w="992" w:type="dxa"/>
            <w:tcBorders>
              <w:top w:val="nil"/>
              <w:left w:val="nil"/>
              <w:bottom w:val="single" w:sz="4" w:space="0" w:color="auto"/>
              <w:right w:val="single" w:sz="4" w:space="0" w:color="auto"/>
            </w:tcBorders>
            <w:shd w:val="clear" w:color="auto" w:fill="auto"/>
            <w:vAlign w:val="center"/>
          </w:tcPr>
          <w:p w14:paraId="1011CF8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12,8</w:t>
            </w:r>
          </w:p>
        </w:tc>
        <w:tc>
          <w:tcPr>
            <w:tcW w:w="992" w:type="dxa"/>
            <w:tcBorders>
              <w:top w:val="nil"/>
              <w:left w:val="nil"/>
              <w:bottom w:val="single" w:sz="4" w:space="0" w:color="auto"/>
              <w:right w:val="single" w:sz="4" w:space="0" w:color="auto"/>
            </w:tcBorders>
            <w:shd w:val="clear" w:color="auto" w:fill="auto"/>
            <w:vAlign w:val="center"/>
          </w:tcPr>
          <w:p w14:paraId="16524D4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12,5</w:t>
            </w:r>
          </w:p>
        </w:tc>
        <w:tc>
          <w:tcPr>
            <w:tcW w:w="1134" w:type="dxa"/>
            <w:tcBorders>
              <w:top w:val="nil"/>
              <w:left w:val="nil"/>
              <w:bottom w:val="single" w:sz="4" w:space="0" w:color="auto"/>
              <w:right w:val="single" w:sz="4" w:space="0" w:color="auto"/>
            </w:tcBorders>
            <w:shd w:val="clear" w:color="auto" w:fill="auto"/>
            <w:vAlign w:val="center"/>
          </w:tcPr>
          <w:p w14:paraId="6E6A4B5E"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12,94 ↑</w:t>
            </w:r>
          </w:p>
        </w:tc>
        <w:tc>
          <w:tcPr>
            <w:tcW w:w="1134" w:type="dxa"/>
            <w:tcBorders>
              <w:top w:val="nil"/>
              <w:left w:val="single" w:sz="4" w:space="0" w:color="auto"/>
              <w:bottom w:val="single" w:sz="4" w:space="0" w:color="auto"/>
              <w:right w:val="single" w:sz="4" w:space="0" w:color="auto"/>
            </w:tcBorders>
            <w:shd w:val="clear" w:color="auto" w:fill="auto"/>
          </w:tcPr>
          <w:p w14:paraId="7EDA3B0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66,0</w:t>
            </w:r>
          </w:p>
        </w:tc>
        <w:tc>
          <w:tcPr>
            <w:tcW w:w="1134" w:type="dxa"/>
            <w:tcBorders>
              <w:top w:val="nil"/>
              <w:left w:val="nil"/>
              <w:bottom w:val="single" w:sz="4" w:space="0" w:color="auto"/>
              <w:right w:val="single" w:sz="4" w:space="0" w:color="auto"/>
            </w:tcBorders>
            <w:shd w:val="clear" w:color="auto" w:fill="auto"/>
          </w:tcPr>
          <w:p w14:paraId="15183CC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56,8 ↓</w:t>
            </w:r>
          </w:p>
        </w:tc>
        <w:tc>
          <w:tcPr>
            <w:tcW w:w="1701" w:type="dxa"/>
            <w:tcBorders>
              <w:top w:val="single" w:sz="4" w:space="0" w:color="auto"/>
              <w:left w:val="nil"/>
              <w:bottom w:val="nil"/>
              <w:right w:val="single" w:sz="4" w:space="0" w:color="auto"/>
            </w:tcBorders>
            <w:shd w:val="clear" w:color="auto" w:fill="FFC000"/>
          </w:tcPr>
          <w:p w14:paraId="5DDFD2FD"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5D4A43" w:rsidRPr="005D4A43" w14:paraId="5AC664CD"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8EA528D"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406DA571"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970BF0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2,1</w:t>
            </w:r>
          </w:p>
        </w:tc>
        <w:tc>
          <w:tcPr>
            <w:tcW w:w="992" w:type="dxa"/>
            <w:tcBorders>
              <w:top w:val="nil"/>
              <w:left w:val="nil"/>
              <w:bottom w:val="single" w:sz="4" w:space="0" w:color="auto"/>
              <w:right w:val="single" w:sz="4" w:space="0" w:color="auto"/>
            </w:tcBorders>
            <w:shd w:val="clear" w:color="auto" w:fill="auto"/>
            <w:vAlign w:val="center"/>
          </w:tcPr>
          <w:p w14:paraId="055E889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vAlign w:val="center"/>
          </w:tcPr>
          <w:p w14:paraId="16AA5F5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21189B0C"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6 ↑</w:t>
            </w:r>
          </w:p>
        </w:tc>
        <w:tc>
          <w:tcPr>
            <w:tcW w:w="1134" w:type="dxa"/>
            <w:tcBorders>
              <w:top w:val="nil"/>
              <w:left w:val="single" w:sz="4" w:space="0" w:color="auto"/>
              <w:bottom w:val="single" w:sz="4" w:space="0" w:color="auto"/>
              <w:right w:val="single" w:sz="4" w:space="0" w:color="auto"/>
            </w:tcBorders>
            <w:shd w:val="clear" w:color="auto" w:fill="auto"/>
          </w:tcPr>
          <w:p w14:paraId="4800DA4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tcPr>
          <w:p w14:paraId="63C385A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2,8 ↓</w:t>
            </w:r>
          </w:p>
        </w:tc>
        <w:tc>
          <w:tcPr>
            <w:tcW w:w="1701" w:type="dxa"/>
            <w:tcBorders>
              <w:top w:val="single" w:sz="4" w:space="0" w:color="auto"/>
              <w:left w:val="nil"/>
              <w:bottom w:val="single" w:sz="4" w:space="0" w:color="auto"/>
              <w:right w:val="single" w:sz="4" w:space="0" w:color="auto"/>
            </w:tcBorders>
            <w:shd w:val="clear" w:color="auto" w:fill="FFC000"/>
          </w:tcPr>
          <w:p w14:paraId="5EEA3A2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5D4A43" w:rsidRPr="005D4A43" w14:paraId="3C6EB4D6" w14:textId="77777777" w:rsidTr="00126F5B">
        <w:tc>
          <w:tcPr>
            <w:tcW w:w="568" w:type="dxa"/>
            <w:tcBorders>
              <w:top w:val="single" w:sz="4" w:space="0" w:color="auto"/>
              <w:left w:val="single" w:sz="4" w:space="0" w:color="auto"/>
              <w:bottom w:val="single" w:sz="4" w:space="0" w:color="auto"/>
              <w:right w:val="single" w:sz="4" w:space="0" w:color="auto"/>
            </w:tcBorders>
          </w:tcPr>
          <w:p w14:paraId="0815FCDE"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4E9295CF"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6889F2C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0F33883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46FCC01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5,9</w:t>
            </w:r>
          </w:p>
        </w:tc>
        <w:tc>
          <w:tcPr>
            <w:tcW w:w="1134" w:type="dxa"/>
            <w:tcBorders>
              <w:top w:val="nil"/>
              <w:left w:val="nil"/>
              <w:bottom w:val="single" w:sz="4" w:space="0" w:color="auto"/>
              <w:right w:val="single" w:sz="4" w:space="0" w:color="auto"/>
            </w:tcBorders>
            <w:shd w:val="clear" w:color="auto" w:fill="auto"/>
            <w:vAlign w:val="center"/>
          </w:tcPr>
          <w:p w14:paraId="696197E7" w14:textId="77777777" w:rsidR="005D4A43" w:rsidRPr="005D4A43" w:rsidRDefault="005D4A43" w:rsidP="005D4A43">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tcPr>
          <w:p w14:paraId="600D748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62</w:t>
            </w:r>
          </w:p>
        </w:tc>
        <w:tc>
          <w:tcPr>
            <w:tcW w:w="1134" w:type="dxa"/>
            <w:tcBorders>
              <w:top w:val="nil"/>
              <w:left w:val="nil"/>
              <w:bottom w:val="single" w:sz="4" w:space="0" w:color="auto"/>
              <w:right w:val="single" w:sz="4" w:space="0" w:color="auto"/>
            </w:tcBorders>
            <w:shd w:val="clear" w:color="auto" w:fill="auto"/>
          </w:tcPr>
          <w:p w14:paraId="7F3D13D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56 ↓</w:t>
            </w:r>
          </w:p>
        </w:tc>
        <w:tc>
          <w:tcPr>
            <w:tcW w:w="1701" w:type="dxa"/>
            <w:tcBorders>
              <w:top w:val="nil"/>
              <w:left w:val="nil"/>
              <w:bottom w:val="single" w:sz="4" w:space="0" w:color="auto"/>
              <w:right w:val="single" w:sz="4" w:space="0" w:color="auto"/>
            </w:tcBorders>
            <w:shd w:val="clear" w:color="auto" w:fill="FFC000"/>
          </w:tcPr>
          <w:p w14:paraId="652E4DE2"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5D4A43" w:rsidRPr="005D4A43" w14:paraId="3DDACBD1"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E1C587F"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207BE96A"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4CB642E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0732598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31A0C12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7F1E7803"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5,7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EEF078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46,2</w:t>
            </w:r>
          </w:p>
        </w:tc>
        <w:tc>
          <w:tcPr>
            <w:tcW w:w="1134" w:type="dxa"/>
            <w:tcBorders>
              <w:top w:val="nil"/>
              <w:left w:val="nil"/>
              <w:bottom w:val="single" w:sz="4" w:space="0" w:color="auto"/>
              <w:right w:val="single" w:sz="4" w:space="0" w:color="auto"/>
            </w:tcBorders>
            <w:shd w:val="clear" w:color="auto" w:fill="auto"/>
            <w:vAlign w:val="center"/>
          </w:tcPr>
          <w:p w14:paraId="4301547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44,4 ↓</w:t>
            </w:r>
          </w:p>
        </w:tc>
        <w:tc>
          <w:tcPr>
            <w:tcW w:w="1701" w:type="dxa"/>
            <w:tcBorders>
              <w:top w:val="nil"/>
              <w:left w:val="nil"/>
              <w:bottom w:val="single" w:sz="4" w:space="0" w:color="auto"/>
              <w:right w:val="single" w:sz="4" w:space="0" w:color="auto"/>
            </w:tcBorders>
            <w:shd w:val="clear" w:color="auto" w:fill="FFC000"/>
          </w:tcPr>
          <w:p w14:paraId="2511FB1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5D4A43" w:rsidRPr="005D4A43" w14:paraId="0E18A5F0" w14:textId="77777777" w:rsidTr="00126F5B">
        <w:tc>
          <w:tcPr>
            <w:tcW w:w="568" w:type="dxa"/>
            <w:tcBorders>
              <w:top w:val="single" w:sz="4" w:space="0" w:color="auto"/>
              <w:left w:val="single" w:sz="4" w:space="0" w:color="auto"/>
              <w:bottom w:val="single" w:sz="4" w:space="0" w:color="auto"/>
              <w:right w:val="single" w:sz="4" w:space="0" w:color="auto"/>
            </w:tcBorders>
          </w:tcPr>
          <w:p w14:paraId="0DC9F3AF"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1796437D"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Дагестан</w:t>
            </w:r>
          </w:p>
        </w:tc>
        <w:tc>
          <w:tcPr>
            <w:tcW w:w="1134" w:type="dxa"/>
            <w:tcBorders>
              <w:top w:val="nil"/>
              <w:left w:val="single" w:sz="4" w:space="0" w:color="auto"/>
              <w:bottom w:val="single" w:sz="4" w:space="0" w:color="auto"/>
              <w:right w:val="single" w:sz="4" w:space="0" w:color="auto"/>
            </w:tcBorders>
            <w:shd w:val="clear" w:color="auto" w:fill="auto"/>
            <w:vAlign w:val="center"/>
          </w:tcPr>
          <w:p w14:paraId="7AA7CDC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128D399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vAlign w:val="center"/>
          </w:tcPr>
          <w:p w14:paraId="4EE5F1B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3,1</w:t>
            </w:r>
          </w:p>
        </w:tc>
        <w:tc>
          <w:tcPr>
            <w:tcW w:w="1134" w:type="dxa"/>
            <w:tcBorders>
              <w:top w:val="nil"/>
              <w:left w:val="nil"/>
              <w:bottom w:val="single" w:sz="4" w:space="0" w:color="auto"/>
              <w:right w:val="single" w:sz="4" w:space="0" w:color="auto"/>
            </w:tcBorders>
            <w:shd w:val="clear" w:color="auto" w:fill="auto"/>
            <w:vAlign w:val="center"/>
          </w:tcPr>
          <w:p w14:paraId="66763631"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5,6 ↑</w:t>
            </w:r>
          </w:p>
        </w:tc>
        <w:tc>
          <w:tcPr>
            <w:tcW w:w="1134" w:type="dxa"/>
            <w:tcBorders>
              <w:top w:val="nil"/>
              <w:left w:val="single" w:sz="4" w:space="0" w:color="auto"/>
              <w:bottom w:val="single" w:sz="4" w:space="0" w:color="auto"/>
              <w:right w:val="single" w:sz="4" w:space="0" w:color="auto"/>
            </w:tcBorders>
            <w:shd w:val="clear" w:color="auto" w:fill="auto"/>
          </w:tcPr>
          <w:p w14:paraId="6009F1A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62,8</w:t>
            </w:r>
          </w:p>
        </w:tc>
        <w:tc>
          <w:tcPr>
            <w:tcW w:w="1134" w:type="dxa"/>
            <w:tcBorders>
              <w:top w:val="nil"/>
              <w:left w:val="nil"/>
              <w:bottom w:val="single" w:sz="4" w:space="0" w:color="auto"/>
              <w:right w:val="single" w:sz="4" w:space="0" w:color="auto"/>
            </w:tcBorders>
            <w:shd w:val="clear" w:color="auto" w:fill="auto"/>
          </w:tcPr>
          <w:p w14:paraId="78889D8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54,0 ↓</w:t>
            </w:r>
          </w:p>
        </w:tc>
        <w:tc>
          <w:tcPr>
            <w:tcW w:w="1701" w:type="dxa"/>
            <w:tcBorders>
              <w:top w:val="nil"/>
              <w:left w:val="nil"/>
              <w:bottom w:val="single" w:sz="4" w:space="0" w:color="auto"/>
              <w:right w:val="single" w:sz="4" w:space="0" w:color="auto"/>
            </w:tcBorders>
            <w:shd w:val="clear" w:color="auto" w:fill="FFC000"/>
          </w:tcPr>
          <w:p w14:paraId="2C10730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5D4A43" w:rsidRPr="005D4A43" w14:paraId="2CF6AB2D" w14:textId="77777777" w:rsidTr="00126F5B">
        <w:tc>
          <w:tcPr>
            <w:tcW w:w="568" w:type="dxa"/>
            <w:tcBorders>
              <w:top w:val="single" w:sz="4" w:space="0" w:color="auto"/>
              <w:left w:val="single" w:sz="4" w:space="0" w:color="auto"/>
              <w:bottom w:val="single" w:sz="4" w:space="0" w:color="auto"/>
              <w:right w:val="single" w:sz="4" w:space="0" w:color="auto"/>
            </w:tcBorders>
          </w:tcPr>
          <w:p w14:paraId="62A2A0FB"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1406B140" w14:textId="77777777" w:rsidR="005D4A43" w:rsidRPr="005D4A43" w:rsidRDefault="005D4A43" w:rsidP="005D4A43">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Пермский край</w:t>
            </w:r>
          </w:p>
        </w:tc>
        <w:tc>
          <w:tcPr>
            <w:tcW w:w="1134" w:type="dxa"/>
            <w:tcBorders>
              <w:top w:val="nil"/>
              <w:left w:val="single" w:sz="4" w:space="0" w:color="auto"/>
              <w:bottom w:val="nil"/>
              <w:right w:val="single" w:sz="4" w:space="0" w:color="auto"/>
            </w:tcBorders>
            <w:shd w:val="clear" w:color="auto" w:fill="auto"/>
            <w:vAlign w:val="center"/>
          </w:tcPr>
          <w:p w14:paraId="5FCAA59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w:t>
            </w:r>
          </w:p>
        </w:tc>
        <w:tc>
          <w:tcPr>
            <w:tcW w:w="992" w:type="dxa"/>
            <w:tcBorders>
              <w:top w:val="nil"/>
              <w:left w:val="nil"/>
              <w:bottom w:val="nil"/>
              <w:right w:val="single" w:sz="4" w:space="0" w:color="auto"/>
            </w:tcBorders>
            <w:shd w:val="clear" w:color="auto" w:fill="auto"/>
            <w:vAlign w:val="center"/>
          </w:tcPr>
          <w:p w14:paraId="7C3F545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249285B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nil"/>
              <w:right w:val="single" w:sz="4" w:space="0" w:color="auto"/>
            </w:tcBorders>
            <w:shd w:val="clear" w:color="auto" w:fill="auto"/>
            <w:vAlign w:val="center"/>
          </w:tcPr>
          <w:p w14:paraId="241F77E6"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5 ↓</w:t>
            </w:r>
          </w:p>
        </w:tc>
        <w:tc>
          <w:tcPr>
            <w:tcW w:w="1134" w:type="dxa"/>
            <w:tcBorders>
              <w:top w:val="nil"/>
              <w:left w:val="single" w:sz="4" w:space="0" w:color="auto"/>
              <w:bottom w:val="nil"/>
              <w:right w:val="single" w:sz="4" w:space="0" w:color="auto"/>
            </w:tcBorders>
            <w:shd w:val="clear" w:color="auto" w:fill="auto"/>
          </w:tcPr>
          <w:p w14:paraId="6647668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nil"/>
              <w:right w:val="single" w:sz="4" w:space="0" w:color="auto"/>
            </w:tcBorders>
            <w:shd w:val="clear" w:color="auto" w:fill="auto"/>
          </w:tcPr>
          <w:p w14:paraId="5C3631A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55 ↑</w:t>
            </w:r>
          </w:p>
        </w:tc>
        <w:tc>
          <w:tcPr>
            <w:tcW w:w="1701" w:type="dxa"/>
            <w:tcBorders>
              <w:top w:val="nil"/>
              <w:left w:val="nil"/>
              <w:bottom w:val="single" w:sz="4" w:space="0" w:color="auto"/>
              <w:right w:val="single" w:sz="4" w:space="0" w:color="auto"/>
            </w:tcBorders>
            <w:shd w:val="clear" w:color="auto" w:fill="auto"/>
          </w:tcPr>
          <w:p w14:paraId="261C7664"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5D4A43" w:rsidRPr="005D4A43" w14:paraId="19B48BA5" w14:textId="77777777" w:rsidTr="00126F5B">
        <w:tc>
          <w:tcPr>
            <w:tcW w:w="568" w:type="dxa"/>
            <w:tcBorders>
              <w:top w:val="single" w:sz="4" w:space="0" w:color="auto"/>
              <w:left w:val="single" w:sz="4" w:space="0" w:color="auto"/>
              <w:bottom w:val="single" w:sz="4" w:space="0" w:color="auto"/>
              <w:right w:val="single" w:sz="4" w:space="0" w:color="auto"/>
            </w:tcBorders>
          </w:tcPr>
          <w:p w14:paraId="0E11B6D1"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589F1EC1" w14:textId="77777777" w:rsidR="005D4A43" w:rsidRPr="005D4A43" w:rsidRDefault="005D4A43" w:rsidP="005D4A43">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Хабаровский край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6BC01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1FB5BE8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1A5AF81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2EED5DC8" w14:textId="77777777" w:rsidR="005D4A43" w:rsidRPr="005D4A43" w:rsidRDefault="005D4A43" w:rsidP="005D4A43">
            <w:pPr>
              <w:jc w:val="center"/>
              <w:rPr>
                <w:rFonts w:cs="Times New Roman"/>
                <w:b/>
                <w:color w:val="000000"/>
                <w:sz w:val="24"/>
                <w:szCs w:val="24"/>
                <w:lang w:val="en-US"/>
              </w:rPr>
            </w:pPr>
            <w:r w:rsidRPr="005D4A43">
              <w:rPr>
                <w:rFonts w:cs="Times New Roman"/>
                <w:b/>
                <w:color w:val="000000"/>
                <w:sz w:val="24"/>
                <w:szCs w:val="24"/>
              </w:rPr>
              <w:t>5</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33950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80</w:t>
            </w:r>
          </w:p>
        </w:tc>
        <w:tc>
          <w:tcPr>
            <w:tcW w:w="1134" w:type="dxa"/>
            <w:tcBorders>
              <w:top w:val="single" w:sz="4" w:space="0" w:color="auto"/>
              <w:left w:val="nil"/>
              <w:bottom w:val="single" w:sz="4" w:space="0" w:color="auto"/>
              <w:right w:val="single" w:sz="4" w:space="0" w:color="auto"/>
            </w:tcBorders>
            <w:shd w:val="clear" w:color="auto" w:fill="auto"/>
          </w:tcPr>
          <w:p w14:paraId="4CE9F3E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98 ↑</w:t>
            </w:r>
          </w:p>
        </w:tc>
        <w:tc>
          <w:tcPr>
            <w:tcW w:w="1701" w:type="dxa"/>
            <w:tcBorders>
              <w:top w:val="nil"/>
              <w:left w:val="nil"/>
              <w:bottom w:val="single" w:sz="4" w:space="0" w:color="auto"/>
              <w:right w:val="single" w:sz="4" w:space="0" w:color="auto"/>
            </w:tcBorders>
            <w:shd w:val="clear" w:color="auto" w:fill="auto"/>
          </w:tcPr>
          <w:p w14:paraId="463FD3FE"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lang w:val="en-US"/>
              </w:rPr>
              <w:t>= ↑</w:t>
            </w:r>
          </w:p>
        </w:tc>
      </w:tr>
      <w:tr w:rsidR="005D4A43" w:rsidRPr="005D4A43" w14:paraId="14D17B2C"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E5E00A6"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374BB3A0"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6E36DA5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4964087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4,2</w:t>
            </w:r>
          </w:p>
        </w:tc>
        <w:tc>
          <w:tcPr>
            <w:tcW w:w="992" w:type="dxa"/>
            <w:tcBorders>
              <w:top w:val="nil"/>
              <w:left w:val="nil"/>
              <w:bottom w:val="single" w:sz="4" w:space="0" w:color="auto"/>
              <w:right w:val="single" w:sz="4" w:space="0" w:color="auto"/>
            </w:tcBorders>
            <w:shd w:val="clear" w:color="auto" w:fill="auto"/>
            <w:vAlign w:val="center"/>
          </w:tcPr>
          <w:p w14:paraId="1DA484D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4,2</w:t>
            </w:r>
          </w:p>
        </w:tc>
        <w:tc>
          <w:tcPr>
            <w:tcW w:w="1134" w:type="dxa"/>
            <w:tcBorders>
              <w:top w:val="nil"/>
              <w:left w:val="nil"/>
              <w:bottom w:val="single" w:sz="4" w:space="0" w:color="auto"/>
              <w:right w:val="single" w:sz="4" w:space="0" w:color="auto"/>
            </w:tcBorders>
            <w:shd w:val="clear" w:color="auto" w:fill="auto"/>
            <w:vAlign w:val="center"/>
          </w:tcPr>
          <w:p w14:paraId="4B88B88B"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4,6 ↑</w:t>
            </w:r>
          </w:p>
        </w:tc>
        <w:tc>
          <w:tcPr>
            <w:tcW w:w="1134" w:type="dxa"/>
            <w:tcBorders>
              <w:top w:val="nil"/>
              <w:left w:val="single" w:sz="4" w:space="0" w:color="auto"/>
              <w:bottom w:val="single" w:sz="4" w:space="0" w:color="auto"/>
              <w:right w:val="single" w:sz="4" w:space="0" w:color="auto"/>
            </w:tcBorders>
            <w:shd w:val="clear" w:color="auto" w:fill="auto"/>
          </w:tcPr>
          <w:p w14:paraId="571C8C2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47,7</w:t>
            </w:r>
          </w:p>
        </w:tc>
        <w:tc>
          <w:tcPr>
            <w:tcW w:w="1134" w:type="dxa"/>
            <w:tcBorders>
              <w:top w:val="nil"/>
              <w:left w:val="nil"/>
              <w:bottom w:val="single" w:sz="4" w:space="0" w:color="auto"/>
              <w:right w:val="single" w:sz="4" w:space="0" w:color="auto"/>
            </w:tcBorders>
            <w:shd w:val="clear" w:color="auto" w:fill="auto"/>
          </w:tcPr>
          <w:p w14:paraId="7D3A98D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42,6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4C05C7D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5D4A43" w:rsidRPr="005D4A43" w14:paraId="4E3743B4" w14:textId="77777777" w:rsidTr="00126F5B">
        <w:tc>
          <w:tcPr>
            <w:tcW w:w="568" w:type="dxa"/>
            <w:tcBorders>
              <w:top w:val="single" w:sz="4" w:space="0" w:color="auto"/>
              <w:left w:val="single" w:sz="4" w:space="0" w:color="auto"/>
              <w:bottom w:val="single" w:sz="4" w:space="0" w:color="auto"/>
              <w:right w:val="single" w:sz="4" w:space="0" w:color="auto"/>
            </w:tcBorders>
          </w:tcPr>
          <w:p w14:paraId="436F1390"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174E4738" w14:textId="77777777" w:rsidR="005D4A43" w:rsidRPr="005D4A43" w:rsidRDefault="005D4A43" w:rsidP="005D4A43">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Кабардино-Балкарская Республика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310EE2E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232343D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1AEE17A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3B0E09E8"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4,1 ↑</w:t>
            </w:r>
          </w:p>
        </w:tc>
        <w:tc>
          <w:tcPr>
            <w:tcW w:w="1134" w:type="dxa"/>
            <w:tcBorders>
              <w:top w:val="nil"/>
              <w:left w:val="single" w:sz="4" w:space="0" w:color="auto"/>
              <w:bottom w:val="single" w:sz="4" w:space="0" w:color="auto"/>
              <w:right w:val="single" w:sz="4" w:space="0" w:color="auto"/>
            </w:tcBorders>
            <w:shd w:val="clear" w:color="auto" w:fill="auto"/>
          </w:tcPr>
          <w:p w14:paraId="249ED18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tcPr>
          <w:p w14:paraId="7BD86C5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82,5 ↑</w:t>
            </w:r>
          </w:p>
        </w:tc>
        <w:tc>
          <w:tcPr>
            <w:tcW w:w="1701" w:type="dxa"/>
            <w:tcBorders>
              <w:top w:val="single" w:sz="4" w:space="0" w:color="auto"/>
              <w:left w:val="nil"/>
              <w:bottom w:val="single" w:sz="4" w:space="0" w:color="auto"/>
              <w:right w:val="single" w:sz="4" w:space="0" w:color="auto"/>
            </w:tcBorders>
            <w:shd w:val="clear" w:color="auto" w:fill="auto"/>
          </w:tcPr>
          <w:p w14:paraId="38C08EE9"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5D4A43" w:rsidRPr="005D4A43" w14:paraId="3E7423EC"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92D4009"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17FE6579"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Кемеровская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1587A26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vAlign w:val="center"/>
          </w:tcPr>
          <w:p w14:paraId="0F6D51C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4,07</w:t>
            </w:r>
          </w:p>
        </w:tc>
        <w:tc>
          <w:tcPr>
            <w:tcW w:w="992" w:type="dxa"/>
            <w:tcBorders>
              <w:top w:val="nil"/>
              <w:left w:val="nil"/>
              <w:bottom w:val="single" w:sz="4" w:space="0" w:color="auto"/>
              <w:right w:val="single" w:sz="4" w:space="0" w:color="auto"/>
            </w:tcBorders>
            <w:shd w:val="clear" w:color="auto" w:fill="auto"/>
            <w:vAlign w:val="center"/>
          </w:tcPr>
          <w:p w14:paraId="6FE6563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tcPr>
          <w:p w14:paraId="72876F66"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3,34 ↓</w:t>
            </w:r>
          </w:p>
        </w:tc>
        <w:tc>
          <w:tcPr>
            <w:tcW w:w="1134" w:type="dxa"/>
            <w:tcBorders>
              <w:top w:val="nil"/>
              <w:left w:val="single" w:sz="4" w:space="0" w:color="auto"/>
              <w:bottom w:val="single" w:sz="4" w:space="0" w:color="auto"/>
              <w:right w:val="single" w:sz="4" w:space="0" w:color="auto"/>
            </w:tcBorders>
            <w:shd w:val="clear" w:color="auto" w:fill="auto"/>
          </w:tcPr>
          <w:p w14:paraId="50C9850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48,7</w:t>
            </w:r>
          </w:p>
        </w:tc>
        <w:tc>
          <w:tcPr>
            <w:tcW w:w="1134" w:type="dxa"/>
            <w:tcBorders>
              <w:top w:val="nil"/>
              <w:left w:val="nil"/>
              <w:bottom w:val="single" w:sz="4" w:space="0" w:color="auto"/>
              <w:right w:val="single" w:sz="4" w:space="0" w:color="auto"/>
            </w:tcBorders>
            <w:shd w:val="clear" w:color="auto" w:fill="auto"/>
          </w:tcPr>
          <w:p w14:paraId="5E0149D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49,4 ↑</w:t>
            </w:r>
          </w:p>
        </w:tc>
        <w:tc>
          <w:tcPr>
            <w:tcW w:w="1701" w:type="dxa"/>
            <w:tcBorders>
              <w:top w:val="single" w:sz="4" w:space="0" w:color="auto"/>
              <w:left w:val="nil"/>
              <w:bottom w:val="single" w:sz="4" w:space="0" w:color="auto"/>
              <w:right w:val="single" w:sz="4" w:space="0" w:color="auto"/>
            </w:tcBorders>
            <w:shd w:val="clear" w:color="auto" w:fill="auto"/>
          </w:tcPr>
          <w:p w14:paraId="72799C75"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5D4A43" w:rsidRPr="005D4A43" w14:paraId="57AD8A7D" w14:textId="77777777" w:rsidTr="00126F5B">
        <w:tc>
          <w:tcPr>
            <w:tcW w:w="568" w:type="dxa"/>
            <w:tcBorders>
              <w:top w:val="single" w:sz="4" w:space="0" w:color="auto"/>
              <w:left w:val="single" w:sz="4" w:space="0" w:color="auto"/>
              <w:bottom w:val="single" w:sz="4" w:space="0" w:color="auto"/>
              <w:right w:val="single" w:sz="4" w:space="0" w:color="auto"/>
            </w:tcBorders>
          </w:tcPr>
          <w:p w14:paraId="0892F279"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086CC85A"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Забайкальский край</w:t>
            </w:r>
          </w:p>
        </w:tc>
        <w:tc>
          <w:tcPr>
            <w:tcW w:w="1134" w:type="dxa"/>
            <w:tcBorders>
              <w:top w:val="nil"/>
              <w:left w:val="single" w:sz="4" w:space="0" w:color="auto"/>
              <w:bottom w:val="single" w:sz="4" w:space="0" w:color="auto"/>
              <w:right w:val="single" w:sz="4" w:space="0" w:color="auto"/>
            </w:tcBorders>
            <w:shd w:val="clear" w:color="auto" w:fill="auto"/>
            <w:vAlign w:val="center"/>
          </w:tcPr>
          <w:p w14:paraId="504EE79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7E18070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7AD1F8E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vAlign w:val="center"/>
          </w:tcPr>
          <w:p w14:paraId="64465E4D"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3,2 ↑</w:t>
            </w:r>
          </w:p>
        </w:tc>
        <w:tc>
          <w:tcPr>
            <w:tcW w:w="1134" w:type="dxa"/>
            <w:tcBorders>
              <w:top w:val="nil"/>
              <w:left w:val="single" w:sz="4" w:space="0" w:color="auto"/>
              <w:bottom w:val="single" w:sz="4" w:space="0" w:color="auto"/>
              <w:right w:val="single" w:sz="4" w:space="0" w:color="auto"/>
            </w:tcBorders>
            <w:shd w:val="clear" w:color="auto" w:fill="auto"/>
          </w:tcPr>
          <w:p w14:paraId="7A9CAC9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tcPr>
          <w:p w14:paraId="6795863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tcPr>
          <w:p w14:paraId="6E4B3E9A"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5D4A43" w:rsidRPr="005D4A43" w14:paraId="1385852B" w14:textId="77777777" w:rsidTr="00126F5B">
        <w:tc>
          <w:tcPr>
            <w:tcW w:w="568" w:type="dxa"/>
            <w:tcBorders>
              <w:top w:val="single" w:sz="4" w:space="0" w:color="auto"/>
              <w:left w:val="single" w:sz="4" w:space="0" w:color="auto"/>
              <w:bottom w:val="single" w:sz="4" w:space="0" w:color="auto"/>
              <w:right w:val="single" w:sz="4" w:space="0" w:color="auto"/>
            </w:tcBorders>
          </w:tcPr>
          <w:p w14:paraId="37A6B0A8"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10D3EF4E"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2D9047B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131D3E0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63E0A17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2,8</w:t>
            </w:r>
          </w:p>
        </w:tc>
        <w:tc>
          <w:tcPr>
            <w:tcW w:w="1134" w:type="dxa"/>
            <w:tcBorders>
              <w:top w:val="nil"/>
              <w:left w:val="nil"/>
              <w:bottom w:val="single" w:sz="4" w:space="0" w:color="auto"/>
              <w:right w:val="single" w:sz="4" w:space="0" w:color="auto"/>
            </w:tcBorders>
            <w:shd w:val="clear" w:color="auto" w:fill="auto"/>
            <w:vAlign w:val="center"/>
          </w:tcPr>
          <w:p w14:paraId="3B9F9B7D"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751CDFE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58,6</w:t>
            </w:r>
          </w:p>
        </w:tc>
        <w:tc>
          <w:tcPr>
            <w:tcW w:w="1134" w:type="dxa"/>
            <w:tcBorders>
              <w:top w:val="nil"/>
              <w:left w:val="nil"/>
              <w:bottom w:val="single" w:sz="4" w:space="0" w:color="auto"/>
              <w:right w:val="single" w:sz="4" w:space="0" w:color="auto"/>
            </w:tcBorders>
            <w:shd w:val="clear" w:color="auto" w:fill="auto"/>
          </w:tcPr>
          <w:p w14:paraId="6FC6846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60,7 ↑</w:t>
            </w:r>
          </w:p>
        </w:tc>
        <w:tc>
          <w:tcPr>
            <w:tcW w:w="1701" w:type="dxa"/>
            <w:tcBorders>
              <w:top w:val="single" w:sz="4" w:space="0" w:color="auto"/>
              <w:left w:val="nil"/>
              <w:bottom w:val="single" w:sz="4" w:space="0" w:color="auto"/>
              <w:right w:val="single" w:sz="4" w:space="0" w:color="auto"/>
            </w:tcBorders>
            <w:shd w:val="clear" w:color="auto" w:fill="auto"/>
          </w:tcPr>
          <w:p w14:paraId="2DD30578"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5D4A43" w:rsidRPr="005D4A43" w14:paraId="69499822"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4527B6C"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6B558592"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Тыва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4AF219B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single" w:sz="4" w:space="0" w:color="auto"/>
              <w:right w:val="single" w:sz="4" w:space="0" w:color="auto"/>
            </w:tcBorders>
            <w:shd w:val="clear" w:color="auto" w:fill="auto"/>
            <w:vAlign w:val="center"/>
          </w:tcPr>
          <w:p w14:paraId="44D2507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0,4</w:t>
            </w:r>
          </w:p>
        </w:tc>
        <w:tc>
          <w:tcPr>
            <w:tcW w:w="992" w:type="dxa"/>
            <w:tcBorders>
              <w:top w:val="nil"/>
              <w:left w:val="nil"/>
              <w:bottom w:val="single" w:sz="4" w:space="0" w:color="auto"/>
              <w:right w:val="single" w:sz="4" w:space="0" w:color="auto"/>
            </w:tcBorders>
            <w:shd w:val="clear" w:color="auto" w:fill="auto"/>
            <w:vAlign w:val="center"/>
          </w:tcPr>
          <w:p w14:paraId="5366834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3,7</w:t>
            </w:r>
          </w:p>
        </w:tc>
        <w:tc>
          <w:tcPr>
            <w:tcW w:w="1134" w:type="dxa"/>
            <w:tcBorders>
              <w:top w:val="nil"/>
              <w:left w:val="nil"/>
              <w:bottom w:val="single" w:sz="4" w:space="0" w:color="auto"/>
              <w:right w:val="single" w:sz="4" w:space="0" w:color="auto"/>
            </w:tcBorders>
            <w:shd w:val="clear" w:color="auto" w:fill="auto"/>
            <w:vAlign w:val="center"/>
          </w:tcPr>
          <w:p w14:paraId="1EC83482"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01932BA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tcPr>
          <w:p w14:paraId="05FE8A0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 ↑</w:t>
            </w:r>
          </w:p>
        </w:tc>
        <w:tc>
          <w:tcPr>
            <w:tcW w:w="1701" w:type="dxa"/>
            <w:tcBorders>
              <w:top w:val="single" w:sz="4" w:space="0" w:color="auto"/>
              <w:left w:val="nil"/>
              <w:bottom w:val="single" w:sz="4" w:space="0" w:color="auto"/>
              <w:right w:val="single" w:sz="4" w:space="0" w:color="auto"/>
            </w:tcBorders>
            <w:shd w:val="clear" w:color="auto" w:fill="auto"/>
          </w:tcPr>
          <w:p w14:paraId="1100DDCC"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5D4A43" w:rsidRPr="005D4A43" w14:paraId="7BCC94AD"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75E33B0" w14:textId="77777777" w:rsidR="005D4A43" w:rsidRPr="005D4A43" w:rsidRDefault="005D4A43" w:rsidP="00F6030C">
            <w:pPr>
              <w:numPr>
                <w:ilvl w:val="0"/>
                <w:numId w:val="54"/>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03F1C31A"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6CD67FF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7BF7A6B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66C42DC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tcPr>
          <w:p w14:paraId="0F1CD6AE"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3,01 ↑</w:t>
            </w:r>
          </w:p>
        </w:tc>
        <w:tc>
          <w:tcPr>
            <w:tcW w:w="1134" w:type="dxa"/>
            <w:tcBorders>
              <w:top w:val="nil"/>
              <w:left w:val="single" w:sz="4" w:space="0" w:color="auto"/>
              <w:bottom w:val="single" w:sz="4" w:space="0" w:color="auto"/>
              <w:right w:val="single" w:sz="4" w:space="0" w:color="auto"/>
            </w:tcBorders>
            <w:shd w:val="clear" w:color="auto" w:fill="auto"/>
          </w:tcPr>
          <w:p w14:paraId="60648B3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37,4</w:t>
            </w:r>
          </w:p>
        </w:tc>
        <w:tc>
          <w:tcPr>
            <w:tcW w:w="1134" w:type="dxa"/>
            <w:tcBorders>
              <w:top w:val="nil"/>
              <w:left w:val="nil"/>
              <w:bottom w:val="single" w:sz="4" w:space="0" w:color="auto"/>
              <w:right w:val="single" w:sz="4" w:space="0" w:color="auto"/>
            </w:tcBorders>
            <w:shd w:val="clear" w:color="auto" w:fill="auto"/>
          </w:tcPr>
          <w:p w14:paraId="0C3D3A5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37,6 ↑</w:t>
            </w:r>
          </w:p>
        </w:tc>
        <w:tc>
          <w:tcPr>
            <w:tcW w:w="1701" w:type="dxa"/>
            <w:tcBorders>
              <w:top w:val="single" w:sz="4" w:space="0" w:color="auto"/>
              <w:left w:val="nil"/>
              <w:bottom w:val="single" w:sz="4" w:space="0" w:color="auto"/>
              <w:right w:val="single" w:sz="4" w:space="0" w:color="auto"/>
            </w:tcBorders>
            <w:shd w:val="clear" w:color="auto" w:fill="auto"/>
          </w:tcPr>
          <w:p w14:paraId="23F4A78D"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bl>
    <w:p w14:paraId="7270A37C" w14:textId="77777777" w:rsidR="005D4A43" w:rsidRPr="005D4A43" w:rsidRDefault="005D4A43" w:rsidP="005D4A43">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b/>
          <w:sz w:val="28"/>
          <w:szCs w:val="28"/>
        </w:rPr>
        <w:t xml:space="preserve">На рынке услуг дошкольного образования </w:t>
      </w:r>
      <w:r w:rsidRPr="00812BD8">
        <w:rPr>
          <w:rFonts w:ascii="Times New Roman" w:hAnsi="Times New Roman" w:cs="Times New Roman"/>
          <w:sz w:val="28"/>
          <w:szCs w:val="28"/>
        </w:rPr>
        <w:t xml:space="preserve">в </w:t>
      </w:r>
      <w:r w:rsidRPr="00812BD8">
        <w:rPr>
          <w:rFonts w:ascii="Times New Roman" w:hAnsi="Times New Roman" w:cs="Times New Roman"/>
          <w:b/>
          <w:color w:val="000000"/>
          <w:sz w:val="28"/>
          <w:szCs w:val="28"/>
        </w:rPr>
        <w:t>Республике Саха (Якутия), Республике Бурятия,</w:t>
      </w:r>
      <w:r w:rsidRPr="00812BD8">
        <w:rPr>
          <w:rFonts w:ascii="Times New Roman" w:hAnsi="Times New Roman" w:cs="Times New Roman"/>
          <w:color w:val="000000"/>
          <w:sz w:val="28"/>
          <w:szCs w:val="28"/>
        </w:rPr>
        <w:t xml:space="preserve"> </w:t>
      </w:r>
      <w:r w:rsidRPr="00812BD8">
        <w:rPr>
          <w:rFonts w:ascii="Times New Roman" w:hAnsi="Times New Roman" w:cs="Times New Roman"/>
          <w:b/>
          <w:sz w:val="28"/>
          <w:szCs w:val="28"/>
        </w:rPr>
        <w:t>Республике Дагестан, Самарской, Сахалинской, Томской и Курской областях</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 xml:space="preserve">наблюдается снижение процента удовлетворенности потребителей по результатам мониторинга 2017 и 2018 годов. При этом в указанных субъектах Российской Федерации растут фактические значения присутствия организаций частной формы собственности на рынке. </w:t>
      </w:r>
    </w:p>
    <w:p w14:paraId="663CC8F3" w14:textId="22B370F5"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Таким образом</w:t>
      </w:r>
      <w:r w:rsidR="00812BD8">
        <w:rPr>
          <w:rFonts w:ascii="Times New Roman" w:hAnsi="Times New Roman" w:cs="Times New Roman"/>
          <w:sz w:val="28"/>
          <w:szCs w:val="28"/>
        </w:rPr>
        <w:t>,</w:t>
      </w:r>
      <w:r w:rsidRPr="005D4A43">
        <w:rPr>
          <w:rFonts w:ascii="Times New Roman" w:hAnsi="Times New Roman" w:cs="Times New Roman"/>
          <w:sz w:val="28"/>
          <w:szCs w:val="28"/>
        </w:rPr>
        <w:t xml:space="preserve"> увеличение присутствия организаций частной формы собственности на рынке услуг дошкольного образования для регионов с уже достаточно высокой долей организаций частной формы собственности (</w:t>
      </w:r>
      <w:r w:rsidRPr="00812BD8">
        <w:rPr>
          <w:rFonts w:ascii="Times New Roman" w:hAnsi="Times New Roman" w:cs="Times New Roman"/>
          <w:sz w:val="28"/>
          <w:szCs w:val="28"/>
        </w:rPr>
        <w:t xml:space="preserve">от 5,6 % Республика Дагестан до </w:t>
      </w:r>
      <w:r w:rsidRPr="00812BD8">
        <w:rPr>
          <w:rFonts w:ascii="Times New Roman" w:hAnsi="Times New Roman" w:cs="Times New Roman"/>
          <w:color w:val="000000"/>
          <w:sz w:val="28"/>
          <w:szCs w:val="28"/>
        </w:rPr>
        <w:t>12,94</w:t>
      </w:r>
      <w:r w:rsidRPr="00812BD8">
        <w:rPr>
          <w:rFonts w:ascii="Times New Roman" w:hAnsi="Times New Roman" w:cs="Times New Roman"/>
          <w:color w:val="000000"/>
        </w:rPr>
        <w:t xml:space="preserve"> </w:t>
      </w:r>
      <w:r w:rsidRPr="00812BD8">
        <w:rPr>
          <w:rFonts w:ascii="Times New Roman" w:hAnsi="Times New Roman" w:cs="Times New Roman"/>
          <w:sz w:val="28"/>
          <w:szCs w:val="28"/>
        </w:rPr>
        <w:t>% Самарская область)</w:t>
      </w:r>
      <w:r w:rsidRPr="005D4A43">
        <w:rPr>
          <w:rFonts w:ascii="Times New Roman" w:hAnsi="Times New Roman" w:cs="Times New Roman"/>
          <w:sz w:val="28"/>
          <w:szCs w:val="28"/>
        </w:rPr>
        <w:t xml:space="preserve"> не повлекло за собой увеличение удовлетворенности потребителей на рынке.</w:t>
      </w:r>
    </w:p>
    <w:p w14:paraId="44F60AB0"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b/>
          <w:color w:val="000000"/>
          <w:sz w:val="28"/>
          <w:szCs w:val="28"/>
        </w:rPr>
        <w:t>Пермский край,</w:t>
      </w:r>
      <w:r w:rsidRPr="00812BD8">
        <w:rPr>
          <w:rFonts w:ascii="Times New Roman" w:hAnsi="Times New Roman" w:cs="Times New Roman"/>
          <w:b/>
          <w:sz w:val="28"/>
          <w:szCs w:val="28"/>
        </w:rPr>
        <w:t xml:space="preserve"> </w:t>
      </w:r>
      <w:r w:rsidRPr="00812BD8">
        <w:rPr>
          <w:rFonts w:ascii="Times New Roman" w:hAnsi="Times New Roman" w:cs="Times New Roman"/>
          <w:b/>
          <w:color w:val="000000"/>
          <w:sz w:val="28"/>
          <w:szCs w:val="28"/>
        </w:rPr>
        <w:t>Хабаровский край,</w:t>
      </w:r>
      <w:r w:rsidRPr="00812BD8">
        <w:rPr>
          <w:rFonts w:ascii="Times New Roman" w:hAnsi="Times New Roman" w:cs="Times New Roman"/>
          <w:b/>
          <w:sz w:val="28"/>
          <w:szCs w:val="28"/>
        </w:rPr>
        <w:t xml:space="preserve"> </w:t>
      </w:r>
      <w:r w:rsidRPr="00812BD8">
        <w:rPr>
          <w:rFonts w:ascii="Times New Roman" w:hAnsi="Times New Roman" w:cs="Times New Roman"/>
          <w:b/>
          <w:color w:val="000000"/>
          <w:sz w:val="28"/>
          <w:szCs w:val="28"/>
        </w:rPr>
        <w:t>Кабардино-Балкарская Республика</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2E04D7CF"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целевые показатели по рынку за 2018 год;</w:t>
      </w:r>
    </w:p>
    <w:p w14:paraId="0AD7D9D3"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15CC1AEB"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6 регионах процент удовлетворенности потребителей на рынке менее 50 %. </w:t>
      </w:r>
    </w:p>
    <w:p w14:paraId="523163BD"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85 субъектов Российской Федерации в 29 регионах удовлетворенность потребителей на рынке менее 50 %. </w:t>
      </w:r>
    </w:p>
    <w:p w14:paraId="4BCC369B"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10 регионами. </w:t>
      </w:r>
    </w:p>
    <w:p w14:paraId="7457B631" w14:textId="77777777" w:rsidR="005D4A43" w:rsidRPr="005D4A43" w:rsidRDefault="005D4A43" w:rsidP="005D4A43">
      <w:pPr>
        <w:spacing w:after="0" w:line="240" w:lineRule="auto"/>
        <w:ind w:firstLine="709"/>
        <w:rPr>
          <w:rFonts w:ascii="Times New Roman" w:hAnsi="Times New Roman" w:cs="Times New Roman"/>
          <w:b/>
          <w:sz w:val="28"/>
          <w:szCs w:val="28"/>
        </w:rPr>
      </w:pPr>
    </w:p>
    <w:p w14:paraId="63F5667E" w14:textId="77777777" w:rsidR="005D4A43" w:rsidRPr="00812BD8" w:rsidRDefault="005D4A43" w:rsidP="005D4A43">
      <w:pPr>
        <w:spacing w:after="0" w:line="240" w:lineRule="auto"/>
        <w:ind w:firstLine="709"/>
        <w:rPr>
          <w:rFonts w:ascii="Times New Roman" w:hAnsi="Times New Roman" w:cs="Times New Roman"/>
          <w:b/>
          <w:sz w:val="28"/>
          <w:szCs w:val="28"/>
        </w:rPr>
      </w:pPr>
      <w:r w:rsidRPr="00812BD8">
        <w:rPr>
          <w:rFonts w:ascii="Times New Roman" w:hAnsi="Times New Roman" w:cs="Times New Roman"/>
          <w:b/>
          <w:sz w:val="28"/>
          <w:szCs w:val="28"/>
        </w:rPr>
        <w:t>2. Рынок услуг детского отдыха и оздоровления</w:t>
      </w:r>
    </w:p>
    <w:p w14:paraId="5869D0CE" w14:textId="77777777" w:rsidR="005D4A43" w:rsidRPr="005D4A43" w:rsidRDefault="005D4A43" w:rsidP="005D4A43">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численность детей в возрасте от 7 до 17 лет, проживающих на территории субъекта Российской Федерации,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(стационарный загородный лагерь (приоритет), лагерь с дневным пребыванием, палаточный лагерь, стационарно-оздоровительный лагерь труда и отдыха) (процентов)</w:t>
      </w:r>
    </w:p>
    <w:p w14:paraId="6E7C514A" w14:textId="77777777" w:rsidR="005D4A43" w:rsidRPr="005D4A43" w:rsidRDefault="005D4A43" w:rsidP="005D4A43">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709"/>
        <w:gridCol w:w="2127"/>
        <w:gridCol w:w="992"/>
        <w:gridCol w:w="851"/>
        <w:gridCol w:w="992"/>
        <w:gridCol w:w="992"/>
        <w:gridCol w:w="1134"/>
        <w:gridCol w:w="1134"/>
        <w:gridCol w:w="1843"/>
      </w:tblGrid>
      <w:tr w:rsidR="005D4A43" w:rsidRPr="005D4A43" w14:paraId="5FD6DA45" w14:textId="77777777" w:rsidTr="00126F5B">
        <w:trPr>
          <w:trHeight w:val="1159"/>
          <w:tblHeader/>
        </w:trPr>
        <w:tc>
          <w:tcPr>
            <w:tcW w:w="709" w:type="dxa"/>
            <w:vMerge w:val="restart"/>
            <w:shd w:val="clear" w:color="auto" w:fill="DEEAF6" w:themeFill="accent1" w:themeFillTint="33"/>
            <w:vAlign w:val="center"/>
          </w:tcPr>
          <w:p w14:paraId="324777A6"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127" w:type="dxa"/>
            <w:vMerge w:val="restart"/>
            <w:shd w:val="clear" w:color="auto" w:fill="DEEAF6" w:themeFill="accent1" w:themeFillTint="33"/>
            <w:vAlign w:val="center"/>
          </w:tcPr>
          <w:p w14:paraId="7AC5E734"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tcBorders>
              <w:bottom w:val="single" w:sz="4" w:space="0" w:color="auto"/>
            </w:tcBorders>
            <w:shd w:val="clear" w:color="auto" w:fill="DEEAF6" w:themeFill="accent1" w:themeFillTint="33"/>
            <w:vAlign w:val="center"/>
          </w:tcPr>
          <w:p w14:paraId="1543B62C" w14:textId="77777777" w:rsidR="005D4A43" w:rsidRPr="005D4A43" w:rsidRDefault="005D4A43" w:rsidP="005D4A43">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61B06842"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479CA79C"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5D4A43" w:rsidRPr="005D4A43" w14:paraId="211A8E51" w14:textId="77777777" w:rsidTr="00126F5B">
        <w:trPr>
          <w:trHeight w:val="177"/>
          <w:tblHeader/>
        </w:trPr>
        <w:tc>
          <w:tcPr>
            <w:tcW w:w="709" w:type="dxa"/>
            <w:vMerge/>
            <w:shd w:val="clear" w:color="auto" w:fill="DEEAF6" w:themeFill="accent1" w:themeFillTint="33"/>
            <w:vAlign w:val="center"/>
          </w:tcPr>
          <w:p w14:paraId="508077A9" w14:textId="77777777" w:rsidR="005D4A43" w:rsidRPr="005D4A43" w:rsidRDefault="005D4A43" w:rsidP="005D4A43">
            <w:pPr>
              <w:jc w:val="both"/>
              <w:rPr>
                <w:rFonts w:ascii="Times New Roman" w:hAnsi="Times New Roman" w:cs="Times New Roman"/>
                <w:b/>
                <w:sz w:val="24"/>
                <w:szCs w:val="24"/>
              </w:rPr>
            </w:pPr>
          </w:p>
        </w:tc>
        <w:tc>
          <w:tcPr>
            <w:tcW w:w="2127" w:type="dxa"/>
            <w:vMerge/>
            <w:shd w:val="clear" w:color="auto" w:fill="DEEAF6" w:themeFill="accent1" w:themeFillTint="33"/>
            <w:vAlign w:val="center"/>
          </w:tcPr>
          <w:p w14:paraId="6B7B6C21" w14:textId="77777777" w:rsidR="005D4A43" w:rsidRPr="005D4A43" w:rsidRDefault="005D4A43" w:rsidP="005D4A43">
            <w:pPr>
              <w:jc w:val="both"/>
              <w:rPr>
                <w:rFonts w:ascii="Times New Roman" w:hAnsi="Times New Roman" w:cs="Times New Roman"/>
                <w:b/>
                <w:sz w:val="24"/>
                <w:szCs w:val="24"/>
              </w:rPr>
            </w:pPr>
          </w:p>
        </w:tc>
        <w:tc>
          <w:tcPr>
            <w:tcW w:w="992" w:type="dxa"/>
            <w:shd w:val="clear" w:color="auto" w:fill="DEEAF6" w:themeFill="accent1" w:themeFillTint="33"/>
            <w:vAlign w:val="center"/>
          </w:tcPr>
          <w:p w14:paraId="78F010BE"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851" w:type="dxa"/>
            <w:shd w:val="clear" w:color="auto" w:fill="DEEAF6" w:themeFill="accent1" w:themeFillTint="33"/>
            <w:vAlign w:val="center"/>
          </w:tcPr>
          <w:p w14:paraId="2CBF3273"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3DFF2F22"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01BFFE87"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3D9425FC"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7781FD14"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0D6D283"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5C56DB4E" w14:textId="77777777" w:rsidR="005D4A43" w:rsidRPr="005D4A43" w:rsidRDefault="005D4A43" w:rsidP="00F6030C">
            <w:pPr>
              <w:numPr>
                <w:ilvl w:val="0"/>
                <w:numId w:val="55"/>
              </w:numPr>
              <w:contextualSpacing/>
              <w:jc w:val="center"/>
              <w:rPr>
                <w:rFonts w:ascii="Times New Roman" w:hAnsi="Times New Roman" w:cs="Times New Roman"/>
                <w:b/>
                <w:sz w:val="24"/>
                <w:szCs w:val="24"/>
              </w:rPr>
            </w:pPr>
            <w:r w:rsidRPr="005D4A43">
              <w:rPr>
                <w:rFonts w:ascii="Times New Roman" w:hAnsi="Times New Roman" w:cs="Times New Roman"/>
                <w:b/>
                <w:sz w:val="24"/>
                <w:szCs w:val="24"/>
              </w:rPr>
              <w:t>%</w:t>
            </w:r>
          </w:p>
        </w:tc>
        <w:tc>
          <w:tcPr>
            <w:tcW w:w="1843" w:type="dxa"/>
            <w:vMerge/>
            <w:shd w:val="clear" w:color="auto" w:fill="DEEAF6" w:themeFill="accent1" w:themeFillTint="33"/>
            <w:vAlign w:val="center"/>
          </w:tcPr>
          <w:p w14:paraId="0B2838E0" w14:textId="77777777" w:rsidR="005D4A43" w:rsidRPr="005D4A43" w:rsidRDefault="005D4A43" w:rsidP="005D4A43">
            <w:pPr>
              <w:jc w:val="both"/>
              <w:rPr>
                <w:rFonts w:ascii="Times New Roman" w:hAnsi="Times New Roman" w:cs="Times New Roman"/>
                <w:b/>
                <w:sz w:val="24"/>
                <w:szCs w:val="24"/>
              </w:rPr>
            </w:pPr>
          </w:p>
        </w:tc>
      </w:tr>
      <w:tr w:rsidR="005D4A43" w:rsidRPr="005D4A43" w14:paraId="5283EED7" w14:textId="77777777" w:rsidTr="00126F5B">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2D281F6"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 </w:t>
            </w: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30D06740"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Нижегородская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615D48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72</w:t>
            </w:r>
          </w:p>
        </w:tc>
        <w:tc>
          <w:tcPr>
            <w:tcW w:w="851" w:type="dxa"/>
            <w:tcBorders>
              <w:top w:val="nil"/>
              <w:left w:val="nil"/>
              <w:bottom w:val="single" w:sz="4" w:space="0" w:color="auto"/>
              <w:right w:val="single" w:sz="4" w:space="0" w:color="auto"/>
            </w:tcBorders>
            <w:shd w:val="clear" w:color="auto" w:fill="auto"/>
            <w:vAlign w:val="center"/>
          </w:tcPr>
          <w:p w14:paraId="4E86DD1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26DC8EF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7665DB91"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CA5463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24</w:t>
            </w:r>
          </w:p>
        </w:tc>
        <w:tc>
          <w:tcPr>
            <w:tcW w:w="1134" w:type="dxa"/>
            <w:tcBorders>
              <w:top w:val="nil"/>
              <w:left w:val="nil"/>
              <w:bottom w:val="single" w:sz="4" w:space="0" w:color="auto"/>
              <w:right w:val="single" w:sz="4" w:space="0" w:color="auto"/>
            </w:tcBorders>
            <w:shd w:val="clear" w:color="auto" w:fill="auto"/>
            <w:vAlign w:val="center"/>
          </w:tcPr>
          <w:p w14:paraId="2B8334E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34,5 ↑</w:t>
            </w:r>
          </w:p>
        </w:tc>
        <w:tc>
          <w:tcPr>
            <w:tcW w:w="1843" w:type="dxa"/>
            <w:tcBorders>
              <w:top w:val="single" w:sz="4" w:space="0" w:color="auto"/>
              <w:left w:val="nil"/>
              <w:bottom w:val="nil"/>
              <w:right w:val="single" w:sz="4" w:space="0" w:color="auto"/>
            </w:tcBorders>
            <w:shd w:val="clear" w:color="auto" w:fill="auto"/>
            <w:vAlign w:val="center"/>
          </w:tcPr>
          <w:p w14:paraId="639126A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74FA66C1" w14:textId="77777777" w:rsidTr="00126F5B">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A6E8DB7" w14:textId="77777777" w:rsidR="005D4A43" w:rsidRPr="005D4A43" w:rsidRDefault="005D4A43" w:rsidP="00F6030C">
            <w:pPr>
              <w:numPr>
                <w:ilvl w:val="0"/>
                <w:numId w:val="56"/>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6E3F76A0"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3B6CD7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74,7</w:t>
            </w:r>
          </w:p>
        </w:tc>
        <w:tc>
          <w:tcPr>
            <w:tcW w:w="851" w:type="dxa"/>
            <w:tcBorders>
              <w:top w:val="nil"/>
              <w:left w:val="nil"/>
              <w:bottom w:val="single" w:sz="4" w:space="0" w:color="auto"/>
              <w:right w:val="single" w:sz="4" w:space="0" w:color="auto"/>
            </w:tcBorders>
            <w:shd w:val="clear" w:color="auto" w:fill="auto"/>
            <w:vAlign w:val="center"/>
          </w:tcPr>
          <w:p w14:paraId="66F5131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77,4</w:t>
            </w:r>
          </w:p>
        </w:tc>
        <w:tc>
          <w:tcPr>
            <w:tcW w:w="992" w:type="dxa"/>
            <w:tcBorders>
              <w:top w:val="nil"/>
              <w:left w:val="nil"/>
              <w:bottom w:val="single" w:sz="4" w:space="0" w:color="auto"/>
              <w:right w:val="single" w:sz="4" w:space="0" w:color="auto"/>
            </w:tcBorders>
            <w:shd w:val="clear" w:color="auto" w:fill="auto"/>
            <w:vAlign w:val="center"/>
          </w:tcPr>
          <w:p w14:paraId="62EA306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74,7</w:t>
            </w:r>
          </w:p>
        </w:tc>
        <w:tc>
          <w:tcPr>
            <w:tcW w:w="992" w:type="dxa"/>
            <w:tcBorders>
              <w:top w:val="nil"/>
              <w:left w:val="nil"/>
              <w:bottom w:val="single" w:sz="4" w:space="0" w:color="auto"/>
              <w:right w:val="single" w:sz="4" w:space="0" w:color="auto"/>
            </w:tcBorders>
            <w:shd w:val="clear" w:color="auto" w:fill="auto"/>
            <w:vAlign w:val="center"/>
          </w:tcPr>
          <w:p w14:paraId="4D507B9F"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75,8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3A35B2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4CEDB41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38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562217D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43ED5B08" w14:textId="77777777" w:rsidTr="00126F5B">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544E26A" w14:textId="77777777" w:rsidR="005D4A43" w:rsidRPr="005D4A43" w:rsidRDefault="005D4A43" w:rsidP="00F6030C">
            <w:pPr>
              <w:numPr>
                <w:ilvl w:val="0"/>
                <w:numId w:val="56"/>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7EAED059"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Камчатский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137BF05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center"/>
          </w:tcPr>
          <w:p w14:paraId="14C076A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61,2</w:t>
            </w:r>
          </w:p>
        </w:tc>
        <w:tc>
          <w:tcPr>
            <w:tcW w:w="992" w:type="dxa"/>
            <w:tcBorders>
              <w:top w:val="nil"/>
              <w:left w:val="nil"/>
              <w:bottom w:val="single" w:sz="4" w:space="0" w:color="auto"/>
              <w:right w:val="single" w:sz="4" w:space="0" w:color="auto"/>
            </w:tcBorders>
            <w:shd w:val="clear" w:color="auto" w:fill="auto"/>
            <w:vAlign w:val="center"/>
          </w:tcPr>
          <w:p w14:paraId="3694A2D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tcPr>
          <w:p w14:paraId="7F38A29E" w14:textId="77777777" w:rsidR="005D4A43" w:rsidRPr="005D4A43" w:rsidRDefault="005D4A43" w:rsidP="005D4A43">
            <w:pPr>
              <w:jc w:val="center"/>
              <w:rPr>
                <w:rFonts w:cs="Times New Roman"/>
                <w:b/>
                <w:color w:val="000000"/>
                <w:sz w:val="24"/>
                <w:szCs w:val="24"/>
                <w:lang w:val="en-US"/>
              </w:rPr>
            </w:pPr>
            <w:r w:rsidRPr="005D4A43">
              <w:rPr>
                <w:rFonts w:cs="Times New Roman"/>
                <w:b/>
                <w:color w:val="000000"/>
                <w:sz w:val="24"/>
                <w:szCs w:val="24"/>
              </w:rPr>
              <w:t>65,4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AC3794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30,2</w:t>
            </w:r>
          </w:p>
        </w:tc>
        <w:tc>
          <w:tcPr>
            <w:tcW w:w="1134" w:type="dxa"/>
            <w:tcBorders>
              <w:top w:val="nil"/>
              <w:left w:val="nil"/>
              <w:bottom w:val="single" w:sz="4" w:space="0" w:color="auto"/>
              <w:right w:val="single" w:sz="4" w:space="0" w:color="auto"/>
            </w:tcBorders>
            <w:shd w:val="clear" w:color="auto" w:fill="auto"/>
            <w:vAlign w:val="center"/>
          </w:tcPr>
          <w:p w14:paraId="7810E95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27,2</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3BD3B5A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4DD0D5D4" w14:textId="77777777" w:rsidTr="00126F5B">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3CA09B1" w14:textId="77777777" w:rsidR="005D4A43" w:rsidRPr="005D4A43" w:rsidRDefault="005D4A43" w:rsidP="00F6030C">
            <w:pPr>
              <w:numPr>
                <w:ilvl w:val="0"/>
                <w:numId w:val="56"/>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78E27F39"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2437A93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06627D7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0B740EB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7E64EC60"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65,2</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0CD08A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50,85</w:t>
            </w:r>
          </w:p>
        </w:tc>
        <w:tc>
          <w:tcPr>
            <w:tcW w:w="1134" w:type="dxa"/>
            <w:tcBorders>
              <w:top w:val="nil"/>
              <w:left w:val="nil"/>
              <w:bottom w:val="single" w:sz="4" w:space="0" w:color="auto"/>
              <w:right w:val="single" w:sz="4" w:space="0" w:color="auto"/>
            </w:tcBorders>
            <w:shd w:val="clear" w:color="auto" w:fill="auto"/>
            <w:vAlign w:val="center"/>
          </w:tcPr>
          <w:p w14:paraId="54D29A9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40,9</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2E820A4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0A0E933C" w14:textId="77777777" w:rsidTr="00126F5B">
        <w:tc>
          <w:tcPr>
            <w:tcW w:w="709" w:type="dxa"/>
            <w:tcBorders>
              <w:top w:val="single" w:sz="4" w:space="0" w:color="auto"/>
              <w:left w:val="single" w:sz="4" w:space="0" w:color="auto"/>
              <w:bottom w:val="single" w:sz="4" w:space="0" w:color="auto"/>
              <w:right w:val="single" w:sz="4" w:space="0" w:color="auto"/>
            </w:tcBorders>
            <w:vAlign w:val="center"/>
          </w:tcPr>
          <w:p w14:paraId="5FA7FAE8" w14:textId="77777777" w:rsidR="005D4A43" w:rsidRPr="005D4A43" w:rsidRDefault="005D4A43" w:rsidP="00F6030C">
            <w:pPr>
              <w:numPr>
                <w:ilvl w:val="0"/>
                <w:numId w:val="56"/>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4A518EC4"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35DED20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58</w:t>
            </w:r>
          </w:p>
        </w:tc>
        <w:tc>
          <w:tcPr>
            <w:tcW w:w="851" w:type="dxa"/>
            <w:tcBorders>
              <w:top w:val="nil"/>
              <w:left w:val="nil"/>
              <w:bottom w:val="single" w:sz="4" w:space="0" w:color="auto"/>
              <w:right w:val="single" w:sz="4" w:space="0" w:color="auto"/>
            </w:tcBorders>
            <w:shd w:val="clear" w:color="auto" w:fill="auto"/>
            <w:vAlign w:val="center"/>
          </w:tcPr>
          <w:p w14:paraId="402CA57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62,4</w:t>
            </w:r>
          </w:p>
        </w:tc>
        <w:tc>
          <w:tcPr>
            <w:tcW w:w="992" w:type="dxa"/>
            <w:tcBorders>
              <w:top w:val="nil"/>
              <w:left w:val="nil"/>
              <w:bottom w:val="single" w:sz="4" w:space="0" w:color="auto"/>
              <w:right w:val="single" w:sz="4" w:space="0" w:color="auto"/>
            </w:tcBorders>
            <w:shd w:val="clear" w:color="auto" w:fill="auto"/>
            <w:vAlign w:val="center"/>
          </w:tcPr>
          <w:p w14:paraId="0BD5C72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234566ED"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61,8</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88A6A7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51,26</w:t>
            </w:r>
          </w:p>
        </w:tc>
        <w:tc>
          <w:tcPr>
            <w:tcW w:w="1134" w:type="dxa"/>
            <w:tcBorders>
              <w:top w:val="nil"/>
              <w:left w:val="nil"/>
              <w:bottom w:val="single" w:sz="4" w:space="0" w:color="auto"/>
              <w:right w:val="single" w:sz="4" w:space="0" w:color="auto"/>
            </w:tcBorders>
            <w:shd w:val="clear" w:color="auto" w:fill="auto"/>
            <w:vAlign w:val="center"/>
          </w:tcPr>
          <w:p w14:paraId="31222A7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57,26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auto"/>
            <w:vAlign w:val="center"/>
          </w:tcPr>
          <w:p w14:paraId="06C3368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35CE0714" w14:textId="77777777" w:rsidTr="00126F5B">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32A41" w14:textId="77777777" w:rsidR="005D4A43" w:rsidRPr="005D4A43" w:rsidRDefault="005D4A43" w:rsidP="00F6030C">
            <w:pPr>
              <w:numPr>
                <w:ilvl w:val="0"/>
                <w:numId w:val="56"/>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01E8E811"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nil"/>
              <w:left w:val="single" w:sz="4" w:space="0" w:color="auto"/>
              <w:bottom w:val="single" w:sz="4" w:space="0" w:color="auto"/>
              <w:right w:val="single" w:sz="4" w:space="0" w:color="auto"/>
            </w:tcBorders>
            <w:shd w:val="clear" w:color="auto" w:fill="auto"/>
            <w:vAlign w:val="center"/>
          </w:tcPr>
          <w:p w14:paraId="5F1B8FB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3F66556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59,2</w:t>
            </w:r>
          </w:p>
        </w:tc>
        <w:tc>
          <w:tcPr>
            <w:tcW w:w="992" w:type="dxa"/>
            <w:tcBorders>
              <w:top w:val="nil"/>
              <w:left w:val="nil"/>
              <w:bottom w:val="single" w:sz="4" w:space="0" w:color="auto"/>
              <w:right w:val="single" w:sz="4" w:space="0" w:color="auto"/>
            </w:tcBorders>
            <w:shd w:val="clear" w:color="auto" w:fill="auto"/>
            <w:vAlign w:val="center"/>
          </w:tcPr>
          <w:p w14:paraId="53E61D3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3DFAA80F"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40E175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84</w:t>
            </w:r>
          </w:p>
        </w:tc>
        <w:tc>
          <w:tcPr>
            <w:tcW w:w="1134" w:type="dxa"/>
            <w:tcBorders>
              <w:top w:val="nil"/>
              <w:left w:val="nil"/>
              <w:bottom w:val="single" w:sz="4" w:space="0" w:color="auto"/>
              <w:right w:val="single" w:sz="4" w:space="0" w:color="auto"/>
            </w:tcBorders>
            <w:shd w:val="clear" w:color="auto" w:fill="auto"/>
            <w:vAlign w:val="center"/>
          </w:tcPr>
          <w:p w14:paraId="3BA196C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41214E8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6AC68B59" w14:textId="77777777" w:rsidTr="00126F5B">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25E09" w14:textId="77777777" w:rsidR="005D4A43" w:rsidRPr="005D4A43" w:rsidRDefault="005D4A43" w:rsidP="00F6030C">
            <w:pPr>
              <w:numPr>
                <w:ilvl w:val="0"/>
                <w:numId w:val="56"/>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5C0E5BF4"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2DEA93E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1B39E7B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177AC0D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5B454A94" w14:textId="77777777" w:rsidR="005D4A43" w:rsidRPr="005D4A43" w:rsidRDefault="005D4A43" w:rsidP="005D4A43">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C4AF26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82</w:t>
            </w:r>
          </w:p>
        </w:tc>
        <w:tc>
          <w:tcPr>
            <w:tcW w:w="1134" w:type="dxa"/>
            <w:tcBorders>
              <w:top w:val="nil"/>
              <w:left w:val="nil"/>
              <w:bottom w:val="single" w:sz="4" w:space="0" w:color="auto"/>
              <w:right w:val="single" w:sz="4" w:space="0" w:color="auto"/>
            </w:tcBorders>
            <w:shd w:val="clear" w:color="auto" w:fill="auto"/>
            <w:vAlign w:val="center"/>
          </w:tcPr>
          <w:p w14:paraId="324101D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77</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02F0CBC9"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lang w:val="en-US"/>
              </w:rPr>
              <w:t>= ↓</w:t>
            </w:r>
          </w:p>
        </w:tc>
      </w:tr>
      <w:tr w:rsidR="005D4A43" w:rsidRPr="005D4A43" w14:paraId="0B604CAB" w14:textId="77777777" w:rsidTr="00126F5B">
        <w:tc>
          <w:tcPr>
            <w:tcW w:w="709" w:type="dxa"/>
            <w:tcBorders>
              <w:top w:val="single" w:sz="4" w:space="0" w:color="auto"/>
              <w:left w:val="single" w:sz="4" w:space="0" w:color="auto"/>
              <w:bottom w:val="single" w:sz="4" w:space="0" w:color="auto"/>
              <w:right w:val="single" w:sz="4" w:space="0" w:color="auto"/>
            </w:tcBorders>
            <w:vAlign w:val="center"/>
          </w:tcPr>
          <w:p w14:paraId="5DDCD16A" w14:textId="77777777" w:rsidR="005D4A43" w:rsidRPr="005D4A43" w:rsidRDefault="005D4A43" w:rsidP="00F6030C">
            <w:pPr>
              <w:numPr>
                <w:ilvl w:val="0"/>
                <w:numId w:val="56"/>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7B5AB8A1"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nil"/>
              <w:left w:val="single" w:sz="4" w:space="0" w:color="auto"/>
              <w:bottom w:val="single" w:sz="4" w:space="0" w:color="auto"/>
              <w:right w:val="single" w:sz="4" w:space="0" w:color="auto"/>
            </w:tcBorders>
            <w:shd w:val="clear" w:color="auto" w:fill="auto"/>
            <w:vAlign w:val="center"/>
          </w:tcPr>
          <w:p w14:paraId="6269F29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50</w:t>
            </w:r>
          </w:p>
        </w:tc>
        <w:tc>
          <w:tcPr>
            <w:tcW w:w="851" w:type="dxa"/>
            <w:tcBorders>
              <w:top w:val="nil"/>
              <w:left w:val="nil"/>
              <w:bottom w:val="single" w:sz="4" w:space="0" w:color="auto"/>
              <w:right w:val="single" w:sz="4" w:space="0" w:color="auto"/>
            </w:tcBorders>
            <w:shd w:val="clear" w:color="auto" w:fill="auto"/>
            <w:vAlign w:val="center"/>
          </w:tcPr>
          <w:p w14:paraId="158D9A9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50</w:t>
            </w:r>
          </w:p>
        </w:tc>
        <w:tc>
          <w:tcPr>
            <w:tcW w:w="992" w:type="dxa"/>
            <w:tcBorders>
              <w:top w:val="nil"/>
              <w:left w:val="nil"/>
              <w:bottom w:val="single" w:sz="4" w:space="0" w:color="auto"/>
              <w:right w:val="single" w:sz="4" w:space="0" w:color="auto"/>
            </w:tcBorders>
            <w:shd w:val="clear" w:color="auto" w:fill="auto"/>
            <w:vAlign w:val="center"/>
          </w:tcPr>
          <w:p w14:paraId="7470BB7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51</w:t>
            </w:r>
          </w:p>
        </w:tc>
        <w:tc>
          <w:tcPr>
            <w:tcW w:w="992" w:type="dxa"/>
            <w:tcBorders>
              <w:top w:val="nil"/>
              <w:left w:val="nil"/>
              <w:bottom w:val="single" w:sz="4" w:space="0" w:color="auto"/>
              <w:right w:val="single" w:sz="4" w:space="0" w:color="auto"/>
            </w:tcBorders>
            <w:shd w:val="clear" w:color="auto" w:fill="auto"/>
            <w:vAlign w:val="center"/>
          </w:tcPr>
          <w:p w14:paraId="23D3D26B"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03C09C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48,95</w:t>
            </w:r>
          </w:p>
        </w:tc>
        <w:tc>
          <w:tcPr>
            <w:tcW w:w="1134" w:type="dxa"/>
            <w:tcBorders>
              <w:top w:val="nil"/>
              <w:left w:val="nil"/>
              <w:bottom w:val="single" w:sz="4" w:space="0" w:color="auto"/>
              <w:right w:val="single" w:sz="4" w:space="0" w:color="auto"/>
            </w:tcBorders>
            <w:shd w:val="clear" w:color="auto" w:fill="auto"/>
            <w:vAlign w:val="center"/>
          </w:tcPr>
          <w:p w14:paraId="6A50900D"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rPr>
              <w:t>55,2</w:t>
            </w:r>
            <w:r w:rsidRPr="005D4A43">
              <w:rPr>
                <w:rFonts w:cs="Times New Roman"/>
                <w:color w:val="000000"/>
                <w:sz w:val="24"/>
                <w:szCs w:val="24"/>
                <w:lang w:val="en-US"/>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B344B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29C1A5F6" w14:textId="77777777" w:rsidTr="00126F5B">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869FF56" w14:textId="77777777" w:rsidR="005D4A43" w:rsidRPr="005D4A43" w:rsidRDefault="005D4A43" w:rsidP="00F6030C">
            <w:pPr>
              <w:numPr>
                <w:ilvl w:val="0"/>
                <w:numId w:val="56"/>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65753718"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Ярославская область</w:t>
            </w:r>
          </w:p>
        </w:tc>
        <w:tc>
          <w:tcPr>
            <w:tcW w:w="992" w:type="dxa"/>
            <w:tcBorders>
              <w:top w:val="nil"/>
              <w:left w:val="single" w:sz="4" w:space="0" w:color="auto"/>
              <w:bottom w:val="nil"/>
              <w:right w:val="single" w:sz="4" w:space="0" w:color="auto"/>
            </w:tcBorders>
            <w:shd w:val="clear" w:color="auto" w:fill="auto"/>
            <w:vAlign w:val="center"/>
          </w:tcPr>
          <w:p w14:paraId="5CCF7E0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nil"/>
              <w:right w:val="single" w:sz="4" w:space="0" w:color="auto"/>
            </w:tcBorders>
            <w:shd w:val="clear" w:color="auto" w:fill="auto"/>
            <w:vAlign w:val="center"/>
          </w:tcPr>
          <w:p w14:paraId="1F233C2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45</w:t>
            </w:r>
          </w:p>
        </w:tc>
        <w:tc>
          <w:tcPr>
            <w:tcW w:w="992" w:type="dxa"/>
            <w:tcBorders>
              <w:top w:val="nil"/>
              <w:left w:val="nil"/>
              <w:bottom w:val="nil"/>
              <w:right w:val="single" w:sz="4" w:space="0" w:color="auto"/>
            </w:tcBorders>
            <w:shd w:val="clear" w:color="auto" w:fill="auto"/>
            <w:vAlign w:val="center"/>
          </w:tcPr>
          <w:p w14:paraId="25C8251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nil"/>
              <w:right w:val="single" w:sz="4" w:space="0" w:color="auto"/>
            </w:tcBorders>
            <w:shd w:val="clear" w:color="auto" w:fill="auto"/>
            <w:vAlign w:val="center"/>
          </w:tcPr>
          <w:p w14:paraId="0A440401"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6E5A5E9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21,5</w:t>
            </w:r>
          </w:p>
        </w:tc>
        <w:tc>
          <w:tcPr>
            <w:tcW w:w="1134" w:type="dxa"/>
            <w:tcBorders>
              <w:top w:val="nil"/>
              <w:left w:val="nil"/>
              <w:bottom w:val="nil"/>
              <w:right w:val="single" w:sz="4" w:space="0" w:color="auto"/>
            </w:tcBorders>
            <w:shd w:val="clear" w:color="auto" w:fill="auto"/>
            <w:vAlign w:val="center"/>
          </w:tcPr>
          <w:p w14:paraId="1BECE5D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26,9</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6A390D5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18B5D361" w14:textId="77777777" w:rsidTr="00126F5B">
        <w:tc>
          <w:tcPr>
            <w:tcW w:w="709" w:type="dxa"/>
            <w:tcBorders>
              <w:top w:val="single" w:sz="4" w:space="0" w:color="auto"/>
              <w:left w:val="single" w:sz="4" w:space="0" w:color="auto"/>
              <w:bottom w:val="single" w:sz="4" w:space="0" w:color="auto"/>
              <w:right w:val="single" w:sz="4" w:space="0" w:color="auto"/>
            </w:tcBorders>
            <w:vAlign w:val="center"/>
          </w:tcPr>
          <w:p w14:paraId="0508A2AA" w14:textId="77777777" w:rsidR="005D4A43" w:rsidRPr="005D4A43" w:rsidRDefault="005D4A43" w:rsidP="00F6030C">
            <w:pPr>
              <w:numPr>
                <w:ilvl w:val="0"/>
                <w:numId w:val="56"/>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3755147F"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00239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43</w:t>
            </w:r>
          </w:p>
        </w:tc>
        <w:tc>
          <w:tcPr>
            <w:tcW w:w="851" w:type="dxa"/>
            <w:tcBorders>
              <w:top w:val="single" w:sz="4" w:space="0" w:color="auto"/>
              <w:left w:val="nil"/>
              <w:bottom w:val="single" w:sz="4" w:space="0" w:color="auto"/>
              <w:right w:val="single" w:sz="4" w:space="0" w:color="auto"/>
            </w:tcBorders>
            <w:shd w:val="clear" w:color="auto" w:fill="auto"/>
            <w:vAlign w:val="center"/>
          </w:tcPr>
          <w:p w14:paraId="5E61BDA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64,5</w:t>
            </w:r>
          </w:p>
        </w:tc>
        <w:tc>
          <w:tcPr>
            <w:tcW w:w="992" w:type="dxa"/>
            <w:tcBorders>
              <w:top w:val="single" w:sz="4" w:space="0" w:color="auto"/>
              <w:left w:val="nil"/>
              <w:bottom w:val="single" w:sz="4" w:space="0" w:color="auto"/>
              <w:right w:val="single" w:sz="4" w:space="0" w:color="auto"/>
            </w:tcBorders>
            <w:shd w:val="clear" w:color="auto" w:fill="auto"/>
            <w:vAlign w:val="center"/>
          </w:tcPr>
          <w:p w14:paraId="66B4B3A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44</w:t>
            </w:r>
          </w:p>
        </w:tc>
        <w:tc>
          <w:tcPr>
            <w:tcW w:w="992" w:type="dxa"/>
            <w:tcBorders>
              <w:top w:val="single" w:sz="4" w:space="0" w:color="auto"/>
              <w:left w:val="nil"/>
              <w:bottom w:val="single" w:sz="4" w:space="0" w:color="auto"/>
              <w:right w:val="single" w:sz="4" w:space="0" w:color="auto"/>
            </w:tcBorders>
            <w:shd w:val="clear" w:color="auto" w:fill="auto"/>
            <w:vAlign w:val="center"/>
          </w:tcPr>
          <w:p w14:paraId="3D5D42FF"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48,7</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DFF9F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86587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98,03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40FBD8B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28E2E332" w14:textId="77777777" w:rsidTr="00126F5B">
        <w:tc>
          <w:tcPr>
            <w:tcW w:w="709" w:type="dxa"/>
            <w:tcBorders>
              <w:top w:val="single" w:sz="4" w:space="0" w:color="auto"/>
              <w:left w:val="single" w:sz="4" w:space="0" w:color="auto"/>
              <w:bottom w:val="single" w:sz="4" w:space="0" w:color="auto"/>
              <w:right w:val="single" w:sz="4" w:space="0" w:color="auto"/>
            </w:tcBorders>
            <w:vAlign w:val="center"/>
          </w:tcPr>
          <w:p w14:paraId="127ADD20" w14:textId="77777777" w:rsidR="005D4A43" w:rsidRPr="005D4A43" w:rsidRDefault="005D4A43" w:rsidP="00F6030C">
            <w:pPr>
              <w:numPr>
                <w:ilvl w:val="0"/>
                <w:numId w:val="56"/>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0E81C089"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22C40C2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5614145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40,6</w:t>
            </w:r>
          </w:p>
        </w:tc>
        <w:tc>
          <w:tcPr>
            <w:tcW w:w="992" w:type="dxa"/>
            <w:tcBorders>
              <w:top w:val="nil"/>
              <w:left w:val="nil"/>
              <w:bottom w:val="single" w:sz="4" w:space="0" w:color="auto"/>
              <w:right w:val="single" w:sz="4" w:space="0" w:color="auto"/>
            </w:tcBorders>
            <w:shd w:val="clear" w:color="auto" w:fill="auto"/>
            <w:vAlign w:val="center"/>
          </w:tcPr>
          <w:p w14:paraId="5B5CCFA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40,5</w:t>
            </w:r>
          </w:p>
        </w:tc>
        <w:tc>
          <w:tcPr>
            <w:tcW w:w="992" w:type="dxa"/>
            <w:tcBorders>
              <w:top w:val="nil"/>
              <w:left w:val="nil"/>
              <w:bottom w:val="single" w:sz="4" w:space="0" w:color="auto"/>
              <w:right w:val="single" w:sz="4" w:space="0" w:color="auto"/>
            </w:tcBorders>
            <w:shd w:val="clear" w:color="auto" w:fill="auto"/>
            <w:vAlign w:val="center"/>
          </w:tcPr>
          <w:p w14:paraId="129629A9" w14:textId="77777777" w:rsidR="005D4A43" w:rsidRPr="005D4A43" w:rsidRDefault="005D4A43" w:rsidP="005D4A43">
            <w:pPr>
              <w:jc w:val="center"/>
              <w:rPr>
                <w:rFonts w:cs="Times New Roman"/>
                <w:b/>
                <w:color w:val="000000"/>
                <w:sz w:val="24"/>
                <w:szCs w:val="24"/>
                <w:lang w:val="en-US"/>
              </w:rPr>
            </w:pPr>
            <w:r w:rsidRPr="005D4A43">
              <w:rPr>
                <w:rFonts w:cs="Times New Roman"/>
                <w:b/>
                <w:color w:val="000000"/>
                <w:sz w:val="24"/>
                <w:szCs w:val="24"/>
              </w:rPr>
              <w:t>40,6</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5C8E78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48</w:t>
            </w:r>
          </w:p>
        </w:tc>
        <w:tc>
          <w:tcPr>
            <w:tcW w:w="1134" w:type="dxa"/>
            <w:tcBorders>
              <w:top w:val="nil"/>
              <w:left w:val="nil"/>
              <w:bottom w:val="single" w:sz="4" w:space="0" w:color="auto"/>
              <w:right w:val="single" w:sz="4" w:space="0" w:color="auto"/>
            </w:tcBorders>
            <w:shd w:val="clear" w:color="auto" w:fill="auto"/>
            <w:vAlign w:val="center"/>
          </w:tcPr>
          <w:p w14:paraId="2766E33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78,3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126644E" w14:textId="77777777" w:rsidR="005D4A43" w:rsidRPr="005D4A43" w:rsidRDefault="005D4A43" w:rsidP="005D4A43">
            <w:pPr>
              <w:jc w:val="center"/>
              <w:rPr>
                <w:rFonts w:cs="Times New Roman"/>
                <w:color w:val="000000"/>
                <w:sz w:val="24"/>
                <w:szCs w:val="24"/>
                <w:lang w:val="en-US"/>
              </w:rPr>
            </w:pPr>
            <w:r w:rsidRPr="005D4A43">
              <w:rPr>
                <w:rFonts w:cs="Times New Roman"/>
                <w:color w:val="000000"/>
                <w:sz w:val="24"/>
                <w:szCs w:val="24"/>
                <w:lang w:val="en-US"/>
              </w:rPr>
              <w:t>= ↑</w:t>
            </w:r>
          </w:p>
        </w:tc>
      </w:tr>
      <w:tr w:rsidR="005D4A43" w:rsidRPr="005D4A43" w14:paraId="047EDAA9" w14:textId="77777777" w:rsidTr="00126F5B">
        <w:tc>
          <w:tcPr>
            <w:tcW w:w="709" w:type="dxa"/>
            <w:tcBorders>
              <w:top w:val="single" w:sz="4" w:space="0" w:color="auto"/>
              <w:left w:val="single" w:sz="4" w:space="0" w:color="auto"/>
              <w:bottom w:val="single" w:sz="4" w:space="0" w:color="auto"/>
              <w:right w:val="single" w:sz="4" w:space="0" w:color="auto"/>
            </w:tcBorders>
            <w:vAlign w:val="center"/>
          </w:tcPr>
          <w:p w14:paraId="2332CD5B" w14:textId="77777777" w:rsidR="005D4A43" w:rsidRPr="005D4A43" w:rsidRDefault="005D4A43" w:rsidP="00F6030C">
            <w:pPr>
              <w:numPr>
                <w:ilvl w:val="0"/>
                <w:numId w:val="56"/>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6EFCEDE1"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83EB81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19282A3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63</w:t>
            </w:r>
          </w:p>
        </w:tc>
        <w:tc>
          <w:tcPr>
            <w:tcW w:w="992" w:type="dxa"/>
            <w:tcBorders>
              <w:top w:val="nil"/>
              <w:left w:val="nil"/>
              <w:bottom w:val="single" w:sz="4" w:space="0" w:color="auto"/>
              <w:right w:val="single" w:sz="4" w:space="0" w:color="auto"/>
            </w:tcBorders>
            <w:shd w:val="clear" w:color="auto" w:fill="auto"/>
            <w:vAlign w:val="center"/>
          </w:tcPr>
          <w:p w14:paraId="34E9135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6C97DEBF"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40,5</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949460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39</w:t>
            </w:r>
          </w:p>
        </w:tc>
        <w:tc>
          <w:tcPr>
            <w:tcW w:w="1134" w:type="dxa"/>
            <w:tcBorders>
              <w:top w:val="nil"/>
              <w:left w:val="nil"/>
              <w:bottom w:val="single" w:sz="4" w:space="0" w:color="auto"/>
              <w:right w:val="single" w:sz="4" w:space="0" w:color="auto"/>
            </w:tcBorders>
            <w:shd w:val="clear" w:color="auto" w:fill="auto"/>
            <w:vAlign w:val="center"/>
          </w:tcPr>
          <w:p w14:paraId="2B10C2D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56,4</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D0F06A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67355C1C" w14:textId="77777777" w:rsidTr="00126F5B">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1973C65" w14:textId="77777777" w:rsidR="005D4A43" w:rsidRPr="005D4A43" w:rsidRDefault="005D4A43" w:rsidP="00F6030C">
            <w:pPr>
              <w:numPr>
                <w:ilvl w:val="0"/>
                <w:numId w:val="56"/>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71F4AE9A"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52DB47D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vAlign w:val="center"/>
          </w:tcPr>
          <w:p w14:paraId="415F497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23</w:t>
            </w:r>
          </w:p>
        </w:tc>
        <w:tc>
          <w:tcPr>
            <w:tcW w:w="992" w:type="dxa"/>
            <w:tcBorders>
              <w:top w:val="nil"/>
              <w:left w:val="nil"/>
              <w:bottom w:val="single" w:sz="4" w:space="0" w:color="auto"/>
              <w:right w:val="single" w:sz="4" w:space="0" w:color="auto"/>
            </w:tcBorders>
            <w:shd w:val="clear" w:color="auto" w:fill="auto"/>
            <w:vAlign w:val="center"/>
          </w:tcPr>
          <w:p w14:paraId="7F93001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4577A80E"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40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A770D5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19</w:t>
            </w:r>
          </w:p>
        </w:tc>
        <w:tc>
          <w:tcPr>
            <w:tcW w:w="1134" w:type="dxa"/>
            <w:tcBorders>
              <w:top w:val="nil"/>
              <w:left w:val="nil"/>
              <w:bottom w:val="single" w:sz="4" w:space="0" w:color="auto"/>
              <w:right w:val="single" w:sz="4" w:space="0" w:color="auto"/>
            </w:tcBorders>
            <w:shd w:val="clear" w:color="auto" w:fill="auto"/>
            <w:vAlign w:val="center"/>
          </w:tcPr>
          <w:p w14:paraId="644847F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43FD4B0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74906A34" w14:textId="77777777" w:rsidTr="00126F5B">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51B79F7" w14:textId="77777777" w:rsidR="005D4A43" w:rsidRPr="005D4A43" w:rsidRDefault="005D4A43" w:rsidP="00F6030C">
            <w:pPr>
              <w:numPr>
                <w:ilvl w:val="0"/>
                <w:numId w:val="56"/>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A229967"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6C63BF6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28</w:t>
            </w:r>
          </w:p>
        </w:tc>
        <w:tc>
          <w:tcPr>
            <w:tcW w:w="851" w:type="dxa"/>
            <w:tcBorders>
              <w:top w:val="nil"/>
              <w:left w:val="nil"/>
              <w:bottom w:val="single" w:sz="4" w:space="0" w:color="auto"/>
              <w:right w:val="single" w:sz="4" w:space="0" w:color="auto"/>
            </w:tcBorders>
            <w:shd w:val="clear" w:color="auto" w:fill="auto"/>
            <w:vAlign w:val="center"/>
          </w:tcPr>
          <w:p w14:paraId="49B210E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37,4</w:t>
            </w:r>
          </w:p>
        </w:tc>
        <w:tc>
          <w:tcPr>
            <w:tcW w:w="992" w:type="dxa"/>
            <w:tcBorders>
              <w:top w:val="nil"/>
              <w:left w:val="nil"/>
              <w:bottom w:val="single" w:sz="4" w:space="0" w:color="auto"/>
              <w:right w:val="single" w:sz="4" w:space="0" w:color="auto"/>
            </w:tcBorders>
            <w:shd w:val="clear" w:color="auto" w:fill="auto"/>
            <w:vAlign w:val="center"/>
          </w:tcPr>
          <w:p w14:paraId="4F405DE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735ECF17"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36,9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73B885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32,5</w:t>
            </w:r>
          </w:p>
        </w:tc>
        <w:tc>
          <w:tcPr>
            <w:tcW w:w="1134" w:type="dxa"/>
            <w:tcBorders>
              <w:top w:val="nil"/>
              <w:left w:val="nil"/>
              <w:bottom w:val="single" w:sz="4" w:space="0" w:color="auto"/>
              <w:right w:val="single" w:sz="4" w:space="0" w:color="auto"/>
            </w:tcBorders>
            <w:shd w:val="clear" w:color="auto" w:fill="auto"/>
            <w:vAlign w:val="center"/>
          </w:tcPr>
          <w:p w14:paraId="61EA232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26,6</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6E52ABA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4B8F9861" w14:textId="77777777" w:rsidTr="00126F5B">
        <w:tc>
          <w:tcPr>
            <w:tcW w:w="709" w:type="dxa"/>
            <w:tcBorders>
              <w:top w:val="single" w:sz="4" w:space="0" w:color="auto"/>
              <w:left w:val="single" w:sz="4" w:space="0" w:color="auto"/>
              <w:bottom w:val="single" w:sz="4" w:space="0" w:color="auto"/>
              <w:right w:val="single" w:sz="4" w:space="0" w:color="auto"/>
            </w:tcBorders>
            <w:vAlign w:val="center"/>
          </w:tcPr>
          <w:p w14:paraId="634737D0"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15. </w:t>
            </w:r>
          </w:p>
        </w:tc>
        <w:tc>
          <w:tcPr>
            <w:tcW w:w="2127" w:type="dxa"/>
            <w:tcBorders>
              <w:top w:val="nil"/>
              <w:left w:val="single" w:sz="4" w:space="0" w:color="auto"/>
              <w:bottom w:val="single" w:sz="4" w:space="0" w:color="auto"/>
              <w:right w:val="single" w:sz="4" w:space="0" w:color="auto"/>
            </w:tcBorders>
            <w:shd w:val="clear" w:color="auto" w:fill="auto"/>
          </w:tcPr>
          <w:p w14:paraId="3E350832"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38833A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vAlign w:val="center"/>
          </w:tcPr>
          <w:p w14:paraId="6B31ED5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18,7</w:t>
            </w:r>
          </w:p>
        </w:tc>
        <w:tc>
          <w:tcPr>
            <w:tcW w:w="992" w:type="dxa"/>
            <w:tcBorders>
              <w:top w:val="nil"/>
              <w:left w:val="nil"/>
              <w:bottom w:val="single" w:sz="4" w:space="0" w:color="auto"/>
              <w:right w:val="single" w:sz="4" w:space="0" w:color="auto"/>
            </w:tcBorders>
            <w:shd w:val="clear" w:color="auto" w:fill="auto"/>
            <w:vAlign w:val="center"/>
          </w:tcPr>
          <w:p w14:paraId="756C4AB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vAlign w:val="center"/>
          </w:tcPr>
          <w:p w14:paraId="567A922A"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 xml:space="preserve">36,2 </w:t>
            </w:r>
            <w:r w:rsidRPr="005D4A43">
              <w:rPr>
                <w:rFonts w:cs="Times New Roman"/>
                <w:b/>
                <w:color w:val="000000"/>
                <w:sz w:val="24"/>
                <w:szCs w:val="24"/>
                <w:lang w:val="en-US"/>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374626B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54</w:t>
            </w:r>
          </w:p>
        </w:tc>
        <w:tc>
          <w:tcPr>
            <w:tcW w:w="1134" w:type="dxa"/>
            <w:tcBorders>
              <w:top w:val="nil"/>
              <w:left w:val="nil"/>
              <w:bottom w:val="single" w:sz="4" w:space="0" w:color="auto"/>
              <w:right w:val="single" w:sz="4" w:space="0" w:color="auto"/>
            </w:tcBorders>
            <w:shd w:val="clear" w:color="auto" w:fill="auto"/>
            <w:vAlign w:val="center"/>
          </w:tcPr>
          <w:p w14:paraId="1947B23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xml:space="preserve">55  </w:t>
            </w:r>
            <w:r w:rsidRPr="005D4A43">
              <w:rPr>
                <w:rFonts w:cs="Times New Roman"/>
                <w:color w:val="000000"/>
                <w:sz w:val="24"/>
                <w:szCs w:val="24"/>
                <w:lang w:val="en-US"/>
              </w:rPr>
              <w:t>↑</w:t>
            </w:r>
          </w:p>
        </w:tc>
        <w:tc>
          <w:tcPr>
            <w:tcW w:w="1843" w:type="dxa"/>
            <w:tcBorders>
              <w:top w:val="single" w:sz="4" w:space="0" w:color="auto"/>
              <w:left w:val="nil"/>
              <w:bottom w:val="single" w:sz="4" w:space="0" w:color="auto"/>
              <w:right w:val="single" w:sz="4" w:space="0" w:color="auto"/>
            </w:tcBorders>
            <w:shd w:val="clear" w:color="auto" w:fill="auto"/>
            <w:vAlign w:val="center"/>
          </w:tcPr>
          <w:p w14:paraId="6E8DA8B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bl>
    <w:p w14:paraId="5ED597C7" w14:textId="77777777" w:rsidR="005D4A43" w:rsidRPr="005D4A43" w:rsidRDefault="005D4A43" w:rsidP="005D4A43">
      <w:pPr>
        <w:spacing w:after="0" w:line="240" w:lineRule="auto"/>
        <w:ind w:firstLine="709"/>
        <w:jc w:val="both"/>
        <w:rPr>
          <w:rFonts w:ascii="Times New Roman" w:hAnsi="Times New Roman" w:cs="Times New Roman"/>
          <w:sz w:val="16"/>
          <w:szCs w:val="16"/>
        </w:rPr>
      </w:pPr>
    </w:p>
    <w:p w14:paraId="432CA5A1"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b/>
          <w:sz w:val="28"/>
          <w:szCs w:val="28"/>
        </w:rPr>
        <w:t xml:space="preserve">На рынке услуг детского отдыха и оздоровления в </w:t>
      </w:r>
      <w:r w:rsidRPr="00812BD8">
        <w:rPr>
          <w:rFonts w:ascii="Times New Roman" w:hAnsi="Times New Roman" w:cs="Times New Roman"/>
          <w:b/>
          <w:sz w:val="28"/>
          <w:szCs w:val="28"/>
        </w:rPr>
        <w:t>Республике Бурятия, Чувашской Республике, Томской и Тюменской областях, Камчатском крае и г. Санкт-Петербурге</w:t>
      </w:r>
      <w:r w:rsidRPr="005D4A43">
        <w:rPr>
          <w:rFonts w:ascii="Times New Roman" w:hAnsi="Times New Roman" w:cs="Times New Roman"/>
          <w:sz w:val="28"/>
          <w:szCs w:val="28"/>
        </w:rPr>
        <w:t xml:space="preserve"> наблюдается </w:t>
      </w:r>
      <w:r w:rsidRPr="005D4A43">
        <w:rPr>
          <w:rFonts w:ascii="Times New Roman" w:hAnsi="Times New Roman" w:cs="Times New Roman"/>
          <w:b/>
          <w:sz w:val="28"/>
          <w:szCs w:val="28"/>
        </w:rPr>
        <w:t>снижение процента удовлетворенности</w:t>
      </w:r>
      <w:r w:rsidRPr="005D4A43">
        <w:rPr>
          <w:rFonts w:ascii="Times New Roman" w:hAnsi="Times New Roman" w:cs="Times New Roman"/>
          <w:sz w:val="28"/>
          <w:szCs w:val="28"/>
        </w:rPr>
        <w:t xml:space="preserve"> потребителей на рынке по результатам мониторинга 2017 и 2018 годов. </w:t>
      </w:r>
    </w:p>
    <w:p w14:paraId="22DAE064"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При этом </w:t>
      </w:r>
      <w:r w:rsidRPr="00812BD8">
        <w:rPr>
          <w:rFonts w:ascii="Times New Roman" w:hAnsi="Times New Roman" w:cs="Times New Roman"/>
          <w:b/>
          <w:sz w:val="28"/>
          <w:szCs w:val="28"/>
        </w:rPr>
        <w:t>в Томской области, Камчатском крае, Чувашской Республике</w:t>
      </w:r>
      <w:r w:rsidRPr="00812BD8">
        <w:rPr>
          <w:rFonts w:ascii="Times New Roman" w:hAnsi="Times New Roman" w:cs="Times New Roman"/>
          <w:sz w:val="28"/>
          <w:szCs w:val="28"/>
        </w:rPr>
        <w:t>,</w:t>
      </w:r>
      <w:r w:rsidRPr="005D4A43">
        <w:rPr>
          <w:rFonts w:ascii="Times New Roman" w:hAnsi="Times New Roman" w:cs="Times New Roman"/>
          <w:sz w:val="28"/>
          <w:szCs w:val="28"/>
        </w:rPr>
        <w:t xml:space="preserve"> имеющих наиболее высокие целевые показатели по данному рынку (от </w:t>
      </w:r>
      <w:r w:rsidRPr="005D4A43">
        <w:rPr>
          <w:rFonts w:ascii="Times New Roman" w:hAnsi="Times New Roman" w:cs="Times New Roman"/>
          <w:color w:val="000000"/>
          <w:sz w:val="28"/>
          <w:szCs w:val="28"/>
        </w:rPr>
        <w:t xml:space="preserve">75,8 до 65,2 процентов), показатель </w:t>
      </w:r>
      <w:r w:rsidRPr="005D4A43">
        <w:rPr>
          <w:rFonts w:ascii="Times New Roman" w:hAnsi="Times New Roman" w:cs="Times New Roman"/>
          <w:sz w:val="28"/>
          <w:szCs w:val="28"/>
        </w:rPr>
        <w:t xml:space="preserve">удовлетворенности потребителей на рынке составляет менее 50 %. </w:t>
      </w:r>
    </w:p>
    <w:p w14:paraId="41DF1A12"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w:t>
      </w:r>
      <w:r w:rsidRPr="00812BD8">
        <w:rPr>
          <w:rFonts w:ascii="Times New Roman" w:hAnsi="Times New Roman" w:cs="Times New Roman"/>
          <w:b/>
          <w:sz w:val="28"/>
          <w:szCs w:val="28"/>
        </w:rPr>
        <w:t>г. Санкт-Петербурге</w:t>
      </w:r>
      <w:r w:rsidRPr="00812BD8">
        <w:rPr>
          <w:rFonts w:ascii="Times New Roman" w:hAnsi="Times New Roman" w:cs="Times New Roman"/>
          <w:color w:val="000000"/>
          <w:sz w:val="28"/>
          <w:szCs w:val="28"/>
        </w:rPr>
        <w:t xml:space="preserve"> и </w:t>
      </w:r>
      <w:r w:rsidRPr="00812BD8">
        <w:rPr>
          <w:rFonts w:ascii="Times New Roman" w:hAnsi="Times New Roman" w:cs="Times New Roman"/>
          <w:b/>
          <w:color w:val="000000"/>
          <w:sz w:val="28"/>
          <w:szCs w:val="28"/>
        </w:rPr>
        <w:t>Тюменской области</w:t>
      </w:r>
      <w:r w:rsidRPr="005D4A43">
        <w:rPr>
          <w:rFonts w:ascii="Times New Roman" w:hAnsi="Times New Roman" w:cs="Times New Roman"/>
          <w:b/>
          <w:i/>
          <w:color w:val="000000"/>
          <w:sz w:val="28"/>
          <w:szCs w:val="28"/>
        </w:rPr>
        <w:t xml:space="preserve"> </w:t>
      </w:r>
      <w:r w:rsidRPr="005D4A43">
        <w:rPr>
          <w:rFonts w:ascii="Times New Roman" w:hAnsi="Times New Roman" w:cs="Times New Roman"/>
          <w:color w:val="000000"/>
          <w:sz w:val="28"/>
          <w:szCs w:val="28"/>
        </w:rPr>
        <w:t xml:space="preserve">при снижении показателя удовлетворенности она остается значительно более 50 процентов (76 и 77 процентов соответственно). </w:t>
      </w:r>
    </w:p>
    <w:p w14:paraId="26F7F1CB"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b/>
          <w:sz w:val="28"/>
          <w:szCs w:val="28"/>
        </w:rPr>
        <w:t>Хабаровский край, Республика Башкортостан, Липецкая область</w:t>
      </w:r>
      <w:r w:rsidRPr="005D4A43">
        <w:rPr>
          <w:rFonts w:ascii="Times New Roman" w:hAnsi="Times New Roman" w:cs="Times New Roman"/>
          <w:b/>
          <w:i/>
          <w:sz w:val="28"/>
          <w:szCs w:val="28"/>
        </w:rPr>
        <w:t xml:space="preserve"> </w:t>
      </w:r>
      <w:r w:rsidRPr="005D4A43">
        <w:rPr>
          <w:rFonts w:ascii="Times New Roman" w:hAnsi="Times New Roman" w:cs="Times New Roman"/>
          <w:b/>
          <w:i/>
          <w:color w:val="000000"/>
          <w:sz w:val="28"/>
          <w:szCs w:val="28"/>
        </w:rPr>
        <w:t>-</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1103B6A4"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56826667"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639F596E"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7 регионах процент удовлетворенности потребителей на рынке менее 50 %. </w:t>
      </w:r>
    </w:p>
    <w:p w14:paraId="7336ACE5" w14:textId="1D1413E4"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Российской Федерации в 43 регионах (51 % субъектов Р</w:t>
      </w:r>
      <w:r w:rsidR="00812BD8">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sidR="00812BD8">
        <w:rPr>
          <w:rFonts w:ascii="Times New Roman" w:hAnsi="Times New Roman" w:cs="Times New Roman"/>
          <w:sz w:val="28"/>
          <w:szCs w:val="28"/>
        </w:rPr>
        <w:t>едерации</w:t>
      </w:r>
      <w:r w:rsidRPr="005D4A43">
        <w:rPr>
          <w:rFonts w:ascii="Times New Roman" w:hAnsi="Times New Roman" w:cs="Times New Roman"/>
          <w:sz w:val="28"/>
          <w:szCs w:val="28"/>
        </w:rPr>
        <w:t xml:space="preserve">) удовлетворенность потребителей на рынке менее 50 %. </w:t>
      </w:r>
    </w:p>
    <w:p w14:paraId="1393C887" w14:textId="77777777" w:rsidR="005D4A43" w:rsidRPr="005D4A43" w:rsidRDefault="005D4A43" w:rsidP="005D4A43">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278095EC" w14:textId="77777777" w:rsidR="005D4A43" w:rsidRPr="005D4A43" w:rsidRDefault="005D4A43" w:rsidP="005D4A43">
      <w:pPr>
        <w:spacing w:after="0" w:line="240" w:lineRule="auto"/>
        <w:ind w:firstLine="709"/>
        <w:jc w:val="both"/>
        <w:rPr>
          <w:rFonts w:ascii="Times New Roman" w:hAnsi="Times New Roman" w:cs="Times New Roman"/>
          <w:sz w:val="28"/>
          <w:szCs w:val="28"/>
        </w:rPr>
      </w:pPr>
    </w:p>
    <w:p w14:paraId="0B043F07" w14:textId="77777777" w:rsidR="005D4A43" w:rsidRPr="00812BD8" w:rsidRDefault="005D4A43" w:rsidP="005D4A43">
      <w:pPr>
        <w:spacing w:after="0" w:line="240" w:lineRule="auto"/>
        <w:ind w:firstLine="709"/>
        <w:jc w:val="both"/>
        <w:rPr>
          <w:rFonts w:ascii="Times New Roman" w:hAnsi="Times New Roman" w:cs="Times New Roman"/>
          <w:b/>
          <w:sz w:val="28"/>
          <w:szCs w:val="28"/>
        </w:rPr>
      </w:pPr>
      <w:r w:rsidRPr="00812BD8">
        <w:rPr>
          <w:rFonts w:ascii="Times New Roman" w:hAnsi="Times New Roman" w:cs="Times New Roman"/>
          <w:b/>
          <w:sz w:val="28"/>
          <w:szCs w:val="28"/>
        </w:rPr>
        <w:t>3. Рынок услуг психолого-педагогического сопровождения детей с ограниченными возможностями здоровья</w:t>
      </w:r>
    </w:p>
    <w:p w14:paraId="3CF29D2D" w14:textId="77777777" w:rsidR="005D4A43" w:rsidRPr="005D4A43" w:rsidRDefault="005D4A43" w:rsidP="005D4A43">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 (процентов)</w:t>
      </w:r>
    </w:p>
    <w:p w14:paraId="42849293" w14:textId="77777777" w:rsidR="005D4A43" w:rsidRPr="005D4A43" w:rsidRDefault="005D4A43" w:rsidP="005D4A43">
      <w:pPr>
        <w:spacing w:after="0" w:line="240" w:lineRule="auto"/>
        <w:ind w:firstLine="709"/>
        <w:jc w:val="both"/>
        <w:rPr>
          <w:rFonts w:ascii="Times New Roman" w:hAnsi="Times New Roman" w:cs="Times New Roman"/>
          <w:sz w:val="24"/>
          <w:szCs w:val="24"/>
        </w:rPr>
      </w:pPr>
    </w:p>
    <w:tbl>
      <w:tblPr>
        <w:tblStyle w:val="afa"/>
        <w:tblW w:w="10774" w:type="dxa"/>
        <w:tblInd w:w="-998" w:type="dxa"/>
        <w:tblLayout w:type="fixed"/>
        <w:tblLook w:val="04A0" w:firstRow="1" w:lastRow="0" w:firstColumn="1" w:lastColumn="0" w:noHBand="0" w:noVBand="1"/>
      </w:tblPr>
      <w:tblGrid>
        <w:gridCol w:w="567"/>
        <w:gridCol w:w="2269"/>
        <w:gridCol w:w="851"/>
        <w:gridCol w:w="992"/>
        <w:gridCol w:w="992"/>
        <w:gridCol w:w="992"/>
        <w:gridCol w:w="1134"/>
        <w:gridCol w:w="1134"/>
        <w:gridCol w:w="1843"/>
      </w:tblGrid>
      <w:tr w:rsidR="005D4A43" w:rsidRPr="005D4A43" w14:paraId="3178084C" w14:textId="77777777" w:rsidTr="00126F5B">
        <w:trPr>
          <w:trHeight w:val="1159"/>
          <w:tblHeader/>
        </w:trPr>
        <w:tc>
          <w:tcPr>
            <w:tcW w:w="567" w:type="dxa"/>
            <w:vMerge w:val="restart"/>
            <w:shd w:val="clear" w:color="auto" w:fill="DEEAF6" w:themeFill="accent1" w:themeFillTint="33"/>
            <w:vAlign w:val="center"/>
          </w:tcPr>
          <w:p w14:paraId="72F7F953"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2E24E2E2"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shd w:val="clear" w:color="auto" w:fill="DEEAF6" w:themeFill="accent1" w:themeFillTint="33"/>
            <w:vAlign w:val="center"/>
          </w:tcPr>
          <w:p w14:paraId="5820CA26" w14:textId="77777777" w:rsidR="005D4A43" w:rsidRPr="005D4A43" w:rsidRDefault="005D4A43" w:rsidP="005D4A43">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7CF7E9AB"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4DCC4B78"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5D4A43" w:rsidRPr="005D4A43" w14:paraId="2EBCD2C4" w14:textId="77777777" w:rsidTr="00126F5B">
        <w:trPr>
          <w:trHeight w:val="177"/>
          <w:tblHeader/>
        </w:trPr>
        <w:tc>
          <w:tcPr>
            <w:tcW w:w="567" w:type="dxa"/>
            <w:vMerge/>
            <w:shd w:val="clear" w:color="auto" w:fill="DEEAF6" w:themeFill="accent1" w:themeFillTint="33"/>
            <w:vAlign w:val="center"/>
          </w:tcPr>
          <w:p w14:paraId="64E30CF2" w14:textId="77777777" w:rsidR="005D4A43" w:rsidRPr="005D4A43" w:rsidRDefault="005D4A43" w:rsidP="005D4A43">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757488BC" w14:textId="77777777" w:rsidR="005D4A43" w:rsidRPr="005D4A43" w:rsidRDefault="005D4A43" w:rsidP="005D4A43">
            <w:pPr>
              <w:jc w:val="both"/>
              <w:rPr>
                <w:rFonts w:ascii="Times New Roman" w:hAnsi="Times New Roman" w:cs="Times New Roman"/>
                <w:b/>
                <w:sz w:val="24"/>
                <w:szCs w:val="24"/>
              </w:rPr>
            </w:pPr>
          </w:p>
        </w:tc>
        <w:tc>
          <w:tcPr>
            <w:tcW w:w="851" w:type="dxa"/>
            <w:shd w:val="clear" w:color="auto" w:fill="DEEAF6" w:themeFill="accent1" w:themeFillTint="33"/>
            <w:vAlign w:val="center"/>
          </w:tcPr>
          <w:p w14:paraId="12AE98EC"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4F2D5CB1"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1A49CCAB"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1C3D71D9"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7C454E5F"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09DC89BA"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6C9C57BE" w14:textId="77777777" w:rsidR="005D4A43" w:rsidRPr="005D4A43" w:rsidRDefault="005D4A43" w:rsidP="005D4A43">
            <w:pPr>
              <w:contextualSpacing/>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44DF168C" w14:textId="77777777" w:rsidR="005D4A43" w:rsidRPr="005D4A43" w:rsidRDefault="005D4A43" w:rsidP="005D4A43">
            <w:pPr>
              <w:contextualSpacing/>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3" w:type="dxa"/>
            <w:vMerge/>
            <w:shd w:val="clear" w:color="auto" w:fill="DEEAF6" w:themeFill="accent1" w:themeFillTint="33"/>
            <w:vAlign w:val="center"/>
          </w:tcPr>
          <w:p w14:paraId="3D70E2E2" w14:textId="77777777" w:rsidR="005D4A43" w:rsidRPr="005D4A43" w:rsidRDefault="005D4A43" w:rsidP="005D4A43">
            <w:pPr>
              <w:jc w:val="both"/>
              <w:rPr>
                <w:rFonts w:ascii="Times New Roman" w:hAnsi="Times New Roman" w:cs="Times New Roman"/>
                <w:b/>
                <w:sz w:val="24"/>
                <w:szCs w:val="24"/>
              </w:rPr>
            </w:pPr>
          </w:p>
        </w:tc>
      </w:tr>
      <w:tr w:rsidR="005D4A43" w:rsidRPr="005D4A43" w14:paraId="60A9FCC0" w14:textId="77777777" w:rsidTr="00126F5B">
        <w:tc>
          <w:tcPr>
            <w:tcW w:w="567" w:type="dxa"/>
            <w:shd w:val="clear" w:color="auto" w:fill="B4C6E7" w:themeFill="accent5" w:themeFillTint="66"/>
            <w:vAlign w:val="center"/>
          </w:tcPr>
          <w:p w14:paraId="1CEE7ACD"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shd w:val="clear" w:color="auto" w:fill="B4C6E7" w:themeFill="accent5" w:themeFillTint="66"/>
            <w:vAlign w:val="center"/>
          </w:tcPr>
          <w:p w14:paraId="03E9DCE6"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Ростовская область</w:t>
            </w:r>
          </w:p>
        </w:tc>
        <w:tc>
          <w:tcPr>
            <w:tcW w:w="851" w:type="dxa"/>
            <w:shd w:val="clear" w:color="auto" w:fill="auto"/>
            <w:vAlign w:val="center"/>
          </w:tcPr>
          <w:p w14:paraId="3DCC0F8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587CEC8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4B8A2D1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40</w:t>
            </w:r>
          </w:p>
        </w:tc>
        <w:tc>
          <w:tcPr>
            <w:tcW w:w="992" w:type="dxa"/>
            <w:shd w:val="clear" w:color="auto" w:fill="auto"/>
            <w:vAlign w:val="center"/>
          </w:tcPr>
          <w:p w14:paraId="0EF09A7C"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40 ↑</w:t>
            </w:r>
          </w:p>
        </w:tc>
        <w:tc>
          <w:tcPr>
            <w:tcW w:w="1134" w:type="dxa"/>
            <w:shd w:val="clear" w:color="auto" w:fill="auto"/>
            <w:vAlign w:val="center"/>
          </w:tcPr>
          <w:p w14:paraId="3F63335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11,2</w:t>
            </w:r>
          </w:p>
        </w:tc>
        <w:tc>
          <w:tcPr>
            <w:tcW w:w="1134" w:type="dxa"/>
            <w:shd w:val="clear" w:color="auto" w:fill="auto"/>
            <w:vAlign w:val="center"/>
          </w:tcPr>
          <w:p w14:paraId="5BB504C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27,3 ↑</w:t>
            </w:r>
          </w:p>
        </w:tc>
        <w:tc>
          <w:tcPr>
            <w:tcW w:w="1843" w:type="dxa"/>
            <w:shd w:val="clear" w:color="auto" w:fill="auto"/>
            <w:vAlign w:val="center"/>
          </w:tcPr>
          <w:p w14:paraId="4A84B895" w14:textId="77777777" w:rsidR="005D4A43" w:rsidRPr="005D4A43" w:rsidRDefault="005D4A43" w:rsidP="005D4A43">
            <w:pPr>
              <w:jc w:val="center"/>
              <w:rPr>
                <w:rFonts w:cs="Times New Roman"/>
                <w:color w:val="000000"/>
                <w:sz w:val="24"/>
                <w:szCs w:val="24"/>
              </w:rPr>
            </w:pPr>
            <w:r w:rsidRPr="005D4A43">
              <w:rPr>
                <w:rFonts w:cs="Times New Roman"/>
                <w:color w:val="000000"/>
              </w:rPr>
              <w:t>↑ ↑</w:t>
            </w:r>
          </w:p>
        </w:tc>
      </w:tr>
      <w:tr w:rsidR="005D4A43" w:rsidRPr="005D4A43" w14:paraId="79C37B62" w14:textId="77777777" w:rsidTr="00126F5B">
        <w:tc>
          <w:tcPr>
            <w:tcW w:w="567" w:type="dxa"/>
            <w:shd w:val="clear" w:color="auto" w:fill="B4C6E7" w:themeFill="accent5" w:themeFillTint="66"/>
            <w:vAlign w:val="center"/>
          </w:tcPr>
          <w:p w14:paraId="74523CAB"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shd w:val="clear" w:color="auto" w:fill="B4C6E7" w:themeFill="accent5" w:themeFillTint="66"/>
            <w:vAlign w:val="center"/>
          </w:tcPr>
          <w:p w14:paraId="11EE740B"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Омская область</w:t>
            </w:r>
          </w:p>
        </w:tc>
        <w:tc>
          <w:tcPr>
            <w:tcW w:w="851" w:type="dxa"/>
            <w:shd w:val="clear" w:color="auto" w:fill="auto"/>
            <w:vAlign w:val="center"/>
          </w:tcPr>
          <w:p w14:paraId="03E690A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3F483B8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512049E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35</w:t>
            </w:r>
          </w:p>
        </w:tc>
        <w:tc>
          <w:tcPr>
            <w:tcW w:w="992" w:type="dxa"/>
            <w:shd w:val="clear" w:color="auto" w:fill="auto"/>
            <w:vAlign w:val="center"/>
          </w:tcPr>
          <w:p w14:paraId="5EBF6ADF"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35 ↑</w:t>
            </w:r>
          </w:p>
        </w:tc>
        <w:tc>
          <w:tcPr>
            <w:tcW w:w="1134" w:type="dxa"/>
            <w:shd w:val="clear" w:color="auto" w:fill="auto"/>
            <w:vAlign w:val="center"/>
          </w:tcPr>
          <w:p w14:paraId="7073CBF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18,5</w:t>
            </w:r>
          </w:p>
        </w:tc>
        <w:tc>
          <w:tcPr>
            <w:tcW w:w="1134" w:type="dxa"/>
            <w:shd w:val="clear" w:color="auto" w:fill="auto"/>
            <w:vAlign w:val="center"/>
          </w:tcPr>
          <w:p w14:paraId="2563E21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18,6 ↑</w:t>
            </w:r>
          </w:p>
        </w:tc>
        <w:tc>
          <w:tcPr>
            <w:tcW w:w="1843" w:type="dxa"/>
            <w:shd w:val="clear" w:color="auto" w:fill="auto"/>
            <w:vAlign w:val="center"/>
          </w:tcPr>
          <w:p w14:paraId="03E4C0C2" w14:textId="77777777" w:rsidR="005D4A43" w:rsidRPr="005D4A43" w:rsidRDefault="005D4A43" w:rsidP="005D4A43">
            <w:pPr>
              <w:jc w:val="center"/>
              <w:rPr>
                <w:rFonts w:cs="Times New Roman"/>
                <w:color w:val="000000"/>
                <w:sz w:val="24"/>
                <w:szCs w:val="24"/>
              </w:rPr>
            </w:pPr>
            <w:r w:rsidRPr="005D4A43">
              <w:rPr>
                <w:rFonts w:cs="Times New Roman"/>
                <w:color w:val="000000"/>
              </w:rPr>
              <w:t>↑ ↑</w:t>
            </w:r>
          </w:p>
        </w:tc>
      </w:tr>
      <w:tr w:rsidR="005D4A43" w:rsidRPr="005D4A43" w14:paraId="2456FAC1" w14:textId="77777777" w:rsidTr="00126F5B">
        <w:tc>
          <w:tcPr>
            <w:tcW w:w="567" w:type="dxa"/>
            <w:shd w:val="clear" w:color="auto" w:fill="FFFFFF" w:themeFill="background1"/>
            <w:vAlign w:val="center"/>
          </w:tcPr>
          <w:p w14:paraId="5B61658C" w14:textId="77777777" w:rsidR="005D4A43" w:rsidRPr="005D4A43" w:rsidRDefault="005D4A43" w:rsidP="005D4A43">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shd w:val="clear" w:color="auto" w:fill="FFFFFF" w:themeFill="background1"/>
            <w:vAlign w:val="center"/>
          </w:tcPr>
          <w:p w14:paraId="42818AF2"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851" w:type="dxa"/>
            <w:shd w:val="clear" w:color="auto" w:fill="auto"/>
            <w:vAlign w:val="center"/>
          </w:tcPr>
          <w:p w14:paraId="7EBC2CA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1409A1C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27,9</w:t>
            </w:r>
          </w:p>
        </w:tc>
        <w:tc>
          <w:tcPr>
            <w:tcW w:w="992" w:type="dxa"/>
            <w:shd w:val="clear" w:color="auto" w:fill="auto"/>
            <w:vAlign w:val="center"/>
          </w:tcPr>
          <w:p w14:paraId="508F9E5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30BB3E89"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34,8 ↑</w:t>
            </w:r>
          </w:p>
        </w:tc>
        <w:tc>
          <w:tcPr>
            <w:tcW w:w="1134" w:type="dxa"/>
            <w:shd w:val="clear" w:color="auto" w:fill="auto"/>
            <w:vAlign w:val="center"/>
          </w:tcPr>
          <w:p w14:paraId="1A5AE51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60,35</w:t>
            </w:r>
          </w:p>
        </w:tc>
        <w:tc>
          <w:tcPr>
            <w:tcW w:w="1134" w:type="dxa"/>
            <w:shd w:val="clear" w:color="auto" w:fill="auto"/>
            <w:vAlign w:val="center"/>
          </w:tcPr>
          <w:p w14:paraId="2C1261B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54,05 ↓</w:t>
            </w:r>
          </w:p>
        </w:tc>
        <w:tc>
          <w:tcPr>
            <w:tcW w:w="1843" w:type="dxa"/>
            <w:shd w:val="clear" w:color="auto" w:fill="FFC000"/>
            <w:vAlign w:val="center"/>
          </w:tcPr>
          <w:p w14:paraId="583C8213" w14:textId="77777777" w:rsidR="005D4A43" w:rsidRPr="005D4A43" w:rsidRDefault="005D4A43" w:rsidP="005D4A43">
            <w:pPr>
              <w:jc w:val="center"/>
              <w:rPr>
                <w:rFonts w:cs="Times New Roman"/>
                <w:color w:val="000000"/>
                <w:sz w:val="24"/>
                <w:szCs w:val="24"/>
              </w:rPr>
            </w:pPr>
            <w:r w:rsidRPr="005D4A43">
              <w:rPr>
                <w:rFonts w:cs="Times New Roman"/>
                <w:color w:val="000000"/>
              </w:rPr>
              <w:t>↑ ↓</w:t>
            </w:r>
          </w:p>
        </w:tc>
      </w:tr>
      <w:tr w:rsidR="005D4A43" w:rsidRPr="005D4A43" w14:paraId="47698312" w14:textId="77777777" w:rsidTr="00126F5B">
        <w:tc>
          <w:tcPr>
            <w:tcW w:w="567" w:type="dxa"/>
            <w:vAlign w:val="center"/>
          </w:tcPr>
          <w:p w14:paraId="37DE8E83"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shd w:val="clear" w:color="auto" w:fill="auto"/>
            <w:vAlign w:val="center"/>
          </w:tcPr>
          <w:p w14:paraId="700E0D9B"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Иркутская область</w:t>
            </w:r>
          </w:p>
        </w:tc>
        <w:tc>
          <w:tcPr>
            <w:tcW w:w="851" w:type="dxa"/>
            <w:shd w:val="clear" w:color="auto" w:fill="auto"/>
            <w:vAlign w:val="center"/>
          </w:tcPr>
          <w:p w14:paraId="662CE13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62C959E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21</w:t>
            </w:r>
          </w:p>
        </w:tc>
        <w:tc>
          <w:tcPr>
            <w:tcW w:w="992" w:type="dxa"/>
            <w:shd w:val="clear" w:color="auto" w:fill="auto"/>
            <w:vAlign w:val="center"/>
          </w:tcPr>
          <w:p w14:paraId="618A684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33</w:t>
            </w:r>
          </w:p>
        </w:tc>
        <w:tc>
          <w:tcPr>
            <w:tcW w:w="992" w:type="dxa"/>
            <w:shd w:val="clear" w:color="auto" w:fill="auto"/>
            <w:vAlign w:val="center"/>
          </w:tcPr>
          <w:p w14:paraId="15CF4D94"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33 ↑</w:t>
            </w:r>
          </w:p>
        </w:tc>
        <w:tc>
          <w:tcPr>
            <w:tcW w:w="1134" w:type="dxa"/>
            <w:shd w:val="clear" w:color="auto" w:fill="auto"/>
            <w:vAlign w:val="center"/>
          </w:tcPr>
          <w:p w14:paraId="4CDFDBD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4300AB7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0BBF5D43" w14:textId="77777777" w:rsidR="005D4A43" w:rsidRPr="005D4A43" w:rsidRDefault="005D4A43" w:rsidP="005D4A43">
            <w:pPr>
              <w:jc w:val="center"/>
              <w:rPr>
                <w:rFonts w:cs="Times New Roman"/>
                <w:color w:val="000000"/>
                <w:sz w:val="24"/>
                <w:szCs w:val="24"/>
              </w:rPr>
            </w:pPr>
            <w:r w:rsidRPr="005D4A43">
              <w:rPr>
                <w:rFonts w:cs="Times New Roman"/>
                <w:color w:val="000000"/>
              </w:rPr>
              <w:t>↑ -</w:t>
            </w:r>
          </w:p>
        </w:tc>
      </w:tr>
      <w:tr w:rsidR="005D4A43" w:rsidRPr="005D4A43" w14:paraId="622811B5" w14:textId="77777777" w:rsidTr="00126F5B">
        <w:tc>
          <w:tcPr>
            <w:tcW w:w="567" w:type="dxa"/>
            <w:vAlign w:val="center"/>
          </w:tcPr>
          <w:p w14:paraId="35D61811"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5.</w:t>
            </w:r>
          </w:p>
        </w:tc>
        <w:tc>
          <w:tcPr>
            <w:tcW w:w="2269" w:type="dxa"/>
            <w:shd w:val="clear" w:color="auto" w:fill="auto"/>
            <w:vAlign w:val="center"/>
          </w:tcPr>
          <w:p w14:paraId="71660570"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851" w:type="dxa"/>
            <w:shd w:val="clear" w:color="auto" w:fill="auto"/>
            <w:vAlign w:val="center"/>
          </w:tcPr>
          <w:p w14:paraId="71EB7B8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71EF660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70</w:t>
            </w:r>
          </w:p>
        </w:tc>
        <w:tc>
          <w:tcPr>
            <w:tcW w:w="992" w:type="dxa"/>
            <w:shd w:val="clear" w:color="auto" w:fill="auto"/>
            <w:vAlign w:val="center"/>
          </w:tcPr>
          <w:p w14:paraId="0829EEF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4BC22EA9"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30 ↓</w:t>
            </w:r>
          </w:p>
        </w:tc>
        <w:tc>
          <w:tcPr>
            <w:tcW w:w="1134" w:type="dxa"/>
            <w:shd w:val="clear" w:color="auto" w:fill="auto"/>
            <w:vAlign w:val="center"/>
          </w:tcPr>
          <w:p w14:paraId="7384DF8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4B816CC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3F37FE6A" w14:textId="77777777" w:rsidR="005D4A43" w:rsidRPr="005D4A43" w:rsidRDefault="005D4A43" w:rsidP="005D4A43">
            <w:pPr>
              <w:jc w:val="center"/>
              <w:rPr>
                <w:rFonts w:cs="Times New Roman"/>
                <w:color w:val="000000"/>
                <w:sz w:val="24"/>
                <w:szCs w:val="24"/>
              </w:rPr>
            </w:pPr>
            <w:r w:rsidRPr="005D4A43">
              <w:rPr>
                <w:rFonts w:cs="Times New Roman"/>
                <w:color w:val="000000"/>
              </w:rPr>
              <w:t>↓ -</w:t>
            </w:r>
          </w:p>
        </w:tc>
      </w:tr>
      <w:tr w:rsidR="005D4A43" w:rsidRPr="005D4A43" w14:paraId="646AADE6" w14:textId="77777777" w:rsidTr="00126F5B">
        <w:tc>
          <w:tcPr>
            <w:tcW w:w="567" w:type="dxa"/>
            <w:shd w:val="clear" w:color="auto" w:fill="B4C6E7" w:themeFill="accent5" w:themeFillTint="66"/>
            <w:vAlign w:val="center"/>
          </w:tcPr>
          <w:p w14:paraId="363C277E"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6.</w:t>
            </w:r>
          </w:p>
        </w:tc>
        <w:tc>
          <w:tcPr>
            <w:tcW w:w="2269" w:type="dxa"/>
            <w:shd w:val="clear" w:color="auto" w:fill="B4C6E7" w:themeFill="accent5" w:themeFillTint="66"/>
            <w:vAlign w:val="center"/>
          </w:tcPr>
          <w:p w14:paraId="3CC3E557"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851" w:type="dxa"/>
            <w:shd w:val="clear" w:color="auto" w:fill="auto"/>
            <w:vAlign w:val="center"/>
          </w:tcPr>
          <w:p w14:paraId="424208E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7A5C7F0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4981113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10,5</w:t>
            </w:r>
          </w:p>
        </w:tc>
        <w:tc>
          <w:tcPr>
            <w:tcW w:w="992" w:type="dxa"/>
            <w:shd w:val="clear" w:color="auto" w:fill="auto"/>
            <w:vAlign w:val="center"/>
          </w:tcPr>
          <w:p w14:paraId="777E72AC"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24 ↑</w:t>
            </w:r>
          </w:p>
        </w:tc>
        <w:tc>
          <w:tcPr>
            <w:tcW w:w="1134" w:type="dxa"/>
            <w:shd w:val="clear" w:color="auto" w:fill="auto"/>
            <w:vAlign w:val="center"/>
          </w:tcPr>
          <w:p w14:paraId="49022ED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23,5</w:t>
            </w:r>
          </w:p>
        </w:tc>
        <w:tc>
          <w:tcPr>
            <w:tcW w:w="1134" w:type="dxa"/>
            <w:shd w:val="clear" w:color="auto" w:fill="auto"/>
            <w:vAlign w:val="center"/>
          </w:tcPr>
          <w:p w14:paraId="73CAC4F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19,2 ↓</w:t>
            </w:r>
          </w:p>
        </w:tc>
        <w:tc>
          <w:tcPr>
            <w:tcW w:w="1843" w:type="dxa"/>
            <w:shd w:val="clear" w:color="auto" w:fill="FFC000"/>
            <w:vAlign w:val="center"/>
          </w:tcPr>
          <w:p w14:paraId="44F41F89" w14:textId="77777777" w:rsidR="005D4A43" w:rsidRPr="005D4A43" w:rsidRDefault="005D4A43" w:rsidP="005D4A43">
            <w:pPr>
              <w:jc w:val="center"/>
              <w:rPr>
                <w:rFonts w:cs="Times New Roman"/>
                <w:color w:val="000000"/>
                <w:sz w:val="24"/>
                <w:szCs w:val="24"/>
              </w:rPr>
            </w:pPr>
            <w:r w:rsidRPr="005D4A43">
              <w:rPr>
                <w:rFonts w:cs="Times New Roman"/>
                <w:color w:val="000000"/>
              </w:rPr>
              <w:t>↑ ↓</w:t>
            </w:r>
          </w:p>
        </w:tc>
      </w:tr>
      <w:tr w:rsidR="005D4A43" w:rsidRPr="005D4A43" w14:paraId="4F2FAC81" w14:textId="77777777" w:rsidTr="00126F5B">
        <w:tc>
          <w:tcPr>
            <w:tcW w:w="567" w:type="dxa"/>
            <w:vAlign w:val="center"/>
          </w:tcPr>
          <w:p w14:paraId="6B9E364E" w14:textId="77777777" w:rsidR="005D4A43" w:rsidRPr="005D4A43" w:rsidRDefault="005D4A43" w:rsidP="005D4A43">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shd w:val="clear" w:color="auto" w:fill="auto"/>
            <w:vAlign w:val="center"/>
          </w:tcPr>
          <w:p w14:paraId="2F9641CD"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851" w:type="dxa"/>
            <w:shd w:val="clear" w:color="auto" w:fill="auto"/>
            <w:vAlign w:val="center"/>
          </w:tcPr>
          <w:p w14:paraId="32672BD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3B0AA7A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23</w:t>
            </w:r>
          </w:p>
        </w:tc>
        <w:tc>
          <w:tcPr>
            <w:tcW w:w="992" w:type="dxa"/>
            <w:shd w:val="clear" w:color="auto" w:fill="auto"/>
            <w:vAlign w:val="center"/>
          </w:tcPr>
          <w:p w14:paraId="22CFBBB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16613ED7"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23 =</w:t>
            </w:r>
          </w:p>
        </w:tc>
        <w:tc>
          <w:tcPr>
            <w:tcW w:w="1134" w:type="dxa"/>
            <w:shd w:val="clear" w:color="auto" w:fill="auto"/>
            <w:vAlign w:val="center"/>
          </w:tcPr>
          <w:p w14:paraId="2BB46C0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80</w:t>
            </w:r>
          </w:p>
        </w:tc>
        <w:tc>
          <w:tcPr>
            <w:tcW w:w="1134" w:type="dxa"/>
            <w:shd w:val="clear" w:color="auto" w:fill="auto"/>
            <w:vAlign w:val="center"/>
          </w:tcPr>
          <w:p w14:paraId="43A17C5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252D1FF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045E6E84" w14:textId="77777777" w:rsidTr="00126F5B">
        <w:tc>
          <w:tcPr>
            <w:tcW w:w="567" w:type="dxa"/>
            <w:shd w:val="clear" w:color="auto" w:fill="B4C6E7" w:themeFill="accent5" w:themeFillTint="66"/>
            <w:vAlign w:val="center"/>
          </w:tcPr>
          <w:p w14:paraId="72F9BB09"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8.</w:t>
            </w:r>
          </w:p>
        </w:tc>
        <w:tc>
          <w:tcPr>
            <w:tcW w:w="2269" w:type="dxa"/>
            <w:shd w:val="clear" w:color="auto" w:fill="B4C6E7" w:themeFill="accent5" w:themeFillTint="66"/>
            <w:vAlign w:val="center"/>
          </w:tcPr>
          <w:p w14:paraId="718930DE"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851" w:type="dxa"/>
            <w:shd w:val="clear" w:color="auto" w:fill="auto"/>
            <w:vAlign w:val="center"/>
          </w:tcPr>
          <w:p w14:paraId="3724A45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13C27D6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20,6</w:t>
            </w:r>
          </w:p>
        </w:tc>
        <w:tc>
          <w:tcPr>
            <w:tcW w:w="992" w:type="dxa"/>
            <w:shd w:val="clear" w:color="auto" w:fill="auto"/>
            <w:vAlign w:val="center"/>
          </w:tcPr>
          <w:p w14:paraId="27515DF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778E9123"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20,6 =</w:t>
            </w:r>
          </w:p>
        </w:tc>
        <w:tc>
          <w:tcPr>
            <w:tcW w:w="1134" w:type="dxa"/>
            <w:shd w:val="clear" w:color="auto" w:fill="auto"/>
            <w:vAlign w:val="center"/>
          </w:tcPr>
          <w:p w14:paraId="3362E5B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11,5</w:t>
            </w:r>
          </w:p>
        </w:tc>
        <w:tc>
          <w:tcPr>
            <w:tcW w:w="1134" w:type="dxa"/>
            <w:shd w:val="clear" w:color="auto" w:fill="auto"/>
            <w:vAlign w:val="center"/>
          </w:tcPr>
          <w:p w14:paraId="7412D2C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31,5 ↑</w:t>
            </w:r>
          </w:p>
        </w:tc>
        <w:tc>
          <w:tcPr>
            <w:tcW w:w="1843" w:type="dxa"/>
            <w:shd w:val="clear" w:color="auto" w:fill="auto"/>
            <w:vAlign w:val="center"/>
          </w:tcPr>
          <w:p w14:paraId="112CF27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5D4A43" w:rsidRPr="005D4A43" w14:paraId="397EADBB" w14:textId="77777777" w:rsidTr="00126F5B">
        <w:tc>
          <w:tcPr>
            <w:tcW w:w="567" w:type="dxa"/>
            <w:vAlign w:val="center"/>
          </w:tcPr>
          <w:p w14:paraId="35C262AB" w14:textId="77777777" w:rsidR="005D4A43" w:rsidRPr="005D4A43" w:rsidRDefault="005D4A43" w:rsidP="005D4A43">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shd w:val="clear" w:color="auto" w:fill="auto"/>
            <w:vAlign w:val="center"/>
          </w:tcPr>
          <w:p w14:paraId="7D50141B"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851" w:type="dxa"/>
            <w:shd w:val="clear" w:color="auto" w:fill="auto"/>
            <w:vAlign w:val="center"/>
          </w:tcPr>
          <w:p w14:paraId="042055C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6787AAC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5AB06FC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15,4</w:t>
            </w:r>
          </w:p>
        </w:tc>
        <w:tc>
          <w:tcPr>
            <w:tcW w:w="992" w:type="dxa"/>
            <w:shd w:val="clear" w:color="auto" w:fill="auto"/>
            <w:vAlign w:val="center"/>
          </w:tcPr>
          <w:p w14:paraId="3DBE4346"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17,6 ↑</w:t>
            </w:r>
          </w:p>
        </w:tc>
        <w:tc>
          <w:tcPr>
            <w:tcW w:w="1134" w:type="dxa"/>
            <w:shd w:val="clear" w:color="auto" w:fill="auto"/>
            <w:vAlign w:val="center"/>
          </w:tcPr>
          <w:p w14:paraId="47279D8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30,7</w:t>
            </w:r>
          </w:p>
        </w:tc>
        <w:tc>
          <w:tcPr>
            <w:tcW w:w="1134" w:type="dxa"/>
            <w:shd w:val="clear" w:color="auto" w:fill="auto"/>
            <w:vAlign w:val="center"/>
          </w:tcPr>
          <w:p w14:paraId="55D45B9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51,7 ↑</w:t>
            </w:r>
          </w:p>
        </w:tc>
        <w:tc>
          <w:tcPr>
            <w:tcW w:w="1843" w:type="dxa"/>
            <w:shd w:val="clear" w:color="auto" w:fill="auto"/>
            <w:vAlign w:val="center"/>
          </w:tcPr>
          <w:p w14:paraId="4ECA146E" w14:textId="77777777" w:rsidR="005D4A43" w:rsidRPr="005D4A43" w:rsidRDefault="005D4A43" w:rsidP="005D4A43">
            <w:pPr>
              <w:jc w:val="center"/>
              <w:rPr>
                <w:rFonts w:cs="Times New Roman"/>
                <w:color w:val="000000"/>
                <w:sz w:val="24"/>
                <w:szCs w:val="24"/>
              </w:rPr>
            </w:pPr>
            <w:r w:rsidRPr="005D4A43">
              <w:rPr>
                <w:rFonts w:cs="Times New Roman"/>
                <w:color w:val="000000"/>
              </w:rPr>
              <w:t>↑ ↑</w:t>
            </w:r>
          </w:p>
        </w:tc>
      </w:tr>
      <w:tr w:rsidR="005D4A43" w:rsidRPr="005D4A43" w14:paraId="35A0728E" w14:textId="77777777" w:rsidTr="00126F5B">
        <w:tc>
          <w:tcPr>
            <w:tcW w:w="567" w:type="dxa"/>
            <w:shd w:val="clear" w:color="auto" w:fill="B4C6E7" w:themeFill="accent5" w:themeFillTint="66"/>
            <w:vAlign w:val="center"/>
          </w:tcPr>
          <w:p w14:paraId="4BDBBCBE"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47E4AEBF"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851" w:type="dxa"/>
            <w:shd w:val="clear" w:color="auto" w:fill="auto"/>
            <w:vAlign w:val="center"/>
          </w:tcPr>
          <w:p w14:paraId="2B10BA8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16,1</w:t>
            </w:r>
          </w:p>
        </w:tc>
        <w:tc>
          <w:tcPr>
            <w:tcW w:w="992" w:type="dxa"/>
            <w:shd w:val="clear" w:color="auto" w:fill="auto"/>
            <w:vAlign w:val="center"/>
          </w:tcPr>
          <w:p w14:paraId="3BD1223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16,67</w:t>
            </w:r>
          </w:p>
        </w:tc>
        <w:tc>
          <w:tcPr>
            <w:tcW w:w="992" w:type="dxa"/>
            <w:shd w:val="clear" w:color="auto" w:fill="auto"/>
            <w:vAlign w:val="center"/>
          </w:tcPr>
          <w:p w14:paraId="611A68E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16,2</w:t>
            </w:r>
          </w:p>
        </w:tc>
        <w:tc>
          <w:tcPr>
            <w:tcW w:w="992" w:type="dxa"/>
            <w:shd w:val="clear" w:color="auto" w:fill="auto"/>
            <w:vAlign w:val="center"/>
          </w:tcPr>
          <w:p w14:paraId="4D37465A"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16,67 =</w:t>
            </w:r>
          </w:p>
        </w:tc>
        <w:tc>
          <w:tcPr>
            <w:tcW w:w="1134" w:type="dxa"/>
            <w:shd w:val="clear" w:color="auto" w:fill="auto"/>
            <w:vAlign w:val="center"/>
          </w:tcPr>
          <w:p w14:paraId="5C92BBC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8,25</w:t>
            </w:r>
          </w:p>
        </w:tc>
        <w:tc>
          <w:tcPr>
            <w:tcW w:w="1134" w:type="dxa"/>
            <w:shd w:val="clear" w:color="auto" w:fill="auto"/>
            <w:vAlign w:val="center"/>
          </w:tcPr>
          <w:p w14:paraId="043A3C9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10,8 ↑</w:t>
            </w:r>
          </w:p>
        </w:tc>
        <w:tc>
          <w:tcPr>
            <w:tcW w:w="1843" w:type="dxa"/>
            <w:shd w:val="clear" w:color="auto" w:fill="auto"/>
            <w:vAlign w:val="center"/>
          </w:tcPr>
          <w:p w14:paraId="49329C3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5D4A43" w:rsidRPr="005D4A43" w14:paraId="33266917" w14:textId="77777777" w:rsidTr="00126F5B">
        <w:tc>
          <w:tcPr>
            <w:tcW w:w="567" w:type="dxa"/>
            <w:vAlign w:val="center"/>
          </w:tcPr>
          <w:p w14:paraId="6757735F"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shd w:val="clear" w:color="auto" w:fill="auto"/>
            <w:vAlign w:val="center"/>
          </w:tcPr>
          <w:p w14:paraId="20F1EFC9"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851" w:type="dxa"/>
            <w:shd w:val="clear" w:color="auto" w:fill="auto"/>
            <w:vAlign w:val="center"/>
          </w:tcPr>
          <w:p w14:paraId="7C88B78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23F68BA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14,53</w:t>
            </w:r>
          </w:p>
        </w:tc>
        <w:tc>
          <w:tcPr>
            <w:tcW w:w="992" w:type="dxa"/>
            <w:shd w:val="clear" w:color="auto" w:fill="auto"/>
            <w:vAlign w:val="center"/>
          </w:tcPr>
          <w:p w14:paraId="4457F05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16</w:t>
            </w:r>
          </w:p>
        </w:tc>
        <w:tc>
          <w:tcPr>
            <w:tcW w:w="992" w:type="dxa"/>
            <w:shd w:val="clear" w:color="auto" w:fill="auto"/>
            <w:vAlign w:val="center"/>
          </w:tcPr>
          <w:p w14:paraId="7CAB0FD1"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16,01 ↑</w:t>
            </w:r>
          </w:p>
        </w:tc>
        <w:tc>
          <w:tcPr>
            <w:tcW w:w="1134" w:type="dxa"/>
            <w:shd w:val="clear" w:color="auto" w:fill="auto"/>
            <w:vAlign w:val="center"/>
          </w:tcPr>
          <w:p w14:paraId="498AAE3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79,2</w:t>
            </w:r>
          </w:p>
        </w:tc>
        <w:tc>
          <w:tcPr>
            <w:tcW w:w="1134" w:type="dxa"/>
            <w:shd w:val="clear" w:color="auto" w:fill="auto"/>
            <w:vAlign w:val="center"/>
          </w:tcPr>
          <w:p w14:paraId="6849BC4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80,5 ↑</w:t>
            </w:r>
          </w:p>
        </w:tc>
        <w:tc>
          <w:tcPr>
            <w:tcW w:w="1843" w:type="dxa"/>
            <w:shd w:val="clear" w:color="auto" w:fill="auto"/>
            <w:vAlign w:val="center"/>
          </w:tcPr>
          <w:p w14:paraId="6FC9FE1C" w14:textId="77777777" w:rsidR="005D4A43" w:rsidRPr="005D4A43" w:rsidRDefault="005D4A43" w:rsidP="005D4A43">
            <w:pPr>
              <w:jc w:val="center"/>
              <w:rPr>
                <w:rFonts w:cs="Times New Roman"/>
                <w:color w:val="000000"/>
                <w:sz w:val="24"/>
                <w:szCs w:val="24"/>
              </w:rPr>
            </w:pPr>
            <w:r w:rsidRPr="005D4A43">
              <w:rPr>
                <w:rFonts w:cs="Times New Roman"/>
                <w:color w:val="000000"/>
              </w:rPr>
              <w:t>↑ ↑</w:t>
            </w:r>
          </w:p>
        </w:tc>
      </w:tr>
      <w:tr w:rsidR="005D4A43" w:rsidRPr="005D4A43" w14:paraId="623749D6" w14:textId="77777777" w:rsidTr="00126F5B">
        <w:tc>
          <w:tcPr>
            <w:tcW w:w="567" w:type="dxa"/>
            <w:shd w:val="clear" w:color="auto" w:fill="B4C6E7" w:themeFill="accent5" w:themeFillTint="66"/>
            <w:vAlign w:val="center"/>
          </w:tcPr>
          <w:p w14:paraId="639A6701" w14:textId="77777777" w:rsidR="005D4A43" w:rsidRPr="005D4A43" w:rsidRDefault="005D4A43" w:rsidP="005D4A43">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shd w:val="clear" w:color="auto" w:fill="B4C6E7" w:themeFill="accent5" w:themeFillTint="66"/>
            <w:vAlign w:val="center"/>
          </w:tcPr>
          <w:p w14:paraId="356E6E6D"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851" w:type="dxa"/>
            <w:shd w:val="clear" w:color="auto" w:fill="auto"/>
            <w:vAlign w:val="center"/>
          </w:tcPr>
          <w:p w14:paraId="688F160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11,7</w:t>
            </w:r>
          </w:p>
        </w:tc>
        <w:tc>
          <w:tcPr>
            <w:tcW w:w="992" w:type="dxa"/>
            <w:shd w:val="clear" w:color="auto" w:fill="auto"/>
            <w:vAlign w:val="center"/>
          </w:tcPr>
          <w:p w14:paraId="544BE60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11,9</w:t>
            </w:r>
          </w:p>
        </w:tc>
        <w:tc>
          <w:tcPr>
            <w:tcW w:w="992" w:type="dxa"/>
            <w:shd w:val="clear" w:color="auto" w:fill="auto"/>
            <w:vAlign w:val="center"/>
          </w:tcPr>
          <w:p w14:paraId="7EC36C5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14,2</w:t>
            </w:r>
          </w:p>
        </w:tc>
        <w:tc>
          <w:tcPr>
            <w:tcW w:w="992" w:type="dxa"/>
            <w:shd w:val="clear" w:color="auto" w:fill="auto"/>
            <w:vAlign w:val="center"/>
          </w:tcPr>
          <w:p w14:paraId="2A1FED05"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15,1 ↑</w:t>
            </w:r>
          </w:p>
        </w:tc>
        <w:tc>
          <w:tcPr>
            <w:tcW w:w="1134" w:type="dxa"/>
            <w:shd w:val="clear" w:color="auto" w:fill="auto"/>
            <w:vAlign w:val="center"/>
          </w:tcPr>
          <w:p w14:paraId="25D4A14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36,4</w:t>
            </w:r>
          </w:p>
        </w:tc>
        <w:tc>
          <w:tcPr>
            <w:tcW w:w="1134" w:type="dxa"/>
            <w:shd w:val="clear" w:color="auto" w:fill="auto"/>
            <w:vAlign w:val="center"/>
          </w:tcPr>
          <w:p w14:paraId="693BC6B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30,8 ↓</w:t>
            </w:r>
          </w:p>
        </w:tc>
        <w:tc>
          <w:tcPr>
            <w:tcW w:w="1843" w:type="dxa"/>
            <w:shd w:val="clear" w:color="auto" w:fill="FFC000"/>
            <w:vAlign w:val="center"/>
          </w:tcPr>
          <w:p w14:paraId="3542E426" w14:textId="77777777" w:rsidR="005D4A43" w:rsidRPr="005D4A43" w:rsidRDefault="005D4A43" w:rsidP="005D4A43">
            <w:pPr>
              <w:jc w:val="center"/>
              <w:rPr>
                <w:rFonts w:cs="Times New Roman"/>
                <w:color w:val="000000"/>
                <w:sz w:val="24"/>
                <w:szCs w:val="24"/>
              </w:rPr>
            </w:pPr>
            <w:r w:rsidRPr="005D4A43">
              <w:rPr>
                <w:rFonts w:cs="Times New Roman"/>
                <w:color w:val="000000"/>
              </w:rPr>
              <w:t>↑ ↓</w:t>
            </w:r>
          </w:p>
        </w:tc>
      </w:tr>
      <w:tr w:rsidR="005D4A43" w:rsidRPr="005D4A43" w14:paraId="78E2114F" w14:textId="77777777" w:rsidTr="00126F5B">
        <w:tc>
          <w:tcPr>
            <w:tcW w:w="567" w:type="dxa"/>
            <w:shd w:val="clear" w:color="auto" w:fill="B4C6E7" w:themeFill="accent5" w:themeFillTint="66"/>
            <w:vAlign w:val="center"/>
          </w:tcPr>
          <w:p w14:paraId="7E18943E" w14:textId="77777777" w:rsidR="005D4A43" w:rsidRPr="005D4A43" w:rsidRDefault="005D4A43" w:rsidP="005D4A43">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shd w:val="clear" w:color="auto" w:fill="B4C6E7" w:themeFill="accent5" w:themeFillTint="66"/>
            <w:vAlign w:val="center"/>
          </w:tcPr>
          <w:p w14:paraId="0FFC183F"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851" w:type="dxa"/>
            <w:shd w:val="clear" w:color="auto" w:fill="auto"/>
            <w:vAlign w:val="center"/>
          </w:tcPr>
          <w:p w14:paraId="553AD6F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4D55B6C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11</w:t>
            </w:r>
          </w:p>
        </w:tc>
        <w:tc>
          <w:tcPr>
            <w:tcW w:w="992" w:type="dxa"/>
            <w:shd w:val="clear" w:color="auto" w:fill="auto"/>
            <w:vAlign w:val="center"/>
          </w:tcPr>
          <w:p w14:paraId="6C5172C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0BACA2D2"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15 ↑</w:t>
            </w:r>
          </w:p>
        </w:tc>
        <w:tc>
          <w:tcPr>
            <w:tcW w:w="1134" w:type="dxa"/>
            <w:shd w:val="clear" w:color="auto" w:fill="auto"/>
            <w:vAlign w:val="center"/>
          </w:tcPr>
          <w:p w14:paraId="78EF0F0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35</w:t>
            </w:r>
          </w:p>
        </w:tc>
        <w:tc>
          <w:tcPr>
            <w:tcW w:w="1134" w:type="dxa"/>
            <w:shd w:val="clear" w:color="auto" w:fill="auto"/>
            <w:vAlign w:val="center"/>
          </w:tcPr>
          <w:p w14:paraId="062171D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32,4 ↓</w:t>
            </w:r>
          </w:p>
        </w:tc>
        <w:tc>
          <w:tcPr>
            <w:tcW w:w="1843" w:type="dxa"/>
            <w:shd w:val="clear" w:color="auto" w:fill="FFC000"/>
            <w:vAlign w:val="center"/>
          </w:tcPr>
          <w:p w14:paraId="4C19125B" w14:textId="77777777" w:rsidR="005D4A43" w:rsidRPr="005D4A43" w:rsidRDefault="005D4A43" w:rsidP="005D4A43">
            <w:pPr>
              <w:jc w:val="center"/>
              <w:rPr>
                <w:rFonts w:cs="Times New Roman"/>
                <w:color w:val="000000"/>
                <w:sz w:val="24"/>
                <w:szCs w:val="24"/>
              </w:rPr>
            </w:pPr>
            <w:r w:rsidRPr="005D4A43">
              <w:rPr>
                <w:rFonts w:cs="Times New Roman"/>
                <w:color w:val="000000"/>
              </w:rPr>
              <w:t>↑ ↓</w:t>
            </w:r>
          </w:p>
        </w:tc>
      </w:tr>
      <w:tr w:rsidR="005D4A43" w:rsidRPr="005D4A43" w14:paraId="61B2AAD2" w14:textId="77777777" w:rsidTr="00126F5B">
        <w:tc>
          <w:tcPr>
            <w:tcW w:w="567" w:type="dxa"/>
            <w:shd w:val="clear" w:color="auto" w:fill="B4C6E7" w:themeFill="accent5" w:themeFillTint="66"/>
            <w:vAlign w:val="center"/>
          </w:tcPr>
          <w:p w14:paraId="13BF0541" w14:textId="77777777" w:rsidR="005D4A43" w:rsidRPr="005D4A43" w:rsidRDefault="005D4A43" w:rsidP="005D4A43">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shd w:val="clear" w:color="auto" w:fill="B4C6E7" w:themeFill="accent5" w:themeFillTint="66"/>
            <w:vAlign w:val="center"/>
          </w:tcPr>
          <w:p w14:paraId="22394457"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851" w:type="dxa"/>
            <w:shd w:val="clear" w:color="auto" w:fill="auto"/>
            <w:vAlign w:val="center"/>
          </w:tcPr>
          <w:p w14:paraId="09FF7A2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28FDD4A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2CD3E42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57E3C18B"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14 ↑</w:t>
            </w:r>
          </w:p>
        </w:tc>
        <w:tc>
          <w:tcPr>
            <w:tcW w:w="1134" w:type="dxa"/>
            <w:shd w:val="clear" w:color="auto" w:fill="auto"/>
            <w:vAlign w:val="center"/>
          </w:tcPr>
          <w:p w14:paraId="5784DF7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21</w:t>
            </w:r>
          </w:p>
        </w:tc>
        <w:tc>
          <w:tcPr>
            <w:tcW w:w="1134" w:type="dxa"/>
            <w:shd w:val="clear" w:color="auto" w:fill="auto"/>
            <w:vAlign w:val="center"/>
          </w:tcPr>
          <w:p w14:paraId="1F7EB12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auto"/>
            <w:vAlign w:val="center"/>
          </w:tcPr>
          <w:p w14:paraId="5A5DF5FC" w14:textId="77777777" w:rsidR="005D4A43" w:rsidRPr="005D4A43" w:rsidRDefault="005D4A43" w:rsidP="005D4A43">
            <w:pPr>
              <w:jc w:val="center"/>
              <w:rPr>
                <w:rFonts w:cs="Times New Roman"/>
                <w:color w:val="000000"/>
                <w:sz w:val="24"/>
                <w:szCs w:val="24"/>
              </w:rPr>
            </w:pPr>
            <w:r w:rsidRPr="005D4A43">
              <w:rPr>
                <w:rFonts w:cs="Times New Roman"/>
                <w:color w:val="000000"/>
              </w:rPr>
              <w:t>↑ ↑</w:t>
            </w:r>
          </w:p>
        </w:tc>
      </w:tr>
      <w:tr w:rsidR="005D4A43" w:rsidRPr="005D4A43" w14:paraId="3651F176" w14:textId="77777777" w:rsidTr="00126F5B">
        <w:tc>
          <w:tcPr>
            <w:tcW w:w="567" w:type="dxa"/>
            <w:shd w:val="clear" w:color="auto" w:fill="B4C6E7" w:themeFill="accent5" w:themeFillTint="66"/>
            <w:vAlign w:val="center"/>
          </w:tcPr>
          <w:p w14:paraId="1E50382C"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shd w:val="clear" w:color="auto" w:fill="B4C6E7" w:themeFill="accent5" w:themeFillTint="66"/>
            <w:vAlign w:val="center"/>
          </w:tcPr>
          <w:p w14:paraId="0687A975"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851" w:type="dxa"/>
            <w:shd w:val="clear" w:color="auto" w:fill="auto"/>
            <w:vAlign w:val="center"/>
          </w:tcPr>
          <w:p w14:paraId="1D7CAD3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530D19C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38A2AD2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13,7</w:t>
            </w:r>
          </w:p>
        </w:tc>
        <w:tc>
          <w:tcPr>
            <w:tcW w:w="992" w:type="dxa"/>
            <w:shd w:val="clear" w:color="auto" w:fill="auto"/>
            <w:vAlign w:val="center"/>
          </w:tcPr>
          <w:p w14:paraId="53D8898D"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13,7 ↑</w:t>
            </w:r>
          </w:p>
        </w:tc>
        <w:tc>
          <w:tcPr>
            <w:tcW w:w="1134" w:type="dxa"/>
            <w:shd w:val="clear" w:color="auto" w:fill="auto"/>
            <w:vAlign w:val="center"/>
          </w:tcPr>
          <w:p w14:paraId="3521D9C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38</w:t>
            </w:r>
          </w:p>
        </w:tc>
        <w:tc>
          <w:tcPr>
            <w:tcW w:w="1134" w:type="dxa"/>
            <w:shd w:val="clear" w:color="auto" w:fill="auto"/>
            <w:vAlign w:val="center"/>
          </w:tcPr>
          <w:p w14:paraId="6EABEB1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FFC000"/>
            <w:vAlign w:val="center"/>
          </w:tcPr>
          <w:p w14:paraId="546809EF" w14:textId="77777777" w:rsidR="005D4A43" w:rsidRPr="005D4A43" w:rsidRDefault="005D4A43" w:rsidP="005D4A43">
            <w:pPr>
              <w:jc w:val="center"/>
              <w:rPr>
                <w:rFonts w:cs="Times New Roman"/>
                <w:color w:val="000000"/>
                <w:sz w:val="24"/>
                <w:szCs w:val="24"/>
              </w:rPr>
            </w:pPr>
            <w:r w:rsidRPr="005D4A43">
              <w:rPr>
                <w:rFonts w:cs="Times New Roman"/>
                <w:color w:val="000000"/>
              </w:rPr>
              <w:t>↑ ↓</w:t>
            </w:r>
          </w:p>
        </w:tc>
      </w:tr>
    </w:tbl>
    <w:p w14:paraId="00A91B54"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812BD8">
        <w:rPr>
          <w:rFonts w:ascii="Times New Roman" w:hAnsi="Times New Roman" w:cs="Times New Roman"/>
          <w:b/>
          <w:sz w:val="28"/>
          <w:szCs w:val="28"/>
        </w:rPr>
        <w:t>услуг</w:t>
      </w:r>
      <w:r w:rsidRPr="005D4A43">
        <w:rPr>
          <w:rFonts w:ascii="Times New Roman" w:hAnsi="Times New Roman" w:cs="Times New Roman"/>
          <w:b/>
          <w:i/>
          <w:sz w:val="28"/>
          <w:szCs w:val="28"/>
        </w:rPr>
        <w:t xml:space="preserve"> </w:t>
      </w:r>
      <w:r w:rsidRPr="00812BD8">
        <w:rPr>
          <w:rFonts w:ascii="Times New Roman" w:hAnsi="Times New Roman" w:cs="Times New Roman"/>
          <w:b/>
          <w:sz w:val="28"/>
          <w:szCs w:val="28"/>
        </w:rPr>
        <w:t>психолого-педагогического сопровождения детей с ограниченными возможностями здоровья</w:t>
      </w:r>
      <w:r w:rsidRPr="00812BD8">
        <w:rPr>
          <w:rFonts w:ascii="Times New Roman" w:hAnsi="Times New Roman" w:cs="Times New Roman"/>
          <w:sz w:val="28"/>
          <w:szCs w:val="28"/>
        </w:rPr>
        <w:t xml:space="preserve"> в </w:t>
      </w:r>
      <w:r w:rsidRPr="00812BD8">
        <w:rPr>
          <w:rFonts w:ascii="Times New Roman" w:hAnsi="Times New Roman" w:cs="Times New Roman"/>
          <w:b/>
          <w:color w:val="000000"/>
          <w:sz w:val="28"/>
          <w:szCs w:val="28"/>
        </w:rPr>
        <w:t>Республике Саха (Якутия), Чувашской Республике, Новосибирской, Свердловской и Томской областях</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этом в субъектах Российской Федерации растут фактические значения присутствия организаций частной формы собственности на рынке. </w:t>
      </w:r>
    </w:p>
    <w:p w14:paraId="728A28B9"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b/>
          <w:color w:val="000000"/>
          <w:sz w:val="28"/>
          <w:szCs w:val="28"/>
        </w:rPr>
        <w:t>Московская область, Ставропольский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39493ECA"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49FA9AE2"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2E149F3A"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682D46B7" w14:textId="11800294"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85 субъектов Российской Федерации в 52 регионах (61 % субъектов </w:t>
      </w:r>
      <w:r w:rsidR="006C1D5D" w:rsidRPr="005D4A43">
        <w:rPr>
          <w:rFonts w:ascii="Times New Roman" w:hAnsi="Times New Roman" w:cs="Times New Roman"/>
          <w:sz w:val="28"/>
          <w:szCs w:val="28"/>
        </w:rPr>
        <w:t>Р</w:t>
      </w:r>
      <w:r w:rsidR="006C1D5D">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sidR="006C1D5D">
        <w:rPr>
          <w:rFonts w:ascii="Times New Roman" w:hAnsi="Times New Roman" w:cs="Times New Roman"/>
          <w:sz w:val="28"/>
          <w:szCs w:val="28"/>
        </w:rPr>
        <w:t>едерации</w:t>
      </w:r>
      <w:r w:rsidRPr="005D4A43">
        <w:rPr>
          <w:rFonts w:ascii="Times New Roman" w:hAnsi="Times New Roman" w:cs="Times New Roman"/>
          <w:sz w:val="28"/>
          <w:szCs w:val="28"/>
        </w:rPr>
        <w:t xml:space="preserve">) удовлетворенность потребителей на рынке менее 50 %. </w:t>
      </w:r>
    </w:p>
    <w:p w14:paraId="2BFEC1BC"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 рынку 16 регионами. </w:t>
      </w:r>
    </w:p>
    <w:p w14:paraId="675B084F" w14:textId="77777777" w:rsidR="005D4A43" w:rsidRPr="005D4A43" w:rsidRDefault="005D4A43" w:rsidP="005D4A43">
      <w:pPr>
        <w:spacing w:after="0" w:line="240" w:lineRule="auto"/>
        <w:ind w:firstLine="709"/>
        <w:jc w:val="both"/>
        <w:rPr>
          <w:rFonts w:ascii="Times New Roman" w:hAnsi="Times New Roman" w:cs="Times New Roman"/>
          <w:sz w:val="24"/>
          <w:szCs w:val="24"/>
        </w:rPr>
      </w:pPr>
    </w:p>
    <w:p w14:paraId="2A5AB5B0" w14:textId="77777777" w:rsidR="005D4A43" w:rsidRPr="006C1D5D" w:rsidRDefault="005D4A43" w:rsidP="005D4A43">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4. Рынок медицинских услуг</w:t>
      </w:r>
    </w:p>
    <w:p w14:paraId="74F8E57E" w14:textId="77777777" w:rsidR="005D4A43" w:rsidRPr="005D4A43" w:rsidRDefault="005D4A43" w:rsidP="005D4A43">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 (процентов)</w:t>
      </w:r>
    </w:p>
    <w:p w14:paraId="0B891AB2" w14:textId="77777777" w:rsidR="005D4A43" w:rsidRPr="005D4A43" w:rsidRDefault="005D4A43" w:rsidP="005D4A43">
      <w:pPr>
        <w:tabs>
          <w:tab w:val="left" w:pos="3516"/>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4"/>
          <w:szCs w:val="24"/>
        </w:rPr>
        <w:tab/>
      </w:r>
    </w:p>
    <w:tbl>
      <w:tblPr>
        <w:tblStyle w:val="afa"/>
        <w:tblW w:w="10915" w:type="dxa"/>
        <w:tblInd w:w="-1139" w:type="dxa"/>
        <w:tblLayout w:type="fixed"/>
        <w:tblLook w:val="04A0" w:firstRow="1" w:lastRow="0" w:firstColumn="1" w:lastColumn="0" w:noHBand="0" w:noVBand="1"/>
      </w:tblPr>
      <w:tblGrid>
        <w:gridCol w:w="567"/>
        <w:gridCol w:w="2410"/>
        <w:gridCol w:w="992"/>
        <w:gridCol w:w="993"/>
        <w:gridCol w:w="992"/>
        <w:gridCol w:w="992"/>
        <w:gridCol w:w="1134"/>
        <w:gridCol w:w="1134"/>
        <w:gridCol w:w="1701"/>
      </w:tblGrid>
      <w:tr w:rsidR="005D4A43" w:rsidRPr="005D4A43" w14:paraId="57D0BF8D" w14:textId="77777777" w:rsidTr="00126F5B">
        <w:trPr>
          <w:trHeight w:val="1159"/>
          <w:tblHeader/>
        </w:trPr>
        <w:tc>
          <w:tcPr>
            <w:tcW w:w="567" w:type="dxa"/>
            <w:vMerge w:val="restart"/>
            <w:shd w:val="clear" w:color="auto" w:fill="DEEAF6" w:themeFill="accent1" w:themeFillTint="33"/>
            <w:vAlign w:val="center"/>
          </w:tcPr>
          <w:p w14:paraId="25D1E553"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410" w:type="dxa"/>
            <w:vMerge w:val="restart"/>
            <w:shd w:val="clear" w:color="auto" w:fill="DEEAF6" w:themeFill="accent1" w:themeFillTint="33"/>
            <w:vAlign w:val="center"/>
          </w:tcPr>
          <w:p w14:paraId="00575FA6"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32FD0326" w14:textId="77777777" w:rsidR="005D4A43" w:rsidRPr="005D4A43" w:rsidRDefault="005D4A43" w:rsidP="005D4A43">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2F6EAA37"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4384C6F0"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5D4A43" w:rsidRPr="005D4A43" w14:paraId="5085BC4F" w14:textId="77777777" w:rsidTr="00126F5B">
        <w:trPr>
          <w:trHeight w:val="177"/>
          <w:tblHeader/>
        </w:trPr>
        <w:tc>
          <w:tcPr>
            <w:tcW w:w="567" w:type="dxa"/>
            <w:vMerge/>
            <w:shd w:val="clear" w:color="auto" w:fill="DEEAF6" w:themeFill="accent1" w:themeFillTint="33"/>
            <w:vAlign w:val="center"/>
          </w:tcPr>
          <w:p w14:paraId="7E51604E" w14:textId="77777777" w:rsidR="005D4A43" w:rsidRPr="005D4A43" w:rsidRDefault="005D4A43" w:rsidP="005D4A43">
            <w:pPr>
              <w:jc w:val="both"/>
              <w:rPr>
                <w:rFonts w:ascii="Times New Roman" w:hAnsi="Times New Roman" w:cs="Times New Roman"/>
                <w:b/>
                <w:sz w:val="24"/>
                <w:szCs w:val="24"/>
              </w:rPr>
            </w:pPr>
          </w:p>
        </w:tc>
        <w:tc>
          <w:tcPr>
            <w:tcW w:w="2410" w:type="dxa"/>
            <w:vMerge/>
            <w:shd w:val="clear" w:color="auto" w:fill="DEEAF6" w:themeFill="accent1" w:themeFillTint="33"/>
            <w:vAlign w:val="center"/>
          </w:tcPr>
          <w:p w14:paraId="12E8999C" w14:textId="77777777" w:rsidR="005D4A43" w:rsidRPr="005D4A43" w:rsidRDefault="005D4A43" w:rsidP="005D4A43">
            <w:pPr>
              <w:jc w:val="both"/>
              <w:rPr>
                <w:rFonts w:ascii="Times New Roman" w:hAnsi="Times New Roman" w:cs="Times New Roman"/>
                <w:b/>
                <w:sz w:val="24"/>
                <w:szCs w:val="24"/>
              </w:rPr>
            </w:pPr>
          </w:p>
        </w:tc>
        <w:tc>
          <w:tcPr>
            <w:tcW w:w="992" w:type="dxa"/>
            <w:shd w:val="clear" w:color="auto" w:fill="DEEAF6" w:themeFill="accent1" w:themeFillTint="33"/>
            <w:vAlign w:val="center"/>
          </w:tcPr>
          <w:p w14:paraId="0059A029"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0961F800"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0E73C6D6"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0A9FAF64"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2B1847A3"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5D81122A"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BA2C490"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6E5BAEA9"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vAlign w:val="center"/>
          </w:tcPr>
          <w:p w14:paraId="4E488E3E" w14:textId="77777777" w:rsidR="005D4A43" w:rsidRPr="005D4A43" w:rsidRDefault="005D4A43" w:rsidP="005D4A43">
            <w:pPr>
              <w:jc w:val="both"/>
              <w:rPr>
                <w:rFonts w:ascii="Times New Roman" w:hAnsi="Times New Roman" w:cs="Times New Roman"/>
                <w:b/>
                <w:sz w:val="24"/>
                <w:szCs w:val="24"/>
              </w:rPr>
            </w:pPr>
          </w:p>
        </w:tc>
      </w:tr>
      <w:tr w:rsidR="005D4A43" w:rsidRPr="005D4A43" w14:paraId="70D4EC15"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35961018"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8F44A0D"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C9ACB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32</w:t>
            </w:r>
          </w:p>
        </w:tc>
        <w:tc>
          <w:tcPr>
            <w:tcW w:w="993" w:type="dxa"/>
            <w:tcBorders>
              <w:top w:val="single" w:sz="4" w:space="0" w:color="auto"/>
              <w:left w:val="nil"/>
              <w:bottom w:val="single" w:sz="4" w:space="0" w:color="auto"/>
              <w:right w:val="single" w:sz="4" w:space="0" w:color="auto"/>
            </w:tcBorders>
            <w:shd w:val="clear" w:color="auto" w:fill="auto"/>
            <w:vAlign w:val="center"/>
          </w:tcPr>
          <w:p w14:paraId="09F2BF3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32,1</w:t>
            </w:r>
          </w:p>
        </w:tc>
        <w:tc>
          <w:tcPr>
            <w:tcW w:w="992" w:type="dxa"/>
            <w:tcBorders>
              <w:top w:val="single" w:sz="4" w:space="0" w:color="auto"/>
              <w:left w:val="nil"/>
              <w:bottom w:val="single" w:sz="4" w:space="0" w:color="auto"/>
              <w:right w:val="single" w:sz="4" w:space="0" w:color="auto"/>
            </w:tcBorders>
            <w:shd w:val="clear" w:color="auto" w:fill="auto"/>
            <w:vAlign w:val="center"/>
          </w:tcPr>
          <w:p w14:paraId="409E94A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34</w:t>
            </w:r>
          </w:p>
        </w:tc>
        <w:tc>
          <w:tcPr>
            <w:tcW w:w="992" w:type="dxa"/>
            <w:tcBorders>
              <w:top w:val="single" w:sz="4" w:space="0" w:color="auto"/>
              <w:left w:val="nil"/>
              <w:bottom w:val="single" w:sz="4" w:space="0" w:color="auto"/>
              <w:right w:val="single" w:sz="4" w:space="0" w:color="auto"/>
            </w:tcBorders>
            <w:shd w:val="clear" w:color="auto" w:fill="auto"/>
            <w:vAlign w:val="center"/>
          </w:tcPr>
          <w:p w14:paraId="1EBA4F59" w14:textId="77777777" w:rsidR="005D4A43" w:rsidRPr="005D4A43" w:rsidRDefault="005D4A43" w:rsidP="005D4A43">
            <w:pPr>
              <w:jc w:val="center"/>
              <w:rPr>
                <w:rFonts w:cs="Times New Roman"/>
                <w:b/>
                <w:color w:val="000000"/>
                <w:sz w:val="24"/>
                <w:szCs w:val="24"/>
                <w:lang w:val="en-US"/>
              </w:rPr>
            </w:pPr>
            <w:r w:rsidRPr="005D4A43">
              <w:rPr>
                <w:rFonts w:cs="Times New Roman"/>
                <w:b/>
                <w:color w:val="000000"/>
                <w:sz w:val="24"/>
                <w:szCs w:val="24"/>
              </w:rPr>
              <w:t>34</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82BA0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27C7A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23508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5B84B714"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371E5CE"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3389D333"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9780A5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38</w:t>
            </w:r>
          </w:p>
        </w:tc>
        <w:tc>
          <w:tcPr>
            <w:tcW w:w="993" w:type="dxa"/>
            <w:tcBorders>
              <w:top w:val="nil"/>
              <w:left w:val="nil"/>
              <w:bottom w:val="single" w:sz="4" w:space="0" w:color="auto"/>
              <w:right w:val="single" w:sz="4" w:space="0" w:color="auto"/>
            </w:tcBorders>
            <w:shd w:val="clear" w:color="auto" w:fill="auto"/>
            <w:vAlign w:val="center"/>
          </w:tcPr>
          <w:p w14:paraId="1D30A78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6E96F72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39</w:t>
            </w:r>
          </w:p>
        </w:tc>
        <w:tc>
          <w:tcPr>
            <w:tcW w:w="992" w:type="dxa"/>
            <w:tcBorders>
              <w:top w:val="nil"/>
              <w:left w:val="nil"/>
              <w:bottom w:val="single" w:sz="4" w:space="0" w:color="auto"/>
              <w:right w:val="single" w:sz="4" w:space="0" w:color="auto"/>
            </w:tcBorders>
            <w:shd w:val="clear" w:color="auto" w:fill="auto"/>
            <w:vAlign w:val="center"/>
          </w:tcPr>
          <w:p w14:paraId="30944D3D"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24</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4463EE4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24,25</w:t>
            </w:r>
          </w:p>
        </w:tc>
        <w:tc>
          <w:tcPr>
            <w:tcW w:w="1134" w:type="dxa"/>
            <w:tcBorders>
              <w:top w:val="nil"/>
              <w:left w:val="nil"/>
              <w:bottom w:val="single" w:sz="4" w:space="0" w:color="auto"/>
              <w:right w:val="single" w:sz="4" w:space="0" w:color="auto"/>
            </w:tcBorders>
            <w:shd w:val="clear" w:color="auto" w:fill="auto"/>
            <w:vAlign w:val="center"/>
          </w:tcPr>
          <w:p w14:paraId="48BA1BA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33,95</w:t>
            </w:r>
            <w:r w:rsidRPr="005D4A43">
              <w:rPr>
                <w:rFonts w:cs="Times New Roman"/>
                <w:color w:val="000000"/>
                <w:sz w:val="24"/>
                <w:szCs w:val="24"/>
                <w:lang w:val="en-US"/>
              </w:rPr>
              <w:t xml:space="preserve"> ↑</w:t>
            </w:r>
          </w:p>
        </w:tc>
        <w:tc>
          <w:tcPr>
            <w:tcW w:w="1701" w:type="dxa"/>
            <w:tcBorders>
              <w:top w:val="single" w:sz="4" w:space="0" w:color="auto"/>
              <w:left w:val="nil"/>
              <w:bottom w:val="nil"/>
              <w:right w:val="single" w:sz="4" w:space="0" w:color="auto"/>
            </w:tcBorders>
            <w:shd w:val="clear" w:color="auto" w:fill="auto"/>
            <w:vAlign w:val="center"/>
          </w:tcPr>
          <w:p w14:paraId="26C4808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5D4A43" w:rsidRPr="005D4A43" w14:paraId="49757BCB"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D705EE6"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p w14:paraId="2AF54EDC" w14:textId="77777777" w:rsidR="005D4A43" w:rsidRPr="005D4A43" w:rsidRDefault="005D4A43" w:rsidP="005D4A43">
            <w:pPr>
              <w:jc w:val="center"/>
              <w:rPr>
                <w:rFonts w:ascii="Times New Roman" w:hAnsi="Times New Roman" w:cs="Times New Roman"/>
                <w:color w:val="000000"/>
                <w:sz w:val="24"/>
                <w:szCs w:val="24"/>
              </w:rPr>
            </w:pP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1FDF1555"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C42155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5,6</w:t>
            </w:r>
          </w:p>
        </w:tc>
        <w:tc>
          <w:tcPr>
            <w:tcW w:w="993" w:type="dxa"/>
            <w:tcBorders>
              <w:top w:val="nil"/>
              <w:left w:val="nil"/>
              <w:bottom w:val="single" w:sz="4" w:space="0" w:color="auto"/>
              <w:right w:val="single" w:sz="4" w:space="0" w:color="auto"/>
            </w:tcBorders>
            <w:shd w:val="clear" w:color="auto" w:fill="auto"/>
            <w:vAlign w:val="center"/>
          </w:tcPr>
          <w:p w14:paraId="1E38FAE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vAlign w:val="center"/>
          </w:tcPr>
          <w:p w14:paraId="0AFD488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5,7</w:t>
            </w:r>
          </w:p>
        </w:tc>
        <w:tc>
          <w:tcPr>
            <w:tcW w:w="992" w:type="dxa"/>
            <w:tcBorders>
              <w:top w:val="nil"/>
              <w:left w:val="nil"/>
              <w:bottom w:val="single" w:sz="4" w:space="0" w:color="auto"/>
              <w:right w:val="single" w:sz="4" w:space="0" w:color="auto"/>
            </w:tcBorders>
            <w:shd w:val="clear" w:color="auto" w:fill="auto"/>
            <w:vAlign w:val="center"/>
          </w:tcPr>
          <w:p w14:paraId="31D44520"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11,2</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376CAD8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18,35</w:t>
            </w:r>
          </w:p>
        </w:tc>
        <w:tc>
          <w:tcPr>
            <w:tcW w:w="1134" w:type="dxa"/>
            <w:tcBorders>
              <w:top w:val="nil"/>
              <w:left w:val="nil"/>
              <w:bottom w:val="single" w:sz="4" w:space="0" w:color="auto"/>
              <w:right w:val="single" w:sz="4" w:space="0" w:color="auto"/>
            </w:tcBorders>
            <w:shd w:val="clear" w:color="auto" w:fill="auto"/>
            <w:vAlign w:val="center"/>
          </w:tcPr>
          <w:p w14:paraId="5F4AB44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16,45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4FF3725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5D4A43" w:rsidRPr="005D4A43" w14:paraId="50285548"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3B1B09F1"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410" w:type="dxa"/>
            <w:tcBorders>
              <w:top w:val="nil"/>
              <w:left w:val="single" w:sz="4" w:space="0" w:color="auto"/>
              <w:bottom w:val="single" w:sz="4" w:space="0" w:color="auto"/>
              <w:right w:val="single" w:sz="4" w:space="0" w:color="auto"/>
            </w:tcBorders>
            <w:shd w:val="clear" w:color="auto" w:fill="auto"/>
            <w:vAlign w:val="center"/>
          </w:tcPr>
          <w:p w14:paraId="17592B4F"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52DF377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58607C5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5,5</w:t>
            </w:r>
          </w:p>
        </w:tc>
        <w:tc>
          <w:tcPr>
            <w:tcW w:w="992" w:type="dxa"/>
            <w:tcBorders>
              <w:top w:val="nil"/>
              <w:left w:val="nil"/>
              <w:bottom w:val="single" w:sz="4" w:space="0" w:color="auto"/>
              <w:right w:val="single" w:sz="4" w:space="0" w:color="auto"/>
            </w:tcBorders>
            <w:shd w:val="clear" w:color="auto" w:fill="auto"/>
            <w:vAlign w:val="center"/>
          </w:tcPr>
          <w:p w14:paraId="088E1B5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4EBB0835"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836B6E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66140AC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9EEFB3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30C7C728"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65C7F00"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158106A8"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1E924D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5,2</w:t>
            </w:r>
          </w:p>
        </w:tc>
        <w:tc>
          <w:tcPr>
            <w:tcW w:w="993" w:type="dxa"/>
            <w:tcBorders>
              <w:top w:val="nil"/>
              <w:left w:val="nil"/>
              <w:bottom w:val="single" w:sz="4" w:space="0" w:color="auto"/>
              <w:right w:val="single" w:sz="4" w:space="0" w:color="auto"/>
            </w:tcBorders>
            <w:shd w:val="clear" w:color="auto" w:fill="auto"/>
            <w:vAlign w:val="center"/>
          </w:tcPr>
          <w:p w14:paraId="3836FC5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307C2E5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vAlign w:val="center"/>
          </w:tcPr>
          <w:p w14:paraId="270B7091"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CEA28C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3E2BBD7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41,2</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F10C0F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3D2B3848"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B3013EF" w14:textId="77777777" w:rsidR="005D4A43" w:rsidRPr="005D4A43" w:rsidRDefault="005D4A43" w:rsidP="005D4A43">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7E799FD2"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1AF53FF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4DA49AC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9,98</w:t>
            </w:r>
          </w:p>
        </w:tc>
        <w:tc>
          <w:tcPr>
            <w:tcW w:w="992" w:type="dxa"/>
            <w:tcBorders>
              <w:top w:val="nil"/>
              <w:left w:val="nil"/>
              <w:bottom w:val="single" w:sz="4" w:space="0" w:color="auto"/>
              <w:right w:val="single" w:sz="4" w:space="0" w:color="auto"/>
            </w:tcBorders>
            <w:shd w:val="clear" w:color="auto" w:fill="auto"/>
            <w:vAlign w:val="center"/>
          </w:tcPr>
          <w:p w14:paraId="3ED1FA1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18750B1F"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D385CE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27,9</w:t>
            </w:r>
          </w:p>
        </w:tc>
        <w:tc>
          <w:tcPr>
            <w:tcW w:w="1134" w:type="dxa"/>
            <w:tcBorders>
              <w:top w:val="nil"/>
              <w:left w:val="nil"/>
              <w:bottom w:val="single" w:sz="4" w:space="0" w:color="auto"/>
              <w:right w:val="single" w:sz="4" w:space="0" w:color="auto"/>
            </w:tcBorders>
            <w:shd w:val="clear" w:color="auto" w:fill="auto"/>
            <w:vAlign w:val="center"/>
          </w:tcPr>
          <w:p w14:paraId="5651166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29,4</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7FD583B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3358C967"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E1B0789"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DFCE365"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Кабардино-Балкарская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59AC5E4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44A89EC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13E131B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413CC3AC"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32B6BE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43D8907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34</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nil"/>
              <w:left w:val="nil"/>
              <w:bottom w:val="single" w:sz="4" w:space="0" w:color="auto"/>
              <w:right w:val="single" w:sz="4" w:space="0" w:color="auto"/>
            </w:tcBorders>
            <w:shd w:val="clear" w:color="auto" w:fill="FFC000"/>
            <w:vAlign w:val="center"/>
          </w:tcPr>
          <w:p w14:paraId="662BA4A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5D4A43" w:rsidRPr="005D4A43" w14:paraId="1A692EDB"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70333E5F"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410" w:type="dxa"/>
            <w:tcBorders>
              <w:top w:val="nil"/>
              <w:left w:val="single" w:sz="4" w:space="0" w:color="auto"/>
              <w:bottom w:val="single" w:sz="4" w:space="0" w:color="auto"/>
              <w:right w:val="single" w:sz="4" w:space="0" w:color="auto"/>
            </w:tcBorders>
            <w:shd w:val="clear" w:color="auto" w:fill="auto"/>
            <w:vAlign w:val="center"/>
          </w:tcPr>
          <w:p w14:paraId="78ECA710"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Чеченская Республика </w:t>
            </w:r>
          </w:p>
        </w:tc>
        <w:tc>
          <w:tcPr>
            <w:tcW w:w="992" w:type="dxa"/>
            <w:tcBorders>
              <w:top w:val="nil"/>
              <w:left w:val="single" w:sz="4" w:space="0" w:color="auto"/>
              <w:bottom w:val="nil"/>
              <w:right w:val="single" w:sz="4" w:space="0" w:color="auto"/>
            </w:tcBorders>
            <w:shd w:val="clear" w:color="auto" w:fill="auto"/>
            <w:vAlign w:val="center"/>
          </w:tcPr>
          <w:p w14:paraId="29D2080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w:t>
            </w:r>
          </w:p>
        </w:tc>
        <w:tc>
          <w:tcPr>
            <w:tcW w:w="993" w:type="dxa"/>
            <w:tcBorders>
              <w:top w:val="nil"/>
              <w:left w:val="nil"/>
              <w:bottom w:val="nil"/>
              <w:right w:val="single" w:sz="4" w:space="0" w:color="auto"/>
            </w:tcBorders>
            <w:shd w:val="clear" w:color="auto" w:fill="auto"/>
            <w:vAlign w:val="center"/>
          </w:tcPr>
          <w:p w14:paraId="798AA7B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nil"/>
              <w:right w:val="single" w:sz="4" w:space="0" w:color="auto"/>
            </w:tcBorders>
            <w:shd w:val="clear" w:color="auto" w:fill="auto"/>
            <w:vAlign w:val="center"/>
          </w:tcPr>
          <w:p w14:paraId="57511A0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5D5F8263"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3419EAA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65</w:t>
            </w:r>
          </w:p>
        </w:tc>
        <w:tc>
          <w:tcPr>
            <w:tcW w:w="1134" w:type="dxa"/>
            <w:tcBorders>
              <w:top w:val="nil"/>
              <w:left w:val="nil"/>
              <w:bottom w:val="nil"/>
              <w:right w:val="single" w:sz="4" w:space="0" w:color="auto"/>
            </w:tcBorders>
            <w:shd w:val="clear" w:color="auto" w:fill="auto"/>
            <w:vAlign w:val="center"/>
          </w:tcPr>
          <w:p w14:paraId="614AF41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80,5</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1382C26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242A4BE1"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03752F0"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757590AF"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3C7F1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7,5</w:t>
            </w:r>
          </w:p>
        </w:tc>
        <w:tc>
          <w:tcPr>
            <w:tcW w:w="993" w:type="dxa"/>
            <w:tcBorders>
              <w:top w:val="single" w:sz="4" w:space="0" w:color="auto"/>
              <w:left w:val="nil"/>
              <w:bottom w:val="single" w:sz="4" w:space="0" w:color="auto"/>
              <w:right w:val="single" w:sz="4" w:space="0" w:color="auto"/>
            </w:tcBorders>
            <w:shd w:val="clear" w:color="auto" w:fill="auto"/>
            <w:vAlign w:val="center"/>
          </w:tcPr>
          <w:p w14:paraId="3DE35B7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7,9</w:t>
            </w:r>
          </w:p>
        </w:tc>
        <w:tc>
          <w:tcPr>
            <w:tcW w:w="992" w:type="dxa"/>
            <w:tcBorders>
              <w:top w:val="single" w:sz="4" w:space="0" w:color="auto"/>
              <w:left w:val="nil"/>
              <w:bottom w:val="single" w:sz="4" w:space="0" w:color="auto"/>
              <w:right w:val="single" w:sz="4" w:space="0" w:color="auto"/>
            </w:tcBorders>
            <w:shd w:val="clear" w:color="auto" w:fill="auto"/>
            <w:vAlign w:val="center"/>
          </w:tcPr>
          <w:p w14:paraId="56387EC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5063977E"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9,48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B78D6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B8469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29,3</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7379D69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5D4A43" w:rsidRPr="005D4A43" w14:paraId="3E300C7B"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05ADB54F"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410" w:type="dxa"/>
            <w:tcBorders>
              <w:top w:val="nil"/>
              <w:left w:val="single" w:sz="4" w:space="0" w:color="auto"/>
              <w:bottom w:val="single" w:sz="4" w:space="0" w:color="auto"/>
              <w:right w:val="single" w:sz="4" w:space="0" w:color="auto"/>
            </w:tcBorders>
            <w:shd w:val="clear" w:color="auto" w:fill="auto"/>
            <w:vAlign w:val="center"/>
          </w:tcPr>
          <w:p w14:paraId="74113E82"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Челябинская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549804E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66FFE4C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01F7C91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tcPr>
          <w:p w14:paraId="19EA05F8"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1F3BEA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35,6</w:t>
            </w:r>
          </w:p>
        </w:tc>
        <w:tc>
          <w:tcPr>
            <w:tcW w:w="1134" w:type="dxa"/>
            <w:tcBorders>
              <w:top w:val="nil"/>
              <w:left w:val="nil"/>
              <w:bottom w:val="single" w:sz="4" w:space="0" w:color="auto"/>
              <w:right w:val="single" w:sz="4" w:space="0" w:color="auto"/>
            </w:tcBorders>
            <w:shd w:val="clear" w:color="auto" w:fill="auto"/>
            <w:vAlign w:val="center"/>
          </w:tcPr>
          <w:p w14:paraId="3EE703E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50,0</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8DCE4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04721883"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45BA07A"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5A284155"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Владимирская область</w:t>
            </w:r>
          </w:p>
        </w:tc>
        <w:tc>
          <w:tcPr>
            <w:tcW w:w="992" w:type="dxa"/>
            <w:tcBorders>
              <w:top w:val="nil"/>
              <w:left w:val="single" w:sz="4" w:space="0" w:color="auto"/>
              <w:bottom w:val="nil"/>
              <w:right w:val="single" w:sz="4" w:space="0" w:color="auto"/>
            </w:tcBorders>
            <w:shd w:val="clear" w:color="auto" w:fill="auto"/>
            <w:vAlign w:val="center"/>
          </w:tcPr>
          <w:p w14:paraId="555F51F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nil"/>
              <w:right w:val="single" w:sz="4" w:space="0" w:color="auto"/>
            </w:tcBorders>
            <w:shd w:val="clear" w:color="auto" w:fill="auto"/>
            <w:vAlign w:val="center"/>
          </w:tcPr>
          <w:p w14:paraId="44D9374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5C2A1C2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5687901C"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8,91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29B070F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23</w:t>
            </w:r>
          </w:p>
        </w:tc>
        <w:tc>
          <w:tcPr>
            <w:tcW w:w="1134" w:type="dxa"/>
            <w:tcBorders>
              <w:top w:val="nil"/>
              <w:left w:val="nil"/>
              <w:bottom w:val="nil"/>
              <w:right w:val="single" w:sz="4" w:space="0" w:color="auto"/>
            </w:tcBorders>
            <w:shd w:val="clear" w:color="auto" w:fill="auto"/>
            <w:vAlign w:val="center"/>
          </w:tcPr>
          <w:p w14:paraId="70EB8C8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23,1</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77BD39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w:t>
            </w:r>
          </w:p>
        </w:tc>
      </w:tr>
      <w:tr w:rsidR="005D4A43" w:rsidRPr="005D4A43" w14:paraId="38695513"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8231157"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45CEF79"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5BEFF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w:t>
            </w:r>
          </w:p>
        </w:tc>
        <w:tc>
          <w:tcPr>
            <w:tcW w:w="993" w:type="dxa"/>
            <w:tcBorders>
              <w:top w:val="single" w:sz="4" w:space="0" w:color="auto"/>
              <w:left w:val="nil"/>
              <w:bottom w:val="single" w:sz="4" w:space="0" w:color="auto"/>
              <w:right w:val="single" w:sz="4" w:space="0" w:color="auto"/>
            </w:tcBorders>
            <w:shd w:val="clear" w:color="auto" w:fill="auto"/>
            <w:vAlign w:val="center"/>
          </w:tcPr>
          <w:p w14:paraId="4E12A07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8,3</w:t>
            </w:r>
          </w:p>
        </w:tc>
        <w:tc>
          <w:tcPr>
            <w:tcW w:w="992" w:type="dxa"/>
            <w:tcBorders>
              <w:top w:val="single" w:sz="4" w:space="0" w:color="auto"/>
              <w:left w:val="nil"/>
              <w:bottom w:val="single" w:sz="4" w:space="0" w:color="auto"/>
              <w:right w:val="single" w:sz="4" w:space="0" w:color="auto"/>
            </w:tcBorders>
            <w:shd w:val="clear" w:color="auto" w:fill="auto"/>
            <w:vAlign w:val="center"/>
          </w:tcPr>
          <w:p w14:paraId="3BA3C49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14BA6F6A"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8,9</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50E7B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D5FF6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25,7</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45B47E9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5D4A43" w:rsidRPr="005D4A43" w14:paraId="2809159C"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3BF19B29"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410" w:type="dxa"/>
            <w:tcBorders>
              <w:top w:val="nil"/>
              <w:left w:val="single" w:sz="4" w:space="0" w:color="auto"/>
              <w:bottom w:val="single" w:sz="4" w:space="0" w:color="auto"/>
              <w:right w:val="single" w:sz="4" w:space="0" w:color="auto"/>
            </w:tcBorders>
            <w:shd w:val="clear" w:color="auto" w:fill="auto"/>
            <w:vAlign w:val="center"/>
          </w:tcPr>
          <w:p w14:paraId="3EDA44E4"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Костромская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691C63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w:t>
            </w:r>
          </w:p>
        </w:tc>
        <w:tc>
          <w:tcPr>
            <w:tcW w:w="993" w:type="dxa"/>
            <w:tcBorders>
              <w:top w:val="nil"/>
              <w:left w:val="nil"/>
              <w:bottom w:val="single" w:sz="4" w:space="0" w:color="auto"/>
              <w:right w:val="single" w:sz="4" w:space="0" w:color="auto"/>
            </w:tcBorders>
            <w:shd w:val="clear" w:color="auto" w:fill="auto"/>
            <w:vAlign w:val="center"/>
          </w:tcPr>
          <w:p w14:paraId="316E926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8,7</w:t>
            </w:r>
          </w:p>
        </w:tc>
        <w:tc>
          <w:tcPr>
            <w:tcW w:w="992" w:type="dxa"/>
            <w:tcBorders>
              <w:top w:val="nil"/>
              <w:left w:val="nil"/>
              <w:bottom w:val="single" w:sz="4" w:space="0" w:color="auto"/>
              <w:right w:val="single" w:sz="4" w:space="0" w:color="auto"/>
            </w:tcBorders>
            <w:shd w:val="clear" w:color="auto" w:fill="auto"/>
            <w:vAlign w:val="center"/>
          </w:tcPr>
          <w:p w14:paraId="79F2A85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6D3123A3"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8,58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1131252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54,5</w:t>
            </w:r>
          </w:p>
        </w:tc>
        <w:tc>
          <w:tcPr>
            <w:tcW w:w="1134" w:type="dxa"/>
            <w:tcBorders>
              <w:top w:val="nil"/>
              <w:left w:val="nil"/>
              <w:bottom w:val="single" w:sz="4" w:space="0" w:color="auto"/>
              <w:right w:val="single" w:sz="4" w:space="0" w:color="auto"/>
            </w:tcBorders>
            <w:shd w:val="clear" w:color="auto" w:fill="auto"/>
            <w:vAlign w:val="center"/>
          </w:tcPr>
          <w:p w14:paraId="256BAD5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57,3</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E526A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5D4A43" w:rsidRPr="005D4A43" w14:paraId="04F563D5"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F8ED0F1"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F2B480"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034B3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w:t>
            </w:r>
          </w:p>
        </w:tc>
        <w:tc>
          <w:tcPr>
            <w:tcW w:w="993" w:type="dxa"/>
            <w:tcBorders>
              <w:top w:val="single" w:sz="4" w:space="0" w:color="auto"/>
              <w:left w:val="nil"/>
              <w:bottom w:val="single" w:sz="4" w:space="0" w:color="auto"/>
              <w:right w:val="single" w:sz="4" w:space="0" w:color="auto"/>
            </w:tcBorders>
            <w:shd w:val="clear" w:color="auto" w:fill="auto"/>
            <w:vAlign w:val="center"/>
          </w:tcPr>
          <w:p w14:paraId="2F69907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7FD7048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76D4D7AC"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62E9C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47,4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AF60B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47,2</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4A1E3C2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5D4A43" w:rsidRPr="005D4A43" w14:paraId="398FC56F"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55038B70"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93636"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992" w:type="dxa"/>
            <w:tcBorders>
              <w:top w:val="single" w:sz="4" w:space="0" w:color="auto"/>
              <w:left w:val="nil"/>
              <w:bottom w:val="single" w:sz="4" w:space="0" w:color="auto"/>
              <w:right w:val="single" w:sz="4" w:space="0" w:color="auto"/>
            </w:tcBorders>
            <w:shd w:val="clear" w:color="auto" w:fill="auto"/>
            <w:vAlign w:val="center"/>
          </w:tcPr>
          <w:p w14:paraId="7071660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w:t>
            </w:r>
          </w:p>
        </w:tc>
        <w:tc>
          <w:tcPr>
            <w:tcW w:w="993" w:type="dxa"/>
            <w:tcBorders>
              <w:top w:val="single" w:sz="4" w:space="0" w:color="auto"/>
              <w:left w:val="nil"/>
              <w:bottom w:val="single" w:sz="4" w:space="0" w:color="auto"/>
              <w:right w:val="single" w:sz="4" w:space="0" w:color="auto"/>
            </w:tcBorders>
            <w:shd w:val="clear" w:color="auto" w:fill="auto"/>
            <w:vAlign w:val="center"/>
          </w:tcPr>
          <w:p w14:paraId="4963B4B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1117D34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5A1110A0"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B7AF0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C3794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560FDCA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bl>
    <w:p w14:paraId="5B960EF6" w14:textId="77777777" w:rsidR="005D4A43" w:rsidRPr="005D4A43" w:rsidRDefault="005D4A43" w:rsidP="005D4A43">
      <w:pPr>
        <w:spacing w:after="0" w:line="240" w:lineRule="auto"/>
        <w:ind w:firstLine="709"/>
        <w:jc w:val="both"/>
        <w:rPr>
          <w:rFonts w:ascii="Times New Roman" w:hAnsi="Times New Roman" w:cs="Times New Roman"/>
          <w:sz w:val="24"/>
          <w:szCs w:val="24"/>
        </w:rPr>
      </w:pPr>
    </w:p>
    <w:p w14:paraId="26C8D2D4" w14:textId="77777777" w:rsidR="005D4A43" w:rsidRPr="005D4A43" w:rsidRDefault="005D4A43" w:rsidP="005D4A43">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медицинских услуг</w:t>
      </w:r>
      <w:r w:rsidRPr="006C1D5D">
        <w:rPr>
          <w:rFonts w:ascii="Times New Roman" w:hAnsi="Times New Roman" w:cs="Times New Roman"/>
          <w:sz w:val="28"/>
          <w:szCs w:val="28"/>
        </w:rPr>
        <w:t xml:space="preserve"> в</w:t>
      </w:r>
      <w:r w:rsidRPr="006C1D5D">
        <w:rPr>
          <w:rFonts w:ascii="Times New Roman" w:hAnsi="Times New Roman" w:cs="Times New Roman"/>
          <w:color w:val="000000"/>
          <w:sz w:val="24"/>
          <w:szCs w:val="24"/>
        </w:rPr>
        <w:t xml:space="preserve"> </w:t>
      </w:r>
      <w:r w:rsidRPr="006C1D5D">
        <w:rPr>
          <w:rFonts w:ascii="Times New Roman" w:hAnsi="Times New Roman" w:cs="Times New Roman"/>
          <w:b/>
          <w:color w:val="000000"/>
          <w:sz w:val="28"/>
          <w:szCs w:val="28"/>
        </w:rPr>
        <w:t>Кабардино-Балкарской Республике, Республике Карелия, Курской, Свердловской, Белгородской областях</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повышении фактические значения присутствия организаций частной формы собственности на рынке. В </w:t>
      </w:r>
      <w:r w:rsidRPr="006C1D5D">
        <w:rPr>
          <w:rFonts w:ascii="Times New Roman" w:hAnsi="Times New Roman" w:cs="Times New Roman"/>
          <w:b/>
          <w:sz w:val="28"/>
          <w:szCs w:val="28"/>
        </w:rPr>
        <w:t>Смоленской области</w:t>
      </w:r>
      <w:r w:rsidRPr="005D4A43">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 </w:t>
      </w:r>
    </w:p>
    <w:p w14:paraId="014CD23B"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6C1D5D">
        <w:rPr>
          <w:rFonts w:ascii="Times New Roman" w:hAnsi="Times New Roman" w:cs="Times New Roman"/>
          <w:b/>
          <w:color w:val="000000"/>
          <w:sz w:val="28"/>
          <w:szCs w:val="28"/>
        </w:rPr>
        <w:t>Чеченская Республика, Челябинская область, Краснодарский край,</w:t>
      </w:r>
      <w:r w:rsidRPr="006C1D5D">
        <w:rPr>
          <w:rFonts w:ascii="Times New Roman" w:hAnsi="Times New Roman" w:cs="Times New Roman"/>
          <w:b/>
          <w:sz w:val="28"/>
          <w:szCs w:val="28"/>
        </w:rPr>
        <w:t xml:space="preserve"> </w:t>
      </w:r>
      <w:r w:rsidRPr="006C1D5D">
        <w:rPr>
          <w:rFonts w:ascii="Times New Roman" w:hAnsi="Times New Roman" w:cs="Times New Roman"/>
          <w:b/>
          <w:color w:val="000000"/>
          <w:sz w:val="28"/>
          <w:szCs w:val="28"/>
        </w:rPr>
        <w:t>г. Москва</w:t>
      </w:r>
      <w:r w:rsidRPr="005D4A43">
        <w:rPr>
          <w:rFonts w:ascii="Times New Roman" w:hAnsi="Times New Roman" w:cs="Times New Roman"/>
          <w:b/>
          <w:i/>
          <w:sz w:val="28"/>
          <w:szCs w:val="28"/>
        </w:rPr>
        <w:t xml:space="preserve"> -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7B29D249"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E7524D9"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3F134E42"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62AE0102" w14:textId="61FB017E"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Российской Федерации в 57 регионах (67 % субъектов Р</w:t>
      </w:r>
      <w:r w:rsidR="006C1D5D">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sidR="006C1D5D">
        <w:rPr>
          <w:rFonts w:ascii="Times New Roman" w:hAnsi="Times New Roman" w:cs="Times New Roman"/>
          <w:sz w:val="28"/>
          <w:szCs w:val="28"/>
        </w:rPr>
        <w:t>едерации</w:t>
      </w:r>
      <w:r w:rsidRPr="005D4A43">
        <w:rPr>
          <w:rFonts w:ascii="Times New Roman" w:hAnsi="Times New Roman" w:cs="Times New Roman"/>
          <w:sz w:val="28"/>
          <w:szCs w:val="28"/>
        </w:rPr>
        <w:t xml:space="preserve">) удовлетворенность потребителей на рынке менее 50 %. </w:t>
      </w:r>
    </w:p>
    <w:p w14:paraId="48698B0F"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7 регионами. </w:t>
      </w:r>
    </w:p>
    <w:p w14:paraId="1408966B" w14:textId="77777777" w:rsidR="005D4A43" w:rsidRPr="005D4A43" w:rsidRDefault="005D4A43" w:rsidP="005D4A43">
      <w:pPr>
        <w:spacing w:after="0" w:line="240" w:lineRule="auto"/>
        <w:ind w:firstLine="709"/>
        <w:rPr>
          <w:rFonts w:ascii="Times New Roman" w:hAnsi="Times New Roman" w:cs="Times New Roman"/>
          <w:b/>
          <w:i/>
          <w:sz w:val="28"/>
          <w:szCs w:val="28"/>
        </w:rPr>
      </w:pPr>
    </w:p>
    <w:p w14:paraId="287F43CA" w14:textId="77777777" w:rsidR="005D4A43" w:rsidRPr="006C1D5D" w:rsidRDefault="005D4A43" w:rsidP="005D4A43">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5. Розничная торговля фармацевтической продукцией</w:t>
      </w:r>
    </w:p>
    <w:p w14:paraId="355869B6" w14:textId="77777777" w:rsidR="005D4A43" w:rsidRPr="005D4A43" w:rsidRDefault="005D4A43" w:rsidP="005D4A43">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субъекте Российской Федерации к 2016 году - не менее 90 процентов (процентов)</w:t>
      </w:r>
    </w:p>
    <w:p w14:paraId="1BDC2FFB" w14:textId="77777777" w:rsidR="005D4A43" w:rsidRPr="005D4A43" w:rsidRDefault="005D4A43" w:rsidP="005D4A43">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567"/>
        <w:gridCol w:w="2269"/>
        <w:gridCol w:w="992"/>
        <w:gridCol w:w="993"/>
        <w:gridCol w:w="992"/>
        <w:gridCol w:w="1134"/>
        <w:gridCol w:w="1134"/>
        <w:gridCol w:w="1134"/>
        <w:gridCol w:w="1559"/>
      </w:tblGrid>
      <w:tr w:rsidR="005D4A43" w:rsidRPr="005D4A43" w14:paraId="4CF3A8EC" w14:textId="77777777" w:rsidTr="00126F5B">
        <w:trPr>
          <w:trHeight w:val="1159"/>
          <w:tblHeader/>
        </w:trPr>
        <w:tc>
          <w:tcPr>
            <w:tcW w:w="567" w:type="dxa"/>
            <w:vMerge w:val="restart"/>
            <w:shd w:val="clear" w:color="auto" w:fill="DEEAF6" w:themeFill="accent1" w:themeFillTint="33"/>
            <w:vAlign w:val="center"/>
          </w:tcPr>
          <w:p w14:paraId="692960E3"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7376C0D9"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111" w:type="dxa"/>
            <w:gridSpan w:val="4"/>
            <w:shd w:val="clear" w:color="auto" w:fill="DEEAF6" w:themeFill="accent1" w:themeFillTint="33"/>
            <w:vAlign w:val="center"/>
          </w:tcPr>
          <w:p w14:paraId="2DD1439D" w14:textId="77777777" w:rsidR="005D4A43" w:rsidRPr="005D4A43" w:rsidRDefault="005D4A43" w:rsidP="005D4A43">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501B9E66"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559" w:type="dxa"/>
            <w:vMerge w:val="restart"/>
            <w:shd w:val="clear" w:color="auto" w:fill="DEEAF6" w:themeFill="accent1" w:themeFillTint="33"/>
            <w:vAlign w:val="center"/>
          </w:tcPr>
          <w:p w14:paraId="4E988A04"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5D4A43" w:rsidRPr="005D4A43" w14:paraId="2F374AD5" w14:textId="77777777" w:rsidTr="00126F5B">
        <w:trPr>
          <w:trHeight w:val="177"/>
          <w:tblHeader/>
        </w:trPr>
        <w:tc>
          <w:tcPr>
            <w:tcW w:w="567" w:type="dxa"/>
            <w:vMerge/>
            <w:shd w:val="clear" w:color="auto" w:fill="DEEAF6" w:themeFill="accent1" w:themeFillTint="33"/>
            <w:vAlign w:val="center"/>
          </w:tcPr>
          <w:p w14:paraId="3AA44E09" w14:textId="77777777" w:rsidR="005D4A43" w:rsidRPr="005D4A43" w:rsidRDefault="005D4A43" w:rsidP="005D4A43">
            <w:pPr>
              <w:jc w:val="center"/>
              <w:rPr>
                <w:rFonts w:ascii="Times New Roman" w:hAnsi="Times New Roman" w:cs="Times New Roman"/>
                <w:b/>
                <w:sz w:val="24"/>
                <w:szCs w:val="24"/>
              </w:rPr>
            </w:pPr>
          </w:p>
        </w:tc>
        <w:tc>
          <w:tcPr>
            <w:tcW w:w="2269" w:type="dxa"/>
            <w:vMerge/>
            <w:shd w:val="clear" w:color="auto" w:fill="DEEAF6" w:themeFill="accent1" w:themeFillTint="33"/>
            <w:vAlign w:val="center"/>
          </w:tcPr>
          <w:p w14:paraId="4C52831D" w14:textId="77777777" w:rsidR="005D4A43" w:rsidRPr="005D4A43" w:rsidRDefault="005D4A43" w:rsidP="005D4A43">
            <w:pPr>
              <w:jc w:val="both"/>
              <w:rPr>
                <w:rFonts w:ascii="Times New Roman" w:hAnsi="Times New Roman" w:cs="Times New Roman"/>
                <w:b/>
                <w:sz w:val="24"/>
                <w:szCs w:val="24"/>
              </w:rPr>
            </w:pPr>
          </w:p>
        </w:tc>
        <w:tc>
          <w:tcPr>
            <w:tcW w:w="992" w:type="dxa"/>
            <w:shd w:val="clear" w:color="auto" w:fill="DEEAF6" w:themeFill="accent1" w:themeFillTint="33"/>
            <w:vAlign w:val="center"/>
          </w:tcPr>
          <w:p w14:paraId="147CD331"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13BEC89C"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1922B8EE"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641D3509"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4F888B69"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44591FA0"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2A1F06DB"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0356CF36"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559" w:type="dxa"/>
            <w:vMerge/>
            <w:shd w:val="clear" w:color="auto" w:fill="DEEAF6" w:themeFill="accent1" w:themeFillTint="33"/>
            <w:vAlign w:val="center"/>
          </w:tcPr>
          <w:p w14:paraId="34580151" w14:textId="77777777" w:rsidR="005D4A43" w:rsidRPr="005D4A43" w:rsidRDefault="005D4A43" w:rsidP="005D4A43">
            <w:pPr>
              <w:jc w:val="both"/>
              <w:rPr>
                <w:rFonts w:ascii="Times New Roman" w:hAnsi="Times New Roman" w:cs="Times New Roman"/>
                <w:b/>
                <w:sz w:val="24"/>
                <w:szCs w:val="24"/>
              </w:rPr>
            </w:pPr>
          </w:p>
        </w:tc>
      </w:tr>
      <w:tr w:rsidR="005D4A43" w:rsidRPr="005D4A43" w14:paraId="49F07033" w14:textId="77777777" w:rsidTr="00126F5B">
        <w:tc>
          <w:tcPr>
            <w:tcW w:w="567" w:type="dxa"/>
            <w:vAlign w:val="center"/>
          </w:tcPr>
          <w:p w14:paraId="773E8F03"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w:t>
            </w:r>
          </w:p>
        </w:tc>
        <w:tc>
          <w:tcPr>
            <w:tcW w:w="2269" w:type="dxa"/>
            <w:shd w:val="clear" w:color="auto" w:fill="auto"/>
            <w:vAlign w:val="center"/>
          </w:tcPr>
          <w:p w14:paraId="36016ACA"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Красноярский край</w:t>
            </w:r>
          </w:p>
        </w:tc>
        <w:tc>
          <w:tcPr>
            <w:tcW w:w="992" w:type="dxa"/>
            <w:shd w:val="clear" w:color="auto" w:fill="auto"/>
            <w:vAlign w:val="center"/>
          </w:tcPr>
          <w:p w14:paraId="6F6A953B"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66EBEE12"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89</w:t>
            </w:r>
          </w:p>
        </w:tc>
        <w:tc>
          <w:tcPr>
            <w:tcW w:w="992" w:type="dxa"/>
            <w:shd w:val="clear" w:color="auto" w:fill="auto"/>
            <w:vAlign w:val="center"/>
          </w:tcPr>
          <w:p w14:paraId="04190947"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4F858903"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50E615F9"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25E5E227"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559" w:type="dxa"/>
            <w:shd w:val="clear" w:color="auto" w:fill="auto"/>
            <w:vAlign w:val="center"/>
          </w:tcPr>
          <w:p w14:paraId="7F21ACD5"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507481D9" w14:textId="77777777" w:rsidTr="00126F5B">
        <w:tc>
          <w:tcPr>
            <w:tcW w:w="567" w:type="dxa"/>
            <w:vAlign w:val="center"/>
          </w:tcPr>
          <w:p w14:paraId="280D2214"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w:t>
            </w:r>
          </w:p>
        </w:tc>
        <w:tc>
          <w:tcPr>
            <w:tcW w:w="2269" w:type="dxa"/>
            <w:shd w:val="clear" w:color="auto" w:fill="auto"/>
            <w:vAlign w:val="center"/>
          </w:tcPr>
          <w:p w14:paraId="1AE13308"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Г. Санкт-Петербургское</w:t>
            </w:r>
          </w:p>
        </w:tc>
        <w:tc>
          <w:tcPr>
            <w:tcW w:w="992" w:type="dxa"/>
            <w:shd w:val="clear" w:color="auto" w:fill="auto"/>
            <w:vAlign w:val="center"/>
          </w:tcPr>
          <w:p w14:paraId="4C6F849C"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993" w:type="dxa"/>
            <w:shd w:val="clear" w:color="auto" w:fill="auto"/>
            <w:vAlign w:val="center"/>
          </w:tcPr>
          <w:p w14:paraId="6D3F322E"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w:t>
            </w:r>
          </w:p>
        </w:tc>
        <w:tc>
          <w:tcPr>
            <w:tcW w:w="992" w:type="dxa"/>
            <w:shd w:val="clear" w:color="auto" w:fill="auto"/>
            <w:vAlign w:val="center"/>
          </w:tcPr>
          <w:p w14:paraId="2C7502ED"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1FFE0D73"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7056B5F6"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w:t>
            </w:r>
          </w:p>
        </w:tc>
        <w:tc>
          <w:tcPr>
            <w:tcW w:w="1134" w:type="dxa"/>
            <w:shd w:val="clear" w:color="auto" w:fill="auto"/>
            <w:vAlign w:val="center"/>
          </w:tcPr>
          <w:p w14:paraId="498F9F9E"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87,9 ↑ </w:t>
            </w:r>
          </w:p>
        </w:tc>
        <w:tc>
          <w:tcPr>
            <w:tcW w:w="1559" w:type="dxa"/>
            <w:shd w:val="clear" w:color="auto" w:fill="auto"/>
            <w:vAlign w:val="center"/>
          </w:tcPr>
          <w:p w14:paraId="25EB56FA"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5A806582" w14:textId="77777777" w:rsidTr="00126F5B">
        <w:trPr>
          <w:trHeight w:val="315"/>
        </w:trPr>
        <w:tc>
          <w:tcPr>
            <w:tcW w:w="567" w:type="dxa"/>
            <w:shd w:val="clear" w:color="auto" w:fill="B4C6E7" w:themeFill="accent5" w:themeFillTint="66"/>
            <w:vAlign w:val="center"/>
          </w:tcPr>
          <w:p w14:paraId="20A6312F"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3.</w:t>
            </w:r>
          </w:p>
        </w:tc>
        <w:tc>
          <w:tcPr>
            <w:tcW w:w="2269" w:type="dxa"/>
            <w:shd w:val="clear" w:color="auto" w:fill="B4C6E7" w:themeFill="accent5" w:themeFillTint="66"/>
            <w:vAlign w:val="center"/>
          </w:tcPr>
          <w:p w14:paraId="22B99944"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Северная Осетия - Алания</w:t>
            </w:r>
          </w:p>
        </w:tc>
        <w:tc>
          <w:tcPr>
            <w:tcW w:w="992" w:type="dxa"/>
            <w:shd w:val="clear" w:color="auto" w:fill="auto"/>
            <w:vAlign w:val="center"/>
          </w:tcPr>
          <w:p w14:paraId="45397A3A"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3" w:type="dxa"/>
            <w:shd w:val="clear" w:color="auto" w:fill="auto"/>
            <w:vAlign w:val="center"/>
          </w:tcPr>
          <w:p w14:paraId="4912E992"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2" w:type="dxa"/>
            <w:shd w:val="clear" w:color="auto" w:fill="auto"/>
            <w:vAlign w:val="center"/>
          </w:tcPr>
          <w:p w14:paraId="75977275"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1134" w:type="dxa"/>
            <w:shd w:val="clear" w:color="auto" w:fill="auto"/>
            <w:vAlign w:val="center"/>
          </w:tcPr>
          <w:p w14:paraId="4E0EEC56"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100,0 =</w:t>
            </w:r>
          </w:p>
        </w:tc>
        <w:tc>
          <w:tcPr>
            <w:tcW w:w="1134" w:type="dxa"/>
            <w:shd w:val="clear" w:color="auto" w:fill="auto"/>
            <w:vAlign w:val="center"/>
          </w:tcPr>
          <w:p w14:paraId="2D8D8692"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w:t>
            </w:r>
          </w:p>
        </w:tc>
        <w:tc>
          <w:tcPr>
            <w:tcW w:w="1134" w:type="dxa"/>
            <w:shd w:val="clear" w:color="auto" w:fill="auto"/>
            <w:vAlign w:val="center"/>
          </w:tcPr>
          <w:p w14:paraId="29705506"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45,35 ↑</w:t>
            </w:r>
          </w:p>
        </w:tc>
        <w:tc>
          <w:tcPr>
            <w:tcW w:w="1559" w:type="dxa"/>
            <w:shd w:val="clear" w:color="auto" w:fill="auto"/>
            <w:vAlign w:val="center"/>
          </w:tcPr>
          <w:p w14:paraId="557A93AE"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2696DDC2" w14:textId="77777777" w:rsidTr="00126F5B">
        <w:tc>
          <w:tcPr>
            <w:tcW w:w="567" w:type="dxa"/>
            <w:shd w:val="clear" w:color="auto" w:fill="B4C6E7" w:themeFill="accent5" w:themeFillTint="66"/>
            <w:vAlign w:val="center"/>
          </w:tcPr>
          <w:p w14:paraId="0AC30A44"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w:t>
            </w:r>
          </w:p>
        </w:tc>
        <w:tc>
          <w:tcPr>
            <w:tcW w:w="2269" w:type="dxa"/>
            <w:shd w:val="clear" w:color="auto" w:fill="B4C6E7" w:themeFill="accent5" w:themeFillTint="66"/>
            <w:vAlign w:val="center"/>
          </w:tcPr>
          <w:p w14:paraId="776D849A"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Хабаровский край</w:t>
            </w:r>
          </w:p>
        </w:tc>
        <w:tc>
          <w:tcPr>
            <w:tcW w:w="992" w:type="dxa"/>
            <w:shd w:val="clear" w:color="auto" w:fill="auto"/>
            <w:vAlign w:val="center"/>
          </w:tcPr>
          <w:p w14:paraId="3F850719"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3" w:type="dxa"/>
            <w:shd w:val="clear" w:color="auto" w:fill="auto"/>
            <w:vAlign w:val="center"/>
          </w:tcPr>
          <w:p w14:paraId="6D6E2D5C"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2" w:type="dxa"/>
            <w:shd w:val="clear" w:color="auto" w:fill="auto"/>
            <w:vAlign w:val="center"/>
          </w:tcPr>
          <w:p w14:paraId="36CF161D"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93</w:t>
            </w:r>
          </w:p>
        </w:tc>
        <w:tc>
          <w:tcPr>
            <w:tcW w:w="1134" w:type="dxa"/>
            <w:shd w:val="clear" w:color="auto" w:fill="auto"/>
            <w:vAlign w:val="center"/>
          </w:tcPr>
          <w:p w14:paraId="41901B65"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99,7 ↑</w:t>
            </w:r>
          </w:p>
        </w:tc>
        <w:tc>
          <w:tcPr>
            <w:tcW w:w="1134" w:type="dxa"/>
            <w:shd w:val="clear" w:color="auto" w:fill="auto"/>
            <w:vAlign w:val="center"/>
          </w:tcPr>
          <w:p w14:paraId="5077C8C2"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1E5D96DE"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1559" w:type="dxa"/>
            <w:shd w:val="clear" w:color="auto" w:fill="auto"/>
            <w:vAlign w:val="center"/>
          </w:tcPr>
          <w:p w14:paraId="077174B4"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65145CD1" w14:textId="77777777" w:rsidTr="00126F5B">
        <w:tc>
          <w:tcPr>
            <w:tcW w:w="567" w:type="dxa"/>
            <w:shd w:val="clear" w:color="auto" w:fill="B4C6E7" w:themeFill="accent5" w:themeFillTint="66"/>
            <w:vAlign w:val="center"/>
          </w:tcPr>
          <w:p w14:paraId="04C61015"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2269" w:type="dxa"/>
            <w:shd w:val="clear" w:color="auto" w:fill="B4C6E7" w:themeFill="accent5" w:themeFillTint="66"/>
            <w:vAlign w:val="center"/>
          </w:tcPr>
          <w:p w14:paraId="3D639660"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Курская область</w:t>
            </w:r>
          </w:p>
        </w:tc>
        <w:tc>
          <w:tcPr>
            <w:tcW w:w="992" w:type="dxa"/>
            <w:shd w:val="clear" w:color="auto" w:fill="auto"/>
            <w:vAlign w:val="center"/>
          </w:tcPr>
          <w:p w14:paraId="308CA2D0"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1E4ED969"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2" w:type="dxa"/>
            <w:shd w:val="clear" w:color="auto" w:fill="auto"/>
            <w:vAlign w:val="center"/>
          </w:tcPr>
          <w:p w14:paraId="51F74E6F"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1134" w:type="dxa"/>
            <w:shd w:val="clear" w:color="auto" w:fill="auto"/>
            <w:vAlign w:val="center"/>
          </w:tcPr>
          <w:p w14:paraId="1788E87F"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99,6 ↓</w:t>
            </w:r>
          </w:p>
        </w:tc>
        <w:tc>
          <w:tcPr>
            <w:tcW w:w="1134" w:type="dxa"/>
            <w:shd w:val="clear" w:color="auto" w:fill="auto"/>
            <w:vAlign w:val="center"/>
          </w:tcPr>
          <w:p w14:paraId="7A4C0063"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55,4</w:t>
            </w:r>
          </w:p>
        </w:tc>
        <w:tc>
          <w:tcPr>
            <w:tcW w:w="1134" w:type="dxa"/>
            <w:shd w:val="clear" w:color="auto" w:fill="auto"/>
            <w:vAlign w:val="center"/>
          </w:tcPr>
          <w:p w14:paraId="50B7D544"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47 ↓</w:t>
            </w:r>
          </w:p>
        </w:tc>
        <w:tc>
          <w:tcPr>
            <w:tcW w:w="1559" w:type="dxa"/>
            <w:shd w:val="clear" w:color="auto" w:fill="FFC000"/>
            <w:vAlign w:val="center"/>
          </w:tcPr>
          <w:p w14:paraId="377D82EC"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5A2DF1CC" w14:textId="77777777" w:rsidTr="00126F5B">
        <w:tc>
          <w:tcPr>
            <w:tcW w:w="567" w:type="dxa"/>
            <w:vAlign w:val="center"/>
          </w:tcPr>
          <w:p w14:paraId="5939A9E5"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w:t>
            </w:r>
          </w:p>
        </w:tc>
        <w:tc>
          <w:tcPr>
            <w:tcW w:w="2269" w:type="dxa"/>
            <w:shd w:val="clear" w:color="auto" w:fill="auto"/>
            <w:vAlign w:val="center"/>
          </w:tcPr>
          <w:p w14:paraId="1437AC95"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Воронежская область</w:t>
            </w:r>
          </w:p>
        </w:tc>
        <w:tc>
          <w:tcPr>
            <w:tcW w:w="992" w:type="dxa"/>
            <w:shd w:val="clear" w:color="auto" w:fill="auto"/>
            <w:vAlign w:val="center"/>
          </w:tcPr>
          <w:p w14:paraId="36E4834E"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3" w:type="dxa"/>
            <w:shd w:val="clear" w:color="auto" w:fill="auto"/>
            <w:vAlign w:val="center"/>
          </w:tcPr>
          <w:p w14:paraId="778E237F"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2" w:type="dxa"/>
            <w:shd w:val="clear" w:color="auto" w:fill="auto"/>
            <w:vAlign w:val="center"/>
          </w:tcPr>
          <w:p w14:paraId="22F4A903"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99,55</w:t>
            </w:r>
          </w:p>
        </w:tc>
        <w:tc>
          <w:tcPr>
            <w:tcW w:w="1134" w:type="dxa"/>
            <w:shd w:val="clear" w:color="auto" w:fill="auto"/>
            <w:vAlign w:val="center"/>
          </w:tcPr>
          <w:p w14:paraId="1F04A4E5"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99,55 ↑</w:t>
            </w:r>
          </w:p>
        </w:tc>
        <w:tc>
          <w:tcPr>
            <w:tcW w:w="1134" w:type="dxa"/>
            <w:shd w:val="clear" w:color="auto" w:fill="auto"/>
            <w:vAlign w:val="center"/>
          </w:tcPr>
          <w:p w14:paraId="10369FA4"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70,35</w:t>
            </w:r>
          </w:p>
        </w:tc>
        <w:tc>
          <w:tcPr>
            <w:tcW w:w="1134" w:type="dxa"/>
            <w:shd w:val="clear" w:color="auto" w:fill="auto"/>
            <w:vAlign w:val="center"/>
          </w:tcPr>
          <w:p w14:paraId="1A96FDC5"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67,5 ↓</w:t>
            </w:r>
          </w:p>
        </w:tc>
        <w:tc>
          <w:tcPr>
            <w:tcW w:w="1559" w:type="dxa"/>
            <w:shd w:val="clear" w:color="auto" w:fill="FFC000"/>
            <w:vAlign w:val="center"/>
          </w:tcPr>
          <w:p w14:paraId="2D9221F8"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72F4AECD" w14:textId="77777777" w:rsidTr="00126F5B">
        <w:tc>
          <w:tcPr>
            <w:tcW w:w="567" w:type="dxa"/>
            <w:shd w:val="clear" w:color="auto" w:fill="FFFFFF" w:themeFill="background1"/>
            <w:vAlign w:val="center"/>
          </w:tcPr>
          <w:p w14:paraId="2FA1FC9F"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w:t>
            </w:r>
          </w:p>
        </w:tc>
        <w:tc>
          <w:tcPr>
            <w:tcW w:w="2269" w:type="dxa"/>
            <w:shd w:val="clear" w:color="auto" w:fill="FFFFFF" w:themeFill="background1"/>
            <w:vAlign w:val="center"/>
          </w:tcPr>
          <w:p w14:paraId="74652D9C"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Дагестан</w:t>
            </w:r>
          </w:p>
        </w:tc>
        <w:tc>
          <w:tcPr>
            <w:tcW w:w="992" w:type="dxa"/>
            <w:shd w:val="clear" w:color="auto" w:fill="auto"/>
            <w:vAlign w:val="center"/>
          </w:tcPr>
          <w:p w14:paraId="6893AF4F"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04B94A70"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2" w:type="dxa"/>
            <w:shd w:val="clear" w:color="auto" w:fill="auto"/>
            <w:vAlign w:val="center"/>
          </w:tcPr>
          <w:p w14:paraId="53694AE8"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096B842C"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99,5 ↑</w:t>
            </w:r>
          </w:p>
        </w:tc>
        <w:tc>
          <w:tcPr>
            <w:tcW w:w="1134" w:type="dxa"/>
            <w:shd w:val="clear" w:color="auto" w:fill="auto"/>
            <w:vAlign w:val="center"/>
          </w:tcPr>
          <w:p w14:paraId="7CBA2FF2"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55,3</w:t>
            </w:r>
          </w:p>
        </w:tc>
        <w:tc>
          <w:tcPr>
            <w:tcW w:w="1134" w:type="dxa"/>
            <w:shd w:val="clear" w:color="auto" w:fill="auto"/>
            <w:vAlign w:val="center"/>
          </w:tcPr>
          <w:p w14:paraId="0DCE5E50"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51,9 ↓</w:t>
            </w:r>
          </w:p>
        </w:tc>
        <w:tc>
          <w:tcPr>
            <w:tcW w:w="1559" w:type="dxa"/>
            <w:shd w:val="clear" w:color="auto" w:fill="FFC000"/>
            <w:vAlign w:val="center"/>
          </w:tcPr>
          <w:p w14:paraId="4104DF3B"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486831E6" w14:textId="77777777" w:rsidTr="00126F5B">
        <w:tc>
          <w:tcPr>
            <w:tcW w:w="567" w:type="dxa"/>
            <w:vAlign w:val="center"/>
          </w:tcPr>
          <w:p w14:paraId="2FE2DC8B"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w:t>
            </w:r>
          </w:p>
        </w:tc>
        <w:tc>
          <w:tcPr>
            <w:tcW w:w="2269" w:type="dxa"/>
            <w:shd w:val="clear" w:color="auto" w:fill="auto"/>
            <w:vAlign w:val="center"/>
          </w:tcPr>
          <w:p w14:paraId="2D3393E5"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Архангельская область</w:t>
            </w:r>
          </w:p>
        </w:tc>
        <w:tc>
          <w:tcPr>
            <w:tcW w:w="992" w:type="dxa"/>
            <w:shd w:val="clear" w:color="auto" w:fill="auto"/>
            <w:vAlign w:val="center"/>
          </w:tcPr>
          <w:p w14:paraId="2EBD720A"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3" w:type="dxa"/>
            <w:shd w:val="clear" w:color="auto" w:fill="auto"/>
            <w:vAlign w:val="center"/>
          </w:tcPr>
          <w:p w14:paraId="34CCA5CD"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99,4</w:t>
            </w:r>
          </w:p>
        </w:tc>
        <w:tc>
          <w:tcPr>
            <w:tcW w:w="992" w:type="dxa"/>
            <w:shd w:val="clear" w:color="auto" w:fill="auto"/>
            <w:vAlign w:val="center"/>
          </w:tcPr>
          <w:p w14:paraId="2A017DD8"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1134" w:type="dxa"/>
            <w:shd w:val="clear" w:color="auto" w:fill="auto"/>
            <w:vAlign w:val="center"/>
          </w:tcPr>
          <w:p w14:paraId="16458F2E"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99,28 ↓</w:t>
            </w:r>
          </w:p>
        </w:tc>
        <w:tc>
          <w:tcPr>
            <w:tcW w:w="1134" w:type="dxa"/>
            <w:shd w:val="clear" w:color="auto" w:fill="auto"/>
            <w:vAlign w:val="center"/>
          </w:tcPr>
          <w:p w14:paraId="059284AC"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83,3</w:t>
            </w:r>
          </w:p>
        </w:tc>
        <w:tc>
          <w:tcPr>
            <w:tcW w:w="1134" w:type="dxa"/>
            <w:shd w:val="clear" w:color="auto" w:fill="auto"/>
            <w:vAlign w:val="center"/>
          </w:tcPr>
          <w:p w14:paraId="60F86D5C"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85 ↑</w:t>
            </w:r>
          </w:p>
        </w:tc>
        <w:tc>
          <w:tcPr>
            <w:tcW w:w="1559" w:type="dxa"/>
            <w:shd w:val="clear" w:color="auto" w:fill="auto"/>
            <w:vAlign w:val="center"/>
          </w:tcPr>
          <w:p w14:paraId="35884913"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5D8BAC8F" w14:textId="77777777" w:rsidTr="00126F5B">
        <w:tc>
          <w:tcPr>
            <w:tcW w:w="567" w:type="dxa"/>
            <w:vAlign w:val="center"/>
          </w:tcPr>
          <w:p w14:paraId="604F0FC8"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w:t>
            </w:r>
          </w:p>
        </w:tc>
        <w:tc>
          <w:tcPr>
            <w:tcW w:w="2269" w:type="dxa"/>
            <w:shd w:val="clear" w:color="auto" w:fill="auto"/>
            <w:vAlign w:val="center"/>
          </w:tcPr>
          <w:p w14:paraId="541D5395"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Оренбургская область</w:t>
            </w:r>
          </w:p>
        </w:tc>
        <w:tc>
          <w:tcPr>
            <w:tcW w:w="992" w:type="dxa"/>
            <w:shd w:val="clear" w:color="auto" w:fill="auto"/>
            <w:vAlign w:val="center"/>
          </w:tcPr>
          <w:p w14:paraId="041C5280"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993" w:type="dxa"/>
            <w:shd w:val="clear" w:color="auto" w:fill="auto"/>
            <w:vAlign w:val="center"/>
          </w:tcPr>
          <w:p w14:paraId="4D95A408"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98,6</w:t>
            </w:r>
          </w:p>
        </w:tc>
        <w:tc>
          <w:tcPr>
            <w:tcW w:w="992" w:type="dxa"/>
            <w:shd w:val="clear" w:color="auto" w:fill="auto"/>
            <w:vAlign w:val="center"/>
          </w:tcPr>
          <w:p w14:paraId="00C2B534"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1134" w:type="dxa"/>
            <w:shd w:val="clear" w:color="auto" w:fill="auto"/>
            <w:vAlign w:val="center"/>
          </w:tcPr>
          <w:p w14:paraId="48AE4DC1"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 xml:space="preserve">99,08 ↑ </w:t>
            </w:r>
          </w:p>
        </w:tc>
        <w:tc>
          <w:tcPr>
            <w:tcW w:w="1134" w:type="dxa"/>
            <w:shd w:val="clear" w:color="auto" w:fill="auto"/>
            <w:vAlign w:val="center"/>
          </w:tcPr>
          <w:p w14:paraId="61E9B1FD"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45,5</w:t>
            </w:r>
          </w:p>
        </w:tc>
        <w:tc>
          <w:tcPr>
            <w:tcW w:w="1134" w:type="dxa"/>
            <w:shd w:val="clear" w:color="auto" w:fill="auto"/>
            <w:vAlign w:val="center"/>
          </w:tcPr>
          <w:p w14:paraId="5D5E2A26"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53 ↑</w:t>
            </w:r>
          </w:p>
        </w:tc>
        <w:tc>
          <w:tcPr>
            <w:tcW w:w="1559" w:type="dxa"/>
            <w:shd w:val="clear" w:color="auto" w:fill="auto"/>
            <w:vAlign w:val="center"/>
          </w:tcPr>
          <w:p w14:paraId="0083DB96"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5757C775" w14:textId="77777777" w:rsidTr="00126F5B">
        <w:tc>
          <w:tcPr>
            <w:tcW w:w="567" w:type="dxa"/>
            <w:shd w:val="clear" w:color="auto" w:fill="B4C6E7" w:themeFill="accent5" w:themeFillTint="66"/>
            <w:vAlign w:val="center"/>
          </w:tcPr>
          <w:p w14:paraId="5267C417"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71DA7900"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Адыгея</w:t>
            </w:r>
          </w:p>
        </w:tc>
        <w:tc>
          <w:tcPr>
            <w:tcW w:w="992" w:type="dxa"/>
            <w:shd w:val="clear" w:color="auto" w:fill="auto"/>
            <w:vAlign w:val="center"/>
          </w:tcPr>
          <w:p w14:paraId="6560DC40"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4FEE68C7"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083678DB"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2CC725E1"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6F04E4AE"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25</w:t>
            </w:r>
          </w:p>
        </w:tc>
        <w:tc>
          <w:tcPr>
            <w:tcW w:w="1134" w:type="dxa"/>
            <w:shd w:val="clear" w:color="auto" w:fill="auto"/>
            <w:vAlign w:val="center"/>
          </w:tcPr>
          <w:p w14:paraId="29C5CD0A"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48 ↑</w:t>
            </w:r>
          </w:p>
        </w:tc>
        <w:tc>
          <w:tcPr>
            <w:tcW w:w="1559" w:type="dxa"/>
            <w:shd w:val="clear" w:color="auto" w:fill="auto"/>
            <w:vAlign w:val="center"/>
          </w:tcPr>
          <w:p w14:paraId="2457CCC8"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44044578" w14:textId="77777777" w:rsidTr="00126F5B">
        <w:tc>
          <w:tcPr>
            <w:tcW w:w="567" w:type="dxa"/>
            <w:vAlign w:val="center"/>
          </w:tcPr>
          <w:p w14:paraId="5D8BB330"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11.</w:t>
            </w:r>
          </w:p>
        </w:tc>
        <w:tc>
          <w:tcPr>
            <w:tcW w:w="2269" w:type="dxa"/>
            <w:shd w:val="clear" w:color="auto" w:fill="auto"/>
            <w:vAlign w:val="center"/>
          </w:tcPr>
          <w:p w14:paraId="5366108D"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Амурская область</w:t>
            </w:r>
          </w:p>
        </w:tc>
        <w:tc>
          <w:tcPr>
            <w:tcW w:w="992" w:type="dxa"/>
            <w:shd w:val="clear" w:color="auto" w:fill="auto"/>
            <w:vAlign w:val="center"/>
          </w:tcPr>
          <w:p w14:paraId="0D95E271"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4A1CCE22"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E1CDA53"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43F0722D"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7A5901E2"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60,1</w:t>
            </w:r>
          </w:p>
        </w:tc>
        <w:tc>
          <w:tcPr>
            <w:tcW w:w="1134" w:type="dxa"/>
            <w:shd w:val="clear" w:color="auto" w:fill="auto"/>
            <w:vAlign w:val="center"/>
          </w:tcPr>
          <w:p w14:paraId="43AA3DA0"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61 ↑</w:t>
            </w:r>
          </w:p>
        </w:tc>
        <w:tc>
          <w:tcPr>
            <w:tcW w:w="1559" w:type="dxa"/>
            <w:shd w:val="clear" w:color="auto" w:fill="auto"/>
            <w:vAlign w:val="center"/>
          </w:tcPr>
          <w:p w14:paraId="750B0D25"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118FD761" w14:textId="77777777" w:rsidTr="00126F5B">
        <w:tc>
          <w:tcPr>
            <w:tcW w:w="567" w:type="dxa"/>
            <w:vAlign w:val="center"/>
          </w:tcPr>
          <w:p w14:paraId="72E9DE56"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12.</w:t>
            </w:r>
          </w:p>
        </w:tc>
        <w:tc>
          <w:tcPr>
            <w:tcW w:w="2269" w:type="dxa"/>
            <w:shd w:val="clear" w:color="auto" w:fill="auto"/>
            <w:vAlign w:val="center"/>
          </w:tcPr>
          <w:p w14:paraId="11038FF7"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Ростовская область</w:t>
            </w:r>
          </w:p>
        </w:tc>
        <w:tc>
          <w:tcPr>
            <w:tcW w:w="992" w:type="dxa"/>
            <w:shd w:val="clear" w:color="auto" w:fill="auto"/>
            <w:vAlign w:val="center"/>
          </w:tcPr>
          <w:p w14:paraId="50B6C0FC"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91</w:t>
            </w:r>
          </w:p>
        </w:tc>
        <w:tc>
          <w:tcPr>
            <w:tcW w:w="993" w:type="dxa"/>
            <w:shd w:val="clear" w:color="auto" w:fill="auto"/>
            <w:vAlign w:val="center"/>
          </w:tcPr>
          <w:p w14:paraId="0E165D9D"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0B121041"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1134" w:type="dxa"/>
            <w:shd w:val="clear" w:color="auto" w:fill="auto"/>
            <w:vAlign w:val="center"/>
          </w:tcPr>
          <w:p w14:paraId="4F063447"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3C105725"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28,3</w:t>
            </w:r>
          </w:p>
        </w:tc>
        <w:tc>
          <w:tcPr>
            <w:tcW w:w="1134" w:type="dxa"/>
            <w:shd w:val="clear" w:color="auto" w:fill="auto"/>
            <w:vAlign w:val="center"/>
          </w:tcPr>
          <w:p w14:paraId="59EBE7A1"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67,4 ↑</w:t>
            </w:r>
          </w:p>
        </w:tc>
        <w:tc>
          <w:tcPr>
            <w:tcW w:w="1559" w:type="dxa"/>
            <w:shd w:val="clear" w:color="auto" w:fill="auto"/>
            <w:vAlign w:val="center"/>
          </w:tcPr>
          <w:p w14:paraId="4A21E660"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1C96E6F0" w14:textId="77777777" w:rsidTr="00126F5B">
        <w:tc>
          <w:tcPr>
            <w:tcW w:w="567" w:type="dxa"/>
            <w:shd w:val="clear" w:color="auto" w:fill="FFFFFF" w:themeFill="background1"/>
            <w:vAlign w:val="center"/>
          </w:tcPr>
          <w:p w14:paraId="56466A4C"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13.</w:t>
            </w:r>
          </w:p>
        </w:tc>
        <w:tc>
          <w:tcPr>
            <w:tcW w:w="2269" w:type="dxa"/>
            <w:shd w:val="clear" w:color="auto" w:fill="FFFFFF" w:themeFill="background1"/>
            <w:vAlign w:val="center"/>
          </w:tcPr>
          <w:p w14:paraId="6668B914"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Челябинская область </w:t>
            </w:r>
          </w:p>
        </w:tc>
        <w:tc>
          <w:tcPr>
            <w:tcW w:w="992" w:type="dxa"/>
            <w:shd w:val="clear" w:color="auto" w:fill="auto"/>
            <w:vAlign w:val="center"/>
          </w:tcPr>
          <w:p w14:paraId="5A911B71"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0BD69C77"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33D2F9C"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1D585E39"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62236F6C"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81,9</w:t>
            </w:r>
          </w:p>
        </w:tc>
        <w:tc>
          <w:tcPr>
            <w:tcW w:w="1134" w:type="dxa"/>
            <w:shd w:val="clear" w:color="auto" w:fill="auto"/>
            <w:vAlign w:val="center"/>
          </w:tcPr>
          <w:p w14:paraId="04765D5A"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73,9 ↓</w:t>
            </w:r>
          </w:p>
        </w:tc>
        <w:tc>
          <w:tcPr>
            <w:tcW w:w="1559" w:type="dxa"/>
            <w:shd w:val="clear" w:color="auto" w:fill="FFC000"/>
            <w:vAlign w:val="center"/>
          </w:tcPr>
          <w:p w14:paraId="4BE7F460"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47C1DDC6" w14:textId="77777777" w:rsidTr="00126F5B">
        <w:tc>
          <w:tcPr>
            <w:tcW w:w="567" w:type="dxa"/>
            <w:vAlign w:val="center"/>
          </w:tcPr>
          <w:p w14:paraId="6426336B"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14.</w:t>
            </w:r>
          </w:p>
        </w:tc>
        <w:tc>
          <w:tcPr>
            <w:tcW w:w="2269" w:type="dxa"/>
            <w:shd w:val="clear" w:color="auto" w:fill="auto"/>
            <w:vAlign w:val="center"/>
          </w:tcPr>
          <w:p w14:paraId="288F6C7C"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Кабардино-Балкарская Республика</w:t>
            </w:r>
          </w:p>
        </w:tc>
        <w:tc>
          <w:tcPr>
            <w:tcW w:w="992" w:type="dxa"/>
            <w:shd w:val="clear" w:color="auto" w:fill="auto"/>
            <w:vAlign w:val="center"/>
          </w:tcPr>
          <w:p w14:paraId="21419802"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6C7138B9"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4E9A13A8"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07F0F704"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424105E8"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62,5</w:t>
            </w:r>
          </w:p>
        </w:tc>
        <w:tc>
          <w:tcPr>
            <w:tcW w:w="1134" w:type="dxa"/>
            <w:shd w:val="clear" w:color="auto" w:fill="auto"/>
            <w:vAlign w:val="center"/>
          </w:tcPr>
          <w:p w14:paraId="538C6AA0"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83,5 ↑</w:t>
            </w:r>
          </w:p>
        </w:tc>
        <w:tc>
          <w:tcPr>
            <w:tcW w:w="1559" w:type="dxa"/>
            <w:shd w:val="clear" w:color="auto" w:fill="auto"/>
            <w:vAlign w:val="center"/>
          </w:tcPr>
          <w:p w14:paraId="4CE351B1"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5D4A43" w:rsidRPr="005D4A43" w14:paraId="13D636A2" w14:textId="77777777" w:rsidTr="00126F5B">
        <w:tc>
          <w:tcPr>
            <w:tcW w:w="567" w:type="dxa"/>
            <w:shd w:val="clear" w:color="auto" w:fill="FFFFFF" w:themeFill="background1"/>
            <w:vAlign w:val="center"/>
          </w:tcPr>
          <w:p w14:paraId="7365D309"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15.</w:t>
            </w:r>
          </w:p>
        </w:tc>
        <w:tc>
          <w:tcPr>
            <w:tcW w:w="2269" w:type="dxa"/>
            <w:shd w:val="clear" w:color="auto" w:fill="FFFFFF" w:themeFill="background1"/>
            <w:vAlign w:val="center"/>
          </w:tcPr>
          <w:p w14:paraId="245E05DE" w14:textId="77777777" w:rsidR="005D4A43" w:rsidRPr="006C1D5D" w:rsidRDefault="005D4A43" w:rsidP="005D4A43">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Удмуртская Республика</w:t>
            </w:r>
          </w:p>
        </w:tc>
        <w:tc>
          <w:tcPr>
            <w:tcW w:w="992" w:type="dxa"/>
            <w:shd w:val="clear" w:color="auto" w:fill="auto"/>
            <w:vAlign w:val="center"/>
          </w:tcPr>
          <w:p w14:paraId="4613EA64"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97,4</w:t>
            </w:r>
          </w:p>
        </w:tc>
        <w:tc>
          <w:tcPr>
            <w:tcW w:w="993" w:type="dxa"/>
            <w:shd w:val="clear" w:color="auto" w:fill="auto"/>
            <w:vAlign w:val="center"/>
          </w:tcPr>
          <w:p w14:paraId="0513E8E1"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67D9BE73"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276C4341" w14:textId="77777777" w:rsidR="005D4A43" w:rsidRPr="006C1D5D" w:rsidRDefault="005D4A43" w:rsidP="005D4A43">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7F5CE9A7"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65,5</w:t>
            </w:r>
          </w:p>
        </w:tc>
        <w:tc>
          <w:tcPr>
            <w:tcW w:w="1134" w:type="dxa"/>
            <w:shd w:val="clear" w:color="auto" w:fill="auto"/>
            <w:vAlign w:val="center"/>
          </w:tcPr>
          <w:p w14:paraId="2A7CB217"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59,56 ↓</w:t>
            </w:r>
          </w:p>
        </w:tc>
        <w:tc>
          <w:tcPr>
            <w:tcW w:w="1559" w:type="dxa"/>
            <w:shd w:val="clear" w:color="auto" w:fill="FFC000"/>
            <w:vAlign w:val="center"/>
          </w:tcPr>
          <w:p w14:paraId="0CC8F11A" w14:textId="77777777" w:rsidR="005D4A43" w:rsidRPr="006C1D5D" w:rsidRDefault="005D4A43" w:rsidP="005D4A43">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bl>
    <w:p w14:paraId="1BFAA392" w14:textId="77777777" w:rsidR="005D4A43" w:rsidRPr="005D4A43" w:rsidRDefault="005D4A43" w:rsidP="005D4A43">
      <w:pPr>
        <w:spacing w:after="0" w:line="240" w:lineRule="auto"/>
        <w:ind w:firstLine="709"/>
        <w:jc w:val="both"/>
        <w:rPr>
          <w:rFonts w:cs="Times New Roman"/>
          <w:sz w:val="24"/>
          <w:szCs w:val="24"/>
        </w:rPr>
      </w:pPr>
    </w:p>
    <w:p w14:paraId="7961CCC9"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розничной торговли фармацевтической продукцией</w:t>
      </w:r>
      <w:r w:rsidRPr="006C1D5D">
        <w:rPr>
          <w:rFonts w:ascii="Times New Roman" w:hAnsi="Times New Roman" w:cs="Times New Roman"/>
          <w:sz w:val="28"/>
          <w:szCs w:val="28"/>
        </w:rPr>
        <w:t xml:space="preserve"> </w:t>
      </w:r>
      <w:r w:rsidRPr="006C1D5D">
        <w:rPr>
          <w:rFonts w:ascii="Times New Roman" w:hAnsi="Times New Roman" w:cs="Times New Roman"/>
          <w:b/>
          <w:sz w:val="28"/>
          <w:szCs w:val="28"/>
        </w:rPr>
        <w:t>в</w:t>
      </w:r>
      <w:r w:rsidRPr="006C1D5D">
        <w:rPr>
          <w:rFonts w:ascii="Times New Roman" w:hAnsi="Times New Roman" w:cs="Times New Roman"/>
          <w:b/>
          <w:color w:val="000000"/>
          <w:sz w:val="28"/>
          <w:szCs w:val="28"/>
        </w:rPr>
        <w:t xml:space="preserve"> Республике Дагестан, Удмуртской Республике, Воронежской и Челябинской областях</w:t>
      </w:r>
      <w:r w:rsidRPr="005D4A43">
        <w:rPr>
          <w:rFonts w:ascii="Times New Roman" w:hAnsi="Times New Roman" w:cs="Times New Roman"/>
          <w:b/>
          <w:i/>
          <w:color w:val="000000"/>
          <w:sz w:val="28"/>
          <w:szCs w:val="28"/>
        </w:rPr>
        <w:t xml:space="preserve"> </w:t>
      </w:r>
      <w:r w:rsidRPr="005D4A43">
        <w:rPr>
          <w:rFonts w:ascii="Times New Roman" w:hAnsi="Times New Roman" w:cs="Times New Roman"/>
          <w:sz w:val="28"/>
          <w:szCs w:val="28"/>
        </w:rPr>
        <w:t xml:space="preserve">наблюдается снижение процента удовлетворенности потребителей по результатам мониторинга 2017 и 2018 годов при повышении фактические значения присутствия организаций частной формы собственности на рынке. В </w:t>
      </w:r>
      <w:r w:rsidRPr="006C1D5D">
        <w:rPr>
          <w:rFonts w:ascii="Times New Roman" w:hAnsi="Times New Roman" w:cs="Times New Roman"/>
          <w:b/>
          <w:sz w:val="28"/>
          <w:szCs w:val="28"/>
        </w:rPr>
        <w:t>Курской области</w:t>
      </w:r>
      <w:r w:rsidRPr="005D4A43">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w:t>
      </w:r>
    </w:p>
    <w:p w14:paraId="37FA366D"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6C1D5D">
        <w:rPr>
          <w:rFonts w:ascii="Times New Roman" w:hAnsi="Times New Roman" w:cs="Times New Roman"/>
          <w:b/>
          <w:color w:val="000000"/>
          <w:sz w:val="28"/>
          <w:szCs w:val="28"/>
        </w:rPr>
        <w:t>Кабардино-Балкарская Республика</w:t>
      </w:r>
      <w:r w:rsidRPr="006C1D5D">
        <w:rPr>
          <w:rFonts w:cs="Times New Roman"/>
          <w:color w:val="000000"/>
          <w:sz w:val="24"/>
          <w:szCs w:val="24"/>
        </w:rPr>
        <w:t xml:space="preserve">, </w:t>
      </w:r>
      <w:r w:rsidRPr="006C1D5D">
        <w:rPr>
          <w:rFonts w:ascii="Times New Roman" w:hAnsi="Times New Roman" w:cs="Times New Roman"/>
          <w:b/>
          <w:color w:val="000000"/>
          <w:sz w:val="28"/>
          <w:szCs w:val="28"/>
        </w:rPr>
        <w:t>Оренбургская и Ростовская области</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1506D3BC"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41F5887F" w14:textId="77777777" w:rsidR="005D4A43" w:rsidRPr="005D4A43" w:rsidRDefault="005D4A43" w:rsidP="005D4A43">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2018 года составляет не менее 50 %.</w:t>
      </w:r>
    </w:p>
    <w:p w14:paraId="038248A2"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4 регионах процент удовлетворенности потребителей на рынке менее 50 %. </w:t>
      </w:r>
    </w:p>
    <w:p w14:paraId="38290FD2" w14:textId="2D9C12E4"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Российской Федерации в 26 регионах (31 % субъектов Р</w:t>
      </w:r>
      <w:r w:rsidR="006C1D5D">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sidR="006C1D5D">
        <w:rPr>
          <w:rFonts w:ascii="Times New Roman" w:hAnsi="Times New Roman" w:cs="Times New Roman"/>
          <w:sz w:val="28"/>
          <w:szCs w:val="28"/>
        </w:rPr>
        <w:t>едерации</w:t>
      </w:r>
      <w:r w:rsidRPr="005D4A43">
        <w:rPr>
          <w:rFonts w:ascii="Times New Roman" w:hAnsi="Times New Roman" w:cs="Times New Roman"/>
          <w:sz w:val="28"/>
          <w:szCs w:val="28"/>
        </w:rPr>
        <w:t xml:space="preserve">) удовлетворенность потребителей на рынке менее 50 %. </w:t>
      </w:r>
    </w:p>
    <w:p w14:paraId="1A50C222" w14:textId="77777777" w:rsidR="005D4A43" w:rsidRPr="005D4A43" w:rsidRDefault="005D4A43" w:rsidP="005D4A43">
      <w:pPr>
        <w:spacing w:after="0" w:line="240" w:lineRule="auto"/>
        <w:ind w:firstLine="709"/>
        <w:jc w:val="both"/>
        <w:rPr>
          <w:rFonts w:ascii="Times New Roman" w:hAnsi="Times New Roman" w:cs="Times New Roman"/>
          <w:sz w:val="16"/>
          <w:szCs w:val="16"/>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273459D6" w14:textId="77777777" w:rsidR="005D4A43" w:rsidRPr="005D4A43" w:rsidRDefault="005D4A43" w:rsidP="005D4A43">
      <w:pPr>
        <w:spacing w:after="0" w:line="240" w:lineRule="auto"/>
        <w:ind w:firstLine="709"/>
        <w:jc w:val="center"/>
        <w:rPr>
          <w:rFonts w:ascii="Times New Roman" w:hAnsi="Times New Roman" w:cs="Times New Roman"/>
          <w:b/>
          <w:i/>
          <w:sz w:val="28"/>
          <w:szCs w:val="28"/>
        </w:rPr>
      </w:pPr>
    </w:p>
    <w:p w14:paraId="1E672529" w14:textId="77777777" w:rsidR="005D4A43" w:rsidRPr="006C1D5D" w:rsidRDefault="005D4A43" w:rsidP="005D4A43">
      <w:pPr>
        <w:spacing w:after="0" w:line="240" w:lineRule="auto"/>
        <w:ind w:firstLine="709"/>
        <w:jc w:val="both"/>
        <w:rPr>
          <w:rFonts w:ascii="Times New Roman" w:hAnsi="Times New Roman" w:cs="Times New Roman"/>
          <w:b/>
          <w:sz w:val="28"/>
          <w:szCs w:val="28"/>
        </w:rPr>
      </w:pPr>
      <w:r w:rsidRPr="006C1D5D">
        <w:rPr>
          <w:rFonts w:ascii="Times New Roman" w:hAnsi="Times New Roman" w:cs="Times New Roman"/>
          <w:b/>
          <w:sz w:val="28"/>
          <w:szCs w:val="28"/>
        </w:rPr>
        <w:t>6. Рынок услуг перевозок пассажиров наземным транспортом</w:t>
      </w:r>
    </w:p>
    <w:p w14:paraId="76095522" w14:textId="77777777" w:rsidR="005D4A43" w:rsidRPr="005D4A43" w:rsidRDefault="005D4A43" w:rsidP="005D4A43">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w:t>
      </w:r>
      <w:r w:rsidRPr="005D4A43">
        <w:rPr>
          <w:rFonts w:ascii="Times New Roman" w:hAnsi="Times New Roman" w:cs="Times New Roman"/>
          <w:sz w:val="24"/>
          <w:szCs w:val="24"/>
        </w:rPr>
        <w:t>ь: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субъекте Российской Федерации к 2016 году - не менее 75 процентов (процентов)</w:t>
      </w:r>
    </w:p>
    <w:p w14:paraId="5F13DEE1" w14:textId="77777777" w:rsidR="005D4A43" w:rsidRPr="005D4A43" w:rsidRDefault="005D4A43" w:rsidP="005D4A43">
      <w:pPr>
        <w:spacing w:after="0" w:line="240" w:lineRule="auto"/>
        <w:ind w:firstLine="709"/>
        <w:jc w:val="both"/>
        <w:rPr>
          <w:rFonts w:ascii="Times New Roman" w:hAnsi="Times New Roman" w:cs="Times New Roman"/>
          <w:sz w:val="24"/>
          <w:szCs w:val="24"/>
        </w:rPr>
      </w:pPr>
    </w:p>
    <w:tbl>
      <w:tblPr>
        <w:tblStyle w:val="afa"/>
        <w:tblW w:w="10632" w:type="dxa"/>
        <w:tblInd w:w="-998" w:type="dxa"/>
        <w:tblLayout w:type="fixed"/>
        <w:tblLook w:val="04A0" w:firstRow="1" w:lastRow="0" w:firstColumn="1" w:lastColumn="0" w:noHBand="0" w:noVBand="1"/>
      </w:tblPr>
      <w:tblGrid>
        <w:gridCol w:w="567"/>
        <w:gridCol w:w="2269"/>
        <w:gridCol w:w="992"/>
        <w:gridCol w:w="993"/>
        <w:gridCol w:w="992"/>
        <w:gridCol w:w="992"/>
        <w:gridCol w:w="992"/>
        <w:gridCol w:w="993"/>
        <w:gridCol w:w="1842"/>
      </w:tblGrid>
      <w:tr w:rsidR="005D4A43" w:rsidRPr="005D4A43" w14:paraId="1DDAD309" w14:textId="77777777" w:rsidTr="00126F5B">
        <w:trPr>
          <w:trHeight w:val="1159"/>
          <w:tblHeader/>
        </w:trPr>
        <w:tc>
          <w:tcPr>
            <w:tcW w:w="567" w:type="dxa"/>
            <w:vMerge w:val="restart"/>
            <w:shd w:val="clear" w:color="auto" w:fill="DEEAF6" w:themeFill="accent1" w:themeFillTint="33"/>
            <w:vAlign w:val="center"/>
          </w:tcPr>
          <w:p w14:paraId="185A3C60"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58CAF229"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7CB8ED13" w14:textId="77777777" w:rsidR="005D4A43" w:rsidRPr="005D4A43" w:rsidRDefault="005D4A43" w:rsidP="005D4A43">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1985" w:type="dxa"/>
            <w:gridSpan w:val="2"/>
            <w:shd w:val="clear" w:color="auto" w:fill="DEEAF6" w:themeFill="accent1" w:themeFillTint="33"/>
            <w:vAlign w:val="center"/>
          </w:tcPr>
          <w:p w14:paraId="5D6BFE77"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2" w:type="dxa"/>
            <w:vMerge w:val="restart"/>
            <w:shd w:val="clear" w:color="auto" w:fill="DEEAF6" w:themeFill="accent1" w:themeFillTint="33"/>
            <w:vAlign w:val="center"/>
          </w:tcPr>
          <w:p w14:paraId="130E1225"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5D4A43" w:rsidRPr="005D4A43" w14:paraId="4C6AE714" w14:textId="77777777" w:rsidTr="00126F5B">
        <w:trPr>
          <w:trHeight w:val="177"/>
          <w:tblHeader/>
        </w:trPr>
        <w:tc>
          <w:tcPr>
            <w:tcW w:w="567" w:type="dxa"/>
            <w:vMerge/>
            <w:shd w:val="clear" w:color="auto" w:fill="DEEAF6" w:themeFill="accent1" w:themeFillTint="33"/>
            <w:vAlign w:val="center"/>
          </w:tcPr>
          <w:p w14:paraId="6EDEBF95" w14:textId="77777777" w:rsidR="005D4A43" w:rsidRPr="005D4A43" w:rsidRDefault="005D4A43" w:rsidP="005D4A43">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7268A39F" w14:textId="77777777" w:rsidR="005D4A43" w:rsidRPr="005D4A43" w:rsidRDefault="005D4A43" w:rsidP="005D4A43">
            <w:pPr>
              <w:jc w:val="both"/>
              <w:rPr>
                <w:rFonts w:ascii="Times New Roman" w:hAnsi="Times New Roman" w:cs="Times New Roman"/>
                <w:b/>
                <w:sz w:val="24"/>
                <w:szCs w:val="24"/>
              </w:rPr>
            </w:pPr>
          </w:p>
        </w:tc>
        <w:tc>
          <w:tcPr>
            <w:tcW w:w="992" w:type="dxa"/>
            <w:shd w:val="clear" w:color="auto" w:fill="DEEAF6" w:themeFill="accent1" w:themeFillTint="33"/>
            <w:vAlign w:val="center"/>
          </w:tcPr>
          <w:p w14:paraId="335A0B91"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207A7672"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151EB2CE"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55BE55F0"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01F3AE82"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7C7A6E4A"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7FE60E82"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3" w:type="dxa"/>
            <w:shd w:val="clear" w:color="auto" w:fill="DEEAF6" w:themeFill="accent1" w:themeFillTint="33"/>
            <w:vAlign w:val="center"/>
          </w:tcPr>
          <w:p w14:paraId="37C78B49"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2" w:type="dxa"/>
            <w:vMerge/>
            <w:shd w:val="clear" w:color="auto" w:fill="DEEAF6" w:themeFill="accent1" w:themeFillTint="33"/>
            <w:vAlign w:val="center"/>
          </w:tcPr>
          <w:p w14:paraId="7D37454F" w14:textId="77777777" w:rsidR="005D4A43" w:rsidRPr="005D4A43" w:rsidRDefault="005D4A43" w:rsidP="005D4A43">
            <w:pPr>
              <w:jc w:val="both"/>
              <w:rPr>
                <w:rFonts w:ascii="Times New Roman" w:hAnsi="Times New Roman" w:cs="Times New Roman"/>
                <w:b/>
                <w:sz w:val="24"/>
                <w:szCs w:val="24"/>
              </w:rPr>
            </w:pPr>
          </w:p>
        </w:tc>
      </w:tr>
      <w:tr w:rsidR="005D4A43" w:rsidRPr="005D4A43" w14:paraId="518FDA84"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C2FBC03"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E4C9F73"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Адыгея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8DC8E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5660523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83F69E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3CE1C1B"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190E3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61,4</w:t>
            </w:r>
          </w:p>
        </w:tc>
        <w:tc>
          <w:tcPr>
            <w:tcW w:w="993" w:type="dxa"/>
            <w:tcBorders>
              <w:top w:val="single" w:sz="4" w:space="0" w:color="auto"/>
              <w:left w:val="nil"/>
              <w:bottom w:val="single" w:sz="4" w:space="0" w:color="auto"/>
              <w:right w:val="single" w:sz="4" w:space="0" w:color="auto"/>
            </w:tcBorders>
            <w:shd w:val="clear" w:color="auto" w:fill="auto"/>
            <w:vAlign w:val="center"/>
          </w:tcPr>
          <w:p w14:paraId="3D42A4E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14:paraId="40BDEF3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68695330"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6BECE40"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30FB2DFD"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nil"/>
              <w:right w:val="single" w:sz="4" w:space="0" w:color="auto"/>
            </w:tcBorders>
            <w:shd w:val="clear" w:color="auto" w:fill="auto"/>
            <w:vAlign w:val="center"/>
          </w:tcPr>
          <w:p w14:paraId="2F201A5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90</w:t>
            </w:r>
          </w:p>
        </w:tc>
        <w:tc>
          <w:tcPr>
            <w:tcW w:w="993" w:type="dxa"/>
            <w:tcBorders>
              <w:top w:val="nil"/>
              <w:left w:val="nil"/>
              <w:bottom w:val="nil"/>
              <w:right w:val="single" w:sz="4" w:space="0" w:color="auto"/>
            </w:tcBorders>
            <w:shd w:val="clear" w:color="auto" w:fill="auto"/>
            <w:vAlign w:val="center"/>
          </w:tcPr>
          <w:p w14:paraId="7D9FC78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75B7A31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90</w:t>
            </w:r>
          </w:p>
        </w:tc>
        <w:tc>
          <w:tcPr>
            <w:tcW w:w="992" w:type="dxa"/>
            <w:tcBorders>
              <w:top w:val="nil"/>
              <w:left w:val="nil"/>
              <w:bottom w:val="nil"/>
              <w:right w:val="single" w:sz="4" w:space="0" w:color="auto"/>
            </w:tcBorders>
            <w:shd w:val="clear" w:color="auto" w:fill="auto"/>
            <w:vAlign w:val="center"/>
          </w:tcPr>
          <w:p w14:paraId="20F9C4F0"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nil"/>
              <w:right w:val="single" w:sz="4" w:space="0" w:color="auto"/>
            </w:tcBorders>
            <w:shd w:val="clear" w:color="auto" w:fill="auto"/>
            <w:vAlign w:val="center"/>
          </w:tcPr>
          <w:p w14:paraId="2904FB9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49,7</w:t>
            </w:r>
          </w:p>
        </w:tc>
        <w:tc>
          <w:tcPr>
            <w:tcW w:w="993" w:type="dxa"/>
            <w:tcBorders>
              <w:top w:val="nil"/>
              <w:left w:val="nil"/>
              <w:bottom w:val="nil"/>
              <w:right w:val="single" w:sz="4" w:space="0" w:color="auto"/>
            </w:tcBorders>
            <w:shd w:val="clear" w:color="auto" w:fill="auto"/>
            <w:vAlign w:val="center"/>
          </w:tcPr>
          <w:p w14:paraId="3F347F8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45,25 ↓</w:t>
            </w:r>
          </w:p>
        </w:tc>
        <w:tc>
          <w:tcPr>
            <w:tcW w:w="1842" w:type="dxa"/>
            <w:tcBorders>
              <w:top w:val="single" w:sz="4" w:space="0" w:color="auto"/>
              <w:left w:val="nil"/>
              <w:bottom w:val="nil"/>
              <w:right w:val="single" w:sz="4" w:space="0" w:color="auto"/>
            </w:tcBorders>
            <w:shd w:val="clear" w:color="auto" w:fill="FFC000"/>
            <w:vAlign w:val="center"/>
          </w:tcPr>
          <w:p w14:paraId="5C0C8C2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7317595A"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BA939EC"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161FD247"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D2A27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74AFA3A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1126BB4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15EC4D45"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5D10C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56,56</w:t>
            </w:r>
          </w:p>
        </w:tc>
        <w:tc>
          <w:tcPr>
            <w:tcW w:w="993" w:type="dxa"/>
            <w:tcBorders>
              <w:top w:val="single" w:sz="4" w:space="0" w:color="auto"/>
              <w:left w:val="nil"/>
              <w:bottom w:val="single" w:sz="4" w:space="0" w:color="auto"/>
              <w:right w:val="single" w:sz="4" w:space="0" w:color="auto"/>
            </w:tcBorders>
            <w:shd w:val="clear" w:color="auto" w:fill="auto"/>
            <w:vAlign w:val="center"/>
          </w:tcPr>
          <w:p w14:paraId="7E5A864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71DE2AA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36AFC506"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1CBC84E"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1D046DA"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E3B165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0BD4550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6BCED67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79059247"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5C996E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49,5</w:t>
            </w:r>
          </w:p>
        </w:tc>
        <w:tc>
          <w:tcPr>
            <w:tcW w:w="993" w:type="dxa"/>
            <w:tcBorders>
              <w:top w:val="nil"/>
              <w:left w:val="nil"/>
              <w:bottom w:val="single" w:sz="4" w:space="0" w:color="auto"/>
              <w:right w:val="single" w:sz="4" w:space="0" w:color="auto"/>
            </w:tcBorders>
            <w:shd w:val="clear" w:color="auto" w:fill="auto"/>
            <w:vAlign w:val="center"/>
          </w:tcPr>
          <w:p w14:paraId="01AF893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49,5 =</w:t>
            </w:r>
          </w:p>
        </w:tc>
        <w:tc>
          <w:tcPr>
            <w:tcW w:w="1842" w:type="dxa"/>
            <w:tcBorders>
              <w:top w:val="nil"/>
              <w:left w:val="nil"/>
              <w:bottom w:val="single" w:sz="4" w:space="0" w:color="auto"/>
              <w:right w:val="single" w:sz="4" w:space="0" w:color="auto"/>
            </w:tcBorders>
            <w:shd w:val="clear" w:color="auto" w:fill="FFC000"/>
            <w:vAlign w:val="center"/>
          </w:tcPr>
          <w:p w14:paraId="462FE6A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6FF7C636"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0263E71"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6361E90"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53F45E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676A066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6984D34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27A9D1D7"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38E3DB6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29</w:t>
            </w:r>
          </w:p>
        </w:tc>
        <w:tc>
          <w:tcPr>
            <w:tcW w:w="993" w:type="dxa"/>
            <w:tcBorders>
              <w:top w:val="nil"/>
              <w:left w:val="nil"/>
              <w:bottom w:val="single" w:sz="4" w:space="0" w:color="auto"/>
              <w:right w:val="single" w:sz="4" w:space="0" w:color="auto"/>
            </w:tcBorders>
            <w:shd w:val="clear" w:color="auto" w:fill="auto"/>
            <w:vAlign w:val="center"/>
          </w:tcPr>
          <w:p w14:paraId="1865D8E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32 ↑</w:t>
            </w:r>
          </w:p>
        </w:tc>
        <w:tc>
          <w:tcPr>
            <w:tcW w:w="1842" w:type="dxa"/>
            <w:tcBorders>
              <w:top w:val="nil"/>
              <w:left w:val="nil"/>
              <w:bottom w:val="single" w:sz="4" w:space="0" w:color="auto"/>
              <w:right w:val="single" w:sz="4" w:space="0" w:color="auto"/>
            </w:tcBorders>
            <w:shd w:val="clear" w:color="auto" w:fill="auto"/>
            <w:vAlign w:val="center"/>
          </w:tcPr>
          <w:p w14:paraId="163E52B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3D4CA5B1"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0F7C0B5E"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auto"/>
            <w:vAlign w:val="center"/>
          </w:tcPr>
          <w:p w14:paraId="24CCD178"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Приморский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608CA48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0E91019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6BF71EA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025FBEDE"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2E2A082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79</w:t>
            </w:r>
          </w:p>
        </w:tc>
        <w:tc>
          <w:tcPr>
            <w:tcW w:w="993" w:type="dxa"/>
            <w:tcBorders>
              <w:top w:val="nil"/>
              <w:left w:val="nil"/>
              <w:bottom w:val="single" w:sz="4" w:space="0" w:color="auto"/>
              <w:right w:val="single" w:sz="4" w:space="0" w:color="auto"/>
            </w:tcBorders>
            <w:shd w:val="clear" w:color="auto" w:fill="auto"/>
            <w:vAlign w:val="center"/>
          </w:tcPr>
          <w:p w14:paraId="1D8811F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84 ↑</w:t>
            </w:r>
          </w:p>
        </w:tc>
        <w:tc>
          <w:tcPr>
            <w:tcW w:w="1842" w:type="dxa"/>
            <w:tcBorders>
              <w:top w:val="nil"/>
              <w:left w:val="nil"/>
              <w:bottom w:val="single" w:sz="4" w:space="0" w:color="auto"/>
              <w:right w:val="single" w:sz="4" w:space="0" w:color="auto"/>
            </w:tcBorders>
            <w:shd w:val="clear" w:color="auto" w:fill="auto"/>
            <w:vAlign w:val="center"/>
          </w:tcPr>
          <w:p w14:paraId="0826385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4CBC3581"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07D5EB4"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4A6EC58"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2C5B45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75,0</w:t>
            </w:r>
          </w:p>
        </w:tc>
        <w:tc>
          <w:tcPr>
            <w:tcW w:w="993" w:type="dxa"/>
            <w:tcBorders>
              <w:top w:val="nil"/>
              <w:left w:val="nil"/>
              <w:bottom w:val="single" w:sz="4" w:space="0" w:color="auto"/>
              <w:right w:val="single" w:sz="4" w:space="0" w:color="auto"/>
            </w:tcBorders>
            <w:shd w:val="clear" w:color="auto" w:fill="auto"/>
            <w:vAlign w:val="center"/>
          </w:tcPr>
          <w:p w14:paraId="65A4A60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78814EE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75,0</w:t>
            </w:r>
          </w:p>
        </w:tc>
        <w:tc>
          <w:tcPr>
            <w:tcW w:w="992" w:type="dxa"/>
            <w:tcBorders>
              <w:top w:val="nil"/>
              <w:left w:val="nil"/>
              <w:bottom w:val="single" w:sz="4" w:space="0" w:color="auto"/>
              <w:right w:val="single" w:sz="4" w:space="0" w:color="auto"/>
            </w:tcBorders>
            <w:shd w:val="clear" w:color="auto" w:fill="auto"/>
            <w:vAlign w:val="center"/>
          </w:tcPr>
          <w:p w14:paraId="13BBD167"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275D10C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41,9</w:t>
            </w:r>
          </w:p>
        </w:tc>
        <w:tc>
          <w:tcPr>
            <w:tcW w:w="993" w:type="dxa"/>
            <w:tcBorders>
              <w:top w:val="nil"/>
              <w:left w:val="nil"/>
              <w:bottom w:val="single" w:sz="4" w:space="0" w:color="auto"/>
              <w:right w:val="single" w:sz="4" w:space="0" w:color="auto"/>
            </w:tcBorders>
            <w:shd w:val="clear" w:color="auto" w:fill="auto"/>
            <w:vAlign w:val="center"/>
          </w:tcPr>
          <w:p w14:paraId="385A145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40,1 ↓</w:t>
            </w:r>
          </w:p>
        </w:tc>
        <w:tc>
          <w:tcPr>
            <w:tcW w:w="1842" w:type="dxa"/>
            <w:tcBorders>
              <w:top w:val="nil"/>
              <w:left w:val="nil"/>
              <w:bottom w:val="single" w:sz="4" w:space="0" w:color="auto"/>
              <w:right w:val="single" w:sz="4" w:space="0" w:color="auto"/>
            </w:tcBorders>
            <w:shd w:val="clear" w:color="auto" w:fill="FFC000"/>
            <w:vAlign w:val="center"/>
          </w:tcPr>
          <w:p w14:paraId="72CA0F5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781819D1"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B5D8415"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7DA0FAE2"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23C5A79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70BC011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778274A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62C2AFA4"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1D9199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w:t>
            </w:r>
          </w:p>
        </w:tc>
        <w:tc>
          <w:tcPr>
            <w:tcW w:w="993" w:type="dxa"/>
            <w:tcBorders>
              <w:top w:val="nil"/>
              <w:left w:val="nil"/>
              <w:bottom w:val="single" w:sz="4" w:space="0" w:color="auto"/>
              <w:right w:val="single" w:sz="4" w:space="0" w:color="auto"/>
            </w:tcBorders>
            <w:shd w:val="clear" w:color="auto" w:fill="auto"/>
            <w:vAlign w:val="center"/>
          </w:tcPr>
          <w:p w14:paraId="60B7AF1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2,8 ↓</w:t>
            </w:r>
          </w:p>
        </w:tc>
        <w:tc>
          <w:tcPr>
            <w:tcW w:w="1842" w:type="dxa"/>
            <w:tcBorders>
              <w:top w:val="nil"/>
              <w:left w:val="nil"/>
              <w:bottom w:val="single" w:sz="4" w:space="0" w:color="auto"/>
              <w:right w:val="single" w:sz="4" w:space="0" w:color="auto"/>
            </w:tcBorders>
            <w:shd w:val="clear" w:color="auto" w:fill="FFC000"/>
            <w:vAlign w:val="center"/>
          </w:tcPr>
          <w:p w14:paraId="01C4DB2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36CCFAD8"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4FA35F0A"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auto"/>
            <w:vAlign w:val="center"/>
          </w:tcPr>
          <w:p w14:paraId="4981D3A1"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14A0AEE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96</w:t>
            </w:r>
          </w:p>
        </w:tc>
        <w:tc>
          <w:tcPr>
            <w:tcW w:w="993" w:type="dxa"/>
            <w:tcBorders>
              <w:top w:val="nil"/>
              <w:left w:val="nil"/>
              <w:bottom w:val="single" w:sz="4" w:space="0" w:color="auto"/>
              <w:right w:val="single" w:sz="4" w:space="0" w:color="auto"/>
            </w:tcBorders>
            <w:shd w:val="clear" w:color="auto" w:fill="auto"/>
            <w:vAlign w:val="center"/>
          </w:tcPr>
          <w:p w14:paraId="73622DC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18831A0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97</w:t>
            </w:r>
          </w:p>
        </w:tc>
        <w:tc>
          <w:tcPr>
            <w:tcW w:w="992" w:type="dxa"/>
            <w:tcBorders>
              <w:top w:val="nil"/>
              <w:left w:val="nil"/>
              <w:bottom w:val="single" w:sz="4" w:space="0" w:color="auto"/>
              <w:right w:val="single" w:sz="4" w:space="0" w:color="auto"/>
            </w:tcBorders>
            <w:shd w:val="clear" w:color="auto" w:fill="auto"/>
            <w:vAlign w:val="center"/>
          </w:tcPr>
          <w:p w14:paraId="788AB717"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7C9ED5C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62,56</w:t>
            </w:r>
          </w:p>
        </w:tc>
        <w:tc>
          <w:tcPr>
            <w:tcW w:w="993" w:type="dxa"/>
            <w:tcBorders>
              <w:top w:val="nil"/>
              <w:left w:val="nil"/>
              <w:bottom w:val="single" w:sz="4" w:space="0" w:color="auto"/>
              <w:right w:val="single" w:sz="4" w:space="0" w:color="auto"/>
            </w:tcBorders>
            <w:shd w:val="clear" w:color="auto" w:fill="auto"/>
            <w:vAlign w:val="center"/>
          </w:tcPr>
          <w:p w14:paraId="747D21C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64,46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F8545A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474B44F7"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70C003B6"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115B55C1"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77F591A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100,0</w:t>
            </w:r>
          </w:p>
        </w:tc>
        <w:tc>
          <w:tcPr>
            <w:tcW w:w="993" w:type="dxa"/>
            <w:tcBorders>
              <w:top w:val="nil"/>
              <w:left w:val="nil"/>
              <w:bottom w:val="single" w:sz="4" w:space="0" w:color="auto"/>
              <w:right w:val="single" w:sz="4" w:space="0" w:color="auto"/>
            </w:tcBorders>
            <w:shd w:val="clear" w:color="auto" w:fill="auto"/>
            <w:vAlign w:val="center"/>
          </w:tcPr>
          <w:p w14:paraId="22E2550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5FE54DA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7AE0E485"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20ABAEE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59,4</w:t>
            </w:r>
          </w:p>
        </w:tc>
        <w:tc>
          <w:tcPr>
            <w:tcW w:w="993" w:type="dxa"/>
            <w:tcBorders>
              <w:top w:val="nil"/>
              <w:left w:val="nil"/>
              <w:bottom w:val="single" w:sz="4" w:space="0" w:color="auto"/>
              <w:right w:val="single" w:sz="4" w:space="0" w:color="auto"/>
            </w:tcBorders>
            <w:shd w:val="clear" w:color="auto" w:fill="auto"/>
            <w:vAlign w:val="center"/>
          </w:tcPr>
          <w:p w14:paraId="75611BF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54,4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2979F8D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5AB70287"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2DA185CF"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28971404"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46E7B1A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4197F39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7D69CFF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F5BE8DB"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401075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53,9</w:t>
            </w:r>
          </w:p>
        </w:tc>
        <w:tc>
          <w:tcPr>
            <w:tcW w:w="993" w:type="dxa"/>
            <w:tcBorders>
              <w:top w:val="nil"/>
              <w:left w:val="nil"/>
              <w:bottom w:val="single" w:sz="4" w:space="0" w:color="auto"/>
              <w:right w:val="single" w:sz="4" w:space="0" w:color="auto"/>
            </w:tcBorders>
            <w:shd w:val="clear" w:color="auto" w:fill="auto"/>
            <w:vAlign w:val="center"/>
          </w:tcPr>
          <w:p w14:paraId="1682FF5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52,15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3A89FCE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774F2510"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39E8D720"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auto"/>
            <w:vAlign w:val="center"/>
          </w:tcPr>
          <w:p w14:paraId="3491B78C"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Марий Эл</w:t>
            </w:r>
          </w:p>
        </w:tc>
        <w:tc>
          <w:tcPr>
            <w:tcW w:w="992" w:type="dxa"/>
            <w:tcBorders>
              <w:top w:val="nil"/>
              <w:left w:val="single" w:sz="4" w:space="0" w:color="auto"/>
              <w:bottom w:val="nil"/>
              <w:right w:val="single" w:sz="4" w:space="0" w:color="auto"/>
            </w:tcBorders>
            <w:shd w:val="clear" w:color="auto" w:fill="auto"/>
            <w:vAlign w:val="center"/>
          </w:tcPr>
          <w:p w14:paraId="553B564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nil"/>
              <w:right w:val="single" w:sz="4" w:space="0" w:color="auto"/>
            </w:tcBorders>
            <w:shd w:val="clear" w:color="auto" w:fill="auto"/>
            <w:vAlign w:val="center"/>
          </w:tcPr>
          <w:p w14:paraId="606A4C5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68FEADC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nil"/>
              <w:right w:val="single" w:sz="4" w:space="0" w:color="auto"/>
            </w:tcBorders>
            <w:shd w:val="clear" w:color="auto" w:fill="auto"/>
            <w:vAlign w:val="center"/>
          </w:tcPr>
          <w:p w14:paraId="0D5E33F1"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99,8 ↓</w:t>
            </w:r>
          </w:p>
        </w:tc>
        <w:tc>
          <w:tcPr>
            <w:tcW w:w="992" w:type="dxa"/>
            <w:tcBorders>
              <w:top w:val="nil"/>
              <w:left w:val="single" w:sz="4" w:space="0" w:color="auto"/>
              <w:bottom w:val="nil"/>
              <w:right w:val="single" w:sz="4" w:space="0" w:color="auto"/>
            </w:tcBorders>
            <w:shd w:val="clear" w:color="auto" w:fill="auto"/>
            <w:vAlign w:val="center"/>
          </w:tcPr>
          <w:p w14:paraId="71FB6D4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89,58</w:t>
            </w:r>
          </w:p>
        </w:tc>
        <w:tc>
          <w:tcPr>
            <w:tcW w:w="993" w:type="dxa"/>
            <w:tcBorders>
              <w:top w:val="nil"/>
              <w:left w:val="nil"/>
              <w:bottom w:val="nil"/>
              <w:right w:val="single" w:sz="4" w:space="0" w:color="auto"/>
            </w:tcBorders>
            <w:shd w:val="clear" w:color="auto" w:fill="auto"/>
            <w:vAlign w:val="center"/>
          </w:tcPr>
          <w:p w14:paraId="559D317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83,1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0A804E7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71F5138B"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324DBDFD"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auto"/>
            <w:vAlign w:val="center"/>
          </w:tcPr>
          <w:p w14:paraId="6B7E7164"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Карачаево-Черкесская Республика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D10B6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99</w:t>
            </w:r>
          </w:p>
        </w:tc>
        <w:tc>
          <w:tcPr>
            <w:tcW w:w="993" w:type="dxa"/>
            <w:tcBorders>
              <w:top w:val="single" w:sz="4" w:space="0" w:color="auto"/>
              <w:left w:val="nil"/>
              <w:bottom w:val="single" w:sz="4" w:space="0" w:color="auto"/>
              <w:right w:val="single" w:sz="4" w:space="0" w:color="auto"/>
            </w:tcBorders>
            <w:shd w:val="clear" w:color="auto" w:fill="auto"/>
            <w:vAlign w:val="center"/>
          </w:tcPr>
          <w:p w14:paraId="2AAF54D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2356C80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53436032"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CE40D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66</w:t>
            </w:r>
          </w:p>
        </w:tc>
        <w:tc>
          <w:tcPr>
            <w:tcW w:w="993" w:type="dxa"/>
            <w:tcBorders>
              <w:top w:val="single" w:sz="4" w:space="0" w:color="auto"/>
              <w:left w:val="nil"/>
              <w:bottom w:val="single" w:sz="4" w:space="0" w:color="auto"/>
              <w:right w:val="single" w:sz="4" w:space="0" w:color="auto"/>
            </w:tcBorders>
            <w:shd w:val="clear" w:color="auto" w:fill="auto"/>
            <w:vAlign w:val="center"/>
          </w:tcPr>
          <w:p w14:paraId="359A80C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034B11C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1D405E86"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1FBB40E"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103777E6"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Оренбургская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AFF5AD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single" w:sz="4" w:space="0" w:color="auto"/>
              <w:right w:val="single" w:sz="4" w:space="0" w:color="auto"/>
            </w:tcBorders>
            <w:shd w:val="clear" w:color="auto" w:fill="auto"/>
            <w:vAlign w:val="center"/>
          </w:tcPr>
          <w:p w14:paraId="714DC5D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single" w:sz="4" w:space="0" w:color="auto"/>
              <w:right w:val="single" w:sz="4" w:space="0" w:color="auto"/>
            </w:tcBorders>
            <w:shd w:val="clear" w:color="auto" w:fill="auto"/>
            <w:vAlign w:val="center"/>
          </w:tcPr>
          <w:p w14:paraId="4FABEF7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120DCB8C"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99 =</w:t>
            </w:r>
          </w:p>
        </w:tc>
        <w:tc>
          <w:tcPr>
            <w:tcW w:w="992" w:type="dxa"/>
            <w:tcBorders>
              <w:top w:val="nil"/>
              <w:left w:val="single" w:sz="4" w:space="0" w:color="auto"/>
              <w:bottom w:val="single" w:sz="4" w:space="0" w:color="auto"/>
              <w:right w:val="single" w:sz="4" w:space="0" w:color="auto"/>
            </w:tcBorders>
            <w:shd w:val="clear" w:color="auto" w:fill="auto"/>
            <w:vAlign w:val="center"/>
          </w:tcPr>
          <w:p w14:paraId="3646794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35</w:t>
            </w:r>
          </w:p>
        </w:tc>
        <w:tc>
          <w:tcPr>
            <w:tcW w:w="993" w:type="dxa"/>
            <w:tcBorders>
              <w:top w:val="nil"/>
              <w:left w:val="nil"/>
              <w:bottom w:val="single" w:sz="4" w:space="0" w:color="auto"/>
              <w:right w:val="single" w:sz="4" w:space="0" w:color="auto"/>
            </w:tcBorders>
            <w:shd w:val="clear" w:color="auto" w:fill="auto"/>
            <w:vAlign w:val="center"/>
          </w:tcPr>
          <w:p w14:paraId="48A6595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38 ↑</w:t>
            </w:r>
          </w:p>
        </w:tc>
        <w:tc>
          <w:tcPr>
            <w:tcW w:w="1842" w:type="dxa"/>
            <w:tcBorders>
              <w:top w:val="single" w:sz="4" w:space="0" w:color="auto"/>
              <w:left w:val="nil"/>
              <w:bottom w:val="single" w:sz="4" w:space="0" w:color="auto"/>
              <w:right w:val="single" w:sz="4" w:space="0" w:color="auto"/>
            </w:tcBorders>
            <w:shd w:val="clear" w:color="auto" w:fill="auto"/>
            <w:vAlign w:val="center"/>
          </w:tcPr>
          <w:p w14:paraId="30BEA80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5E06CE25"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4976EF94"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72D1E3BE"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Брянская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91AEE3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98,9</w:t>
            </w:r>
          </w:p>
        </w:tc>
        <w:tc>
          <w:tcPr>
            <w:tcW w:w="993" w:type="dxa"/>
            <w:tcBorders>
              <w:top w:val="nil"/>
              <w:left w:val="nil"/>
              <w:bottom w:val="single" w:sz="4" w:space="0" w:color="auto"/>
              <w:right w:val="single" w:sz="4" w:space="0" w:color="auto"/>
            </w:tcBorders>
            <w:shd w:val="clear" w:color="auto" w:fill="auto"/>
            <w:vAlign w:val="center"/>
          </w:tcPr>
          <w:p w14:paraId="1931163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98,7</w:t>
            </w:r>
          </w:p>
        </w:tc>
        <w:tc>
          <w:tcPr>
            <w:tcW w:w="992" w:type="dxa"/>
            <w:tcBorders>
              <w:top w:val="nil"/>
              <w:left w:val="nil"/>
              <w:bottom w:val="single" w:sz="4" w:space="0" w:color="auto"/>
              <w:right w:val="single" w:sz="4" w:space="0" w:color="auto"/>
            </w:tcBorders>
            <w:shd w:val="clear" w:color="auto" w:fill="auto"/>
            <w:vAlign w:val="center"/>
          </w:tcPr>
          <w:p w14:paraId="0B2ED17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99,1</w:t>
            </w:r>
          </w:p>
        </w:tc>
        <w:tc>
          <w:tcPr>
            <w:tcW w:w="992" w:type="dxa"/>
            <w:tcBorders>
              <w:top w:val="nil"/>
              <w:left w:val="nil"/>
              <w:bottom w:val="single" w:sz="4" w:space="0" w:color="auto"/>
              <w:right w:val="single" w:sz="4" w:space="0" w:color="auto"/>
            </w:tcBorders>
            <w:shd w:val="clear" w:color="auto" w:fill="auto"/>
            <w:vAlign w:val="center"/>
          </w:tcPr>
          <w:p w14:paraId="1E25A722"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98,9 ↑</w:t>
            </w:r>
          </w:p>
        </w:tc>
        <w:tc>
          <w:tcPr>
            <w:tcW w:w="992" w:type="dxa"/>
            <w:tcBorders>
              <w:top w:val="nil"/>
              <w:left w:val="single" w:sz="4" w:space="0" w:color="auto"/>
              <w:bottom w:val="single" w:sz="4" w:space="0" w:color="auto"/>
              <w:right w:val="single" w:sz="4" w:space="0" w:color="auto"/>
            </w:tcBorders>
            <w:shd w:val="clear" w:color="auto" w:fill="auto"/>
            <w:vAlign w:val="center"/>
          </w:tcPr>
          <w:p w14:paraId="258976F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98,7</w:t>
            </w:r>
          </w:p>
        </w:tc>
        <w:tc>
          <w:tcPr>
            <w:tcW w:w="993" w:type="dxa"/>
            <w:tcBorders>
              <w:top w:val="nil"/>
              <w:left w:val="nil"/>
              <w:bottom w:val="single" w:sz="4" w:space="0" w:color="auto"/>
              <w:right w:val="single" w:sz="4" w:space="0" w:color="auto"/>
            </w:tcBorders>
            <w:shd w:val="clear" w:color="auto" w:fill="auto"/>
            <w:vAlign w:val="center"/>
          </w:tcPr>
          <w:p w14:paraId="25A6346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98,9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7436311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bl>
    <w:p w14:paraId="461F4CAA" w14:textId="77777777" w:rsidR="005D4A43" w:rsidRPr="005D4A43" w:rsidRDefault="005D4A43" w:rsidP="005D4A43">
      <w:pPr>
        <w:spacing w:after="0" w:line="240" w:lineRule="auto"/>
        <w:ind w:firstLine="709"/>
        <w:jc w:val="both"/>
        <w:rPr>
          <w:rFonts w:ascii="Times New Roman" w:hAnsi="Times New Roman" w:cs="Times New Roman"/>
          <w:sz w:val="24"/>
          <w:szCs w:val="24"/>
        </w:rPr>
      </w:pPr>
    </w:p>
    <w:p w14:paraId="39CCECD3"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перевозок пассажиров наземным транспортом</w:t>
      </w:r>
      <w:r w:rsidRPr="00026454">
        <w:rPr>
          <w:rFonts w:ascii="Times New Roman" w:hAnsi="Times New Roman" w:cs="Times New Roman"/>
          <w:sz w:val="28"/>
          <w:szCs w:val="28"/>
        </w:rPr>
        <w:t xml:space="preserve"> в </w:t>
      </w:r>
      <w:r w:rsidRPr="00026454">
        <w:rPr>
          <w:rFonts w:ascii="Times New Roman" w:hAnsi="Times New Roman" w:cs="Times New Roman"/>
          <w:b/>
          <w:sz w:val="28"/>
          <w:szCs w:val="28"/>
        </w:rPr>
        <w:t>Республике Адыгея, Республике Бурятия, Республике Марий Эл, Республике Хакасия, Чувашской Республике, Астраханской, Липецкой, Самарской, Сахалинской областях</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этом в 7 субъектах Российской Федерации фактическое значение целевого показателя остается неизменным (100%).  </w:t>
      </w:r>
    </w:p>
    <w:p w14:paraId="05A6370B" w14:textId="0A1ECED5"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8 регионах процент удовлетворенности</w:t>
      </w:r>
      <w:r w:rsidR="00026454">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549A530C" w14:textId="634D853E"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w:t>
      </w:r>
      <w:r w:rsidR="00026454">
        <w:rPr>
          <w:rFonts w:ascii="Times New Roman" w:hAnsi="Times New Roman" w:cs="Times New Roman"/>
          <w:sz w:val="28"/>
          <w:szCs w:val="28"/>
        </w:rPr>
        <w:t>кой Федерации в 33 регионах (39</w:t>
      </w:r>
      <w:r w:rsidRPr="005D4A43">
        <w:rPr>
          <w:rFonts w:ascii="Times New Roman" w:hAnsi="Times New Roman" w:cs="Times New Roman"/>
          <w:sz w:val="28"/>
          <w:szCs w:val="28"/>
        </w:rPr>
        <w:t>% субъектов Р</w:t>
      </w:r>
      <w:r w:rsidR="00026454">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sidR="00026454">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w:t>
      </w:r>
      <w:r w:rsidR="00026454">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3F70DA16"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676B58F4"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Карачаево-Черкесская Республика, Удмуртская Республика,</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Приморский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1C40761D"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6FFFF878" w14:textId="2A191C1F"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sidR="00026454">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49EC0DCD" w14:textId="77777777" w:rsidR="005D4A43" w:rsidRPr="005D4A43" w:rsidRDefault="005D4A43" w:rsidP="005D4A43">
      <w:pPr>
        <w:spacing w:after="0" w:line="240" w:lineRule="auto"/>
        <w:ind w:firstLine="709"/>
        <w:jc w:val="center"/>
        <w:rPr>
          <w:rFonts w:ascii="Times New Roman" w:hAnsi="Times New Roman" w:cs="Times New Roman"/>
          <w:b/>
          <w:i/>
          <w:sz w:val="28"/>
          <w:szCs w:val="28"/>
        </w:rPr>
      </w:pPr>
    </w:p>
    <w:p w14:paraId="7FDA5533" w14:textId="77777777" w:rsidR="005D4A43" w:rsidRPr="00026454" w:rsidRDefault="005D4A43" w:rsidP="005D4A43">
      <w:pPr>
        <w:spacing w:after="0" w:line="240" w:lineRule="auto"/>
        <w:ind w:firstLine="709"/>
        <w:jc w:val="center"/>
        <w:rPr>
          <w:rFonts w:ascii="Times New Roman" w:hAnsi="Times New Roman" w:cs="Times New Roman"/>
          <w:b/>
          <w:sz w:val="28"/>
          <w:szCs w:val="28"/>
        </w:rPr>
      </w:pPr>
      <w:r w:rsidRPr="00026454">
        <w:rPr>
          <w:rFonts w:ascii="Times New Roman" w:hAnsi="Times New Roman" w:cs="Times New Roman"/>
          <w:b/>
          <w:sz w:val="28"/>
          <w:szCs w:val="28"/>
        </w:rPr>
        <w:t>7.</w:t>
      </w:r>
      <w:r w:rsidRPr="00026454">
        <w:rPr>
          <w:rFonts w:ascii="Times New Roman" w:hAnsi="Times New Roman" w:cs="Times New Roman"/>
          <w:sz w:val="24"/>
          <w:szCs w:val="24"/>
        </w:rPr>
        <w:t xml:space="preserve"> </w:t>
      </w:r>
      <w:r w:rsidRPr="00026454">
        <w:rPr>
          <w:rFonts w:ascii="Times New Roman" w:hAnsi="Times New Roman" w:cs="Times New Roman"/>
          <w:b/>
          <w:sz w:val="28"/>
          <w:szCs w:val="28"/>
        </w:rPr>
        <w:t>Рынок услуг связи</w:t>
      </w:r>
    </w:p>
    <w:p w14:paraId="76037CA9" w14:textId="77777777" w:rsidR="005D4A43" w:rsidRPr="005D4A43" w:rsidRDefault="005D4A43" w:rsidP="005D4A43">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Мбит/сек, предоставляемыми не менее чем 2 операторами связи (процентов)</w:t>
      </w:r>
    </w:p>
    <w:p w14:paraId="7ED25866" w14:textId="77777777" w:rsidR="005D4A43" w:rsidRPr="005D4A43" w:rsidRDefault="005D4A43" w:rsidP="005D4A43">
      <w:pPr>
        <w:spacing w:after="0" w:line="240" w:lineRule="auto"/>
        <w:ind w:firstLine="709"/>
        <w:jc w:val="both"/>
        <w:rPr>
          <w:rFonts w:ascii="Times New Roman" w:hAnsi="Times New Roman" w:cs="Times New Roman"/>
          <w:sz w:val="16"/>
          <w:szCs w:val="16"/>
        </w:rPr>
      </w:pPr>
    </w:p>
    <w:tbl>
      <w:tblPr>
        <w:tblStyle w:val="afa"/>
        <w:tblW w:w="10773" w:type="dxa"/>
        <w:tblInd w:w="-1139" w:type="dxa"/>
        <w:tblLayout w:type="fixed"/>
        <w:tblLook w:val="04A0" w:firstRow="1" w:lastRow="0" w:firstColumn="1" w:lastColumn="0" w:noHBand="0" w:noVBand="1"/>
      </w:tblPr>
      <w:tblGrid>
        <w:gridCol w:w="567"/>
        <w:gridCol w:w="2269"/>
        <w:gridCol w:w="992"/>
        <w:gridCol w:w="992"/>
        <w:gridCol w:w="851"/>
        <w:gridCol w:w="1134"/>
        <w:gridCol w:w="1134"/>
        <w:gridCol w:w="1134"/>
        <w:gridCol w:w="1700"/>
      </w:tblGrid>
      <w:tr w:rsidR="005D4A43" w:rsidRPr="005D4A43" w14:paraId="39C6B9A3" w14:textId="77777777" w:rsidTr="00126F5B">
        <w:trPr>
          <w:trHeight w:val="1159"/>
          <w:tblHeader/>
        </w:trPr>
        <w:tc>
          <w:tcPr>
            <w:tcW w:w="567" w:type="dxa"/>
            <w:vMerge w:val="restart"/>
            <w:shd w:val="clear" w:color="auto" w:fill="DEEAF6" w:themeFill="accent1" w:themeFillTint="33"/>
            <w:vAlign w:val="center"/>
          </w:tcPr>
          <w:p w14:paraId="66964EBE"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2F57BB72"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53BED7E2" w14:textId="77777777" w:rsidR="005D4A43" w:rsidRPr="005D4A43" w:rsidRDefault="005D4A43" w:rsidP="005D4A43">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5B6CE047"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7AE4E233"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5D4A43" w:rsidRPr="005D4A43" w14:paraId="3896475F" w14:textId="77777777" w:rsidTr="00126F5B">
        <w:trPr>
          <w:trHeight w:val="177"/>
          <w:tblHeader/>
        </w:trPr>
        <w:tc>
          <w:tcPr>
            <w:tcW w:w="567" w:type="dxa"/>
            <w:vMerge/>
            <w:shd w:val="clear" w:color="auto" w:fill="DEEAF6" w:themeFill="accent1" w:themeFillTint="33"/>
            <w:vAlign w:val="center"/>
          </w:tcPr>
          <w:p w14:paraId="17CC667A" w14:textId="77777777" w:rsidR="005D4A43" w:rsidRPr="005D4A43" w:rsidRDefault="005D4A43" w:rsidP="005D4A43">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17841C02" w14:textId="77777777" w:rsidR="005D4A43" w:rsidRPr="005D4A43" w:rsidRDefault="005D4A43" w:rsidP="005D4A43">
            <w:pPr>
              <w:jc w:val="both"/>
              <w:rPr>
                <w:rFonts w:ascii="Times New Roman" w:hAnsi="Times New Roman" w:cs="Times New Roman"/>
                <w:b/>
                <w:sz w:val="24"/>
                <w:szCs w:val="24"/>
              </w:rPr>
            </w:pPr>
          </w:p>
        </w:tc>
        <w:tc>
          <w:tcPr>
            <w:tcW w:w="992" w:type="dxa"/>
            <w:shd w:val="clear" w:color="auto" w:fill="DEEAF6" w:themeFill="accent1" w:themeFillTint="33"/>
            <w:vAlign w:val="center"/>
          </w:tcPr>
          <w:p w14:paraId="4233295B"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3FC65D7A"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851" w:type="dxa"/>
            <w:shd w:val="clear" w:color="auto" w:fill="DEEAF6" w:themeFill="accent1" w:themeFillTint="33"/>
            <w:vAlign w:val="center"/>
          </w:tcPr>
          <w:p w14:paraId="37FCEDDC"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D3DD0E8"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47845921"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3B5C22C7"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8AEF353"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4AB9987C"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4D1BA503" w14:textId="77777777" w:rsidR="005D4A43" w:rsidRPr="005D4A43" w:rsidRDefault="005D4A43" w:rsidP="005D4A43">
            <w:pPr>
              <w:jc w:val="both"/>
              <w:rPr>
                <w:rFonts w:ascii="Times New Roman" w:hAnsi="Times New Roman" w:cs="Times New Roman"/>
                <w:b/>
                <w:sz w:val="24"/>
                <w:szCs w:val="24"/>
              </w:rPr>
            </w:pPr>
          </w:p>
        </w:tc>
      </w:tr>
      <w:tr w:rsidR="005D4A43" w:rsidRPr="005D4A43" w14:paraId="2CB11727"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783CD4D6"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0BE00F7"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37DAE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65</w:t>
            </w:r>
          </w:p>
        </w:tc>
        <w:tc>
          <w:tcPr>
            <w:tcW w:w="992" w:type="dxa"/>
            <w:tcBorders>
              <w:top w:val="single" w:sz="4" w:space="0" w:color="auto"/>
              <w:left w:val="nil"/>
              <w:bottom w:val="single" w:sz="4" w:space="0" w:color="auto"/>
              <w:right w:val="single" w:sz="4" w:space="0" w:color="auto"/>
            </w:tcBorders>
            <w:shd w:val="clear" w:color="auto" w:fill="auto"/>
            <w:vAlign w:val="center"/>
          </w:tcPr>
          <w:p w14:paraId="0DD4805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65</w:t>
            </w:r>
          </w:p>
        </w:tc>
        <w:tc>
          <w:tcPr>
            <w:tcW w:w="851" w:type="dxa"/>
            <w:tcBorders>
              <w:top w:val="single" w:sz="4" w:space="0" w:color="auto"/>
              <w:left w:val="nil"/>
              <w:bottom w:val="single" w:sz="4" w:space="0" w:color="auto"/>
              <w:right w:val="single" w:sz="4" w:space="0" w:color="auto"/>
            </w:tcBorders>
            <w:shd w:val="clear" w:color="auto" w:fill="auto"/>
            <w:vAlign w:val="center"/>
          </w:tcPr>
          <w:p w14:paraId="2C4D6A7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F95827"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B7A79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88,1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A5E48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F3D45F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r>
      <w:tr w:rsidR="005D4A43" w:rsidRPr="005D4A43" w14:paraId="5E1A2610"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0D1FC86"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32D173DA"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28563D8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0F82200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90,4</w:t>
            </w:r>
          </w:p>
        </w:tc>
        <w:tc>
          <w:tcPr>
            <w:tcW w:w="851" w:type="dxa"/>
            <w:tcBorders>
              <w:top w:val="nil"/>
              <w:left w:val="nil"/>
              <w:bottom w:val="single" w:sz="4" w:space="0" w:color="auto"/>
              <w:right w:val="single" w:sz="4" w:space="0" w:color="auto"/>
            </w:tcBorders>
            <w:shd w:val="clear" w:color="auto" w:fill="auto"/>
            <w:vAlign w:val="center"/>
          </w:tcPr>
          <w:p w14:paraId="0E13A62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22D9F871"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99,89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F1CCB7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29,3</w:t>
            </w:r>
          </w:p>
        </w:tc>
        <w:tc>
          <w:tcPr>
            <w:tcW w:w="1134" w:type="dxa"/>
            <w:tcBorders>
              <w:top w:val="nil"/>
              <w:left w:val="nil"/>
              <w:bottom w:val="single" w:sz="4" w:space="0" w:color="auto"/>
              <w:right w:val="single" w:sz="4" w:space="0" w:color="auto"/>
            </w:tcBorders>
            <w:shd w:val="clear" w:color="auto" w:fill="auto"/>
            <w:vAlign w:val="center"/>
          </w:tcPr>
          <w:p w14:paraId="2EB6417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37,5 ↑</w:t>
            </w:r>
          </w:p>
        </w:tc>
        <w:tc>
          <w:tcPr>
            <w:tcW w:w="1700" w:type="dxa"/>
            <w:tcBorders>
              <w:top w:val="single" w:sz="4" w:space="0" w:color="auto"/>
              <w:left w:val="nil"/>
              <w:bottom w:val="nil"/>
              <w:right w:val="single" w:sz="4" w:space="0" w:color="auto"/>
            </w:tcBorders>
            <w:shd w:val="clear" w:color="auto" w:fill="auto"/>
            <w:vAlign w:val="center"/>
          </w:tcPr>
          <w:p w14:paraId="20FB272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r>
      <w:tr w:rsidR="005D4A43" w:rsidRPr="005D4A43" w14:paraId="7FB4FB37"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2C33094F"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auto"/>
            <w:vAlign w:val="center"/>
          </w:tcPr>
          <w:p w14:paraId="3CF8D8D7"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nil"/>
              <w:left w:val="single" w:sz="4" w:space="0" w:color="auto"/>
              <w:bottom w:val="single" w:sz="4" w:space="0" w:color="auto"/>
              <w:right w:val="single" w:sz="4" w:space="0" w:color="auto"/>
            </w:tcBorders>
            <w:shd w:val="clear" w:color="auto" w:fill="auto"/>
            <w:vAlign w:val="center"/>
          </w:tcPr>
          <w:p w14:paraId="31A3925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99,7</w:t>
            </w:r>
          </w:p>
        </w:tc>
        <w:tc>
          <w:tcPr>
            <w:tcW w:w="992" w:type="dxa"/>
            <w:tcBorders>
              <w:top w:val="nil"/>
              <w:left w:val="nil"/>
              <w:bottom w:val="single" w:sz="4" w:space="0" w:color="auto"/>
              <w:right w:val="single" w:sz="4" w:space="0" w:color="auto"/>
            </w:tcBorders>
            <w:shd w:val="clear" w:color="auto" w:fill="auto"/>
            <w:vAlign w:val="center"/>
          </w:tcPr>
          <w:p w14:paraId="6B31CC1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99,7</w:t>
            </w:r>
          </w:p>
        </w:tc>
        <w:tc>
          <w:tcPr>
            <w:tcW w:w="851" w:type="dxa"/>
            <w:tcBorders>
              <w:top w:val="nil"/>
              <w:left w:val="nil"/>
              <w:bottom w:val="single" w:sz="4" w:space="0" w:color="auto"/>
              <w:right w:val="single" w:sz="4" w:space="0" w:color="auto"/>
            </w:tcBorders>
            <w:shd w:val="clear" w:color="auto" w:fill="auto"/>
            <w:vAlign w:val="center"/>
          </w:tcPr>
          <w:p w14:paraId="706FD9A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99,8</w:t>
            </w:r>
          </w:p>
        </w:tc>
        <w:tc>
          <w:tcPr>
            <w:tcW w:w="1134" w:type="dxa"/>
            <w:tcBorders>
              <w:top w:val="nil"/>
              <w:left w:val="nil"/>
              <w:bottom w:val="single" w:sz="4" w:space="0" w:color="auto"/>
              <w:right w:val="single" w:sz="4" w:space="0" w:color="auto"/>
            </w:tcBorders>
            <w:shd w:val="clear" w:color="auto" w:fill="auto"/>
            <w:vAlign w:val="center"/>
          </w:tcPr>
          <w:p w14:paraId="0DFD141D"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0F9648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3A92F15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3240EC4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45B7B60F"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5D165940"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auto"/>
            <w:vAlign w:val="center"/>
          </w:tcPr>
          <w:p w14:paraId="3D6AD839"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6F5D2B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vAlign w:val="center"/>
          </w:tcPr>
          <w:p w14:paraId="5FA2297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98</w:t>
            </w:r>
          </w:p>
        </w:tc>
        <w:tc>
          <w:tcPr>
            <w:tcW w:w="851" w:type="dxa"/>
            <w:tcBorders>
              <w:top w:val="nil"/>
              <w:left w:val="nil"/>
              <w:bottom w:val="single" w:sz="4" w:space="0" w:color="auto"/>
              <w:right w:val="single" w:sz="4" w:space="0" w:color="auto"/>
            </w:tcBorders>
            <w:shd w:val="clear" w:color="auto" w:fill="auto"/>
            <w:vAlign w:val="center"/>
          </w:tcPr>
          <w:p w14:paraId="6B1DE31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vAlign w:val="center"/>
          </w:tcPr>
          <w:p w14:paraId="749EDFC5"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DFB7BB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68,01</w:t>
            </w:r>
          </w:p>
        </w:tc>
        <w:tc>
          <w:tcPr>
            <w:tcW w:w="1134" w:type="dxa"/>
            <w:tcBorders>
              <w:top w:val="nil"/>
              <w:left w:val="nil"/>
              <w:bottom w:val="single" w:sz="4" w:space="0" w:color="auto"/>
              <w:right w:val="single" w:sz="4" w:space="0" w:color="auto"/>
            </w:tcBorders>
            <w:shd w:val="clear" w:color="auto" w:fill="auto"/>
            <w:vAlign w:val="center"/>
          </w:tcPr>
          <w:p w14:paraId="03C695D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78,46 ↑</w:t>
            </w:r>
          </w:p>
        </w:tc>
        <w:tc>
          <w:tcPr>
            <w:tcW w:w="1700" w:type="dxa"/>
            <w:tcBorders>
              <w:top w:val="nil"/>
              <w:left w:val="nil"/>
              <w:bottom w:val="single" w:sz="4" w:space="0" w:color="auto"/>
              <w:right w:val="single" w:sz="4" w:space="0" w:color="auto"/>
            </w:tcBorders>
            <w:shd w:val="clear" w:color="auto" w:fill="auto"/>
            <w:vAlign w:val="center"/>
          </w:tcPr>
          <w:p w14:paraId="746E477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r>
      <w:tr w:rsidR="005D4A43" w:rsidRPr="005D4A43" w14:paraId="727269D5"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33D0289A"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auto"/>
            <w:vAlign w:val="center"/>
          </w:tcPr>
          <w:p w14:paraId="53B27CE7"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016E856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94</w:t>
            </w:r>
          </w:p>
        </w:tc>
        <w:tc>
          <w:tcPr>
            <w:tcW w:w="992" w:type="dxa"/>
            <w:tcBorders>
              <w:top w:val="nil"/>
              <w:left w:val="nil"/>
              <w:bottom w:val="single" w:sz="4" w:space="0" w:color="auto"/>
              <w:right w:val="single" w:sz="4" w:space="0" w:color="auto"/>
            </w:tcBorders>
            <w:shd w:val="clear" w:color="auto" w:fill="auto"/>
            <w:vAlign w:val="center"/>
          </w:tcPr>
          <w:p w14:paraId="0800B84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95</w:t>
            </w:r>
          </w:p>
        </w:tc>
        <w:tc>
          <w:tcPr>
            <w:tcW w:w="851" w:type="dxa"/>
            <w:tcBorders>
              <w:top w:val="nil"/>
              <w:left w:val="nil"/>
              <w:bottom w:val="single" w:sz="4" w:space="0" w:color="auto"/>
              <w:right w:val="single" w:sz="4" w:space="0" w:color="auto"/>
            </w:tcBorders>
            <w:shd w:val="clear" w:color="auto" w:fill="auto"/>
            <w:vAlign w:val="center"/>
          </w:tcPr>
          <w:p w14:paraId="1EAB53C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2DBA4E5A"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96,37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F5CAC5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49</w:t>
            </w:r>
          </w:p>
        </w:tc>
        <w:tc>
          <w:tcPr>
            <w:tcW w:w="1134" w:type="dxa"/>
            <w:tcBorders>
              <w:top w:val="nil"/>
              <w:left w:val="nil"/>
              <w:bottom w:val="single" w:sz="4" w:space="0" w:color="auto"/>
              <w:right w:val="single" w:sz="4" w:space="0" w:color="auto"/>
            </w:tcBorders>
            <w:shd w:val="clear" w:color="auto" w:fill="auto"/>
            <w:vAlign w:val="center"/>
          </w:tcPr>
          <w:p w14:paraId="014CA5C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65,06 ↑</w:t>
            </w:r>
          </w:p>
        </w:tc>
        <w:tc>
          <w:tcPr>
            <w:tcW w:w="1700" w:type="dxa"/>
            <w:tcBorders>
              <w:top w:val="nil"/>
              <w:left w:val="nil"/>
              <w:bottom w:val="single" w:sz="4" w:space="0" w:color="auto"/>
              <w:right w:val="single" w:sz="4" w:space="0" w:color="auto"/>
            </w:tcBorders>
            <w:shd w:val="clear" w:color="auto" w:fill="auto"/>
            <w:vAlign w:val="center"/>
          </w:tcPr>
          <w:p w14:paraId="748020A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r>
      <w:tr w:rsidR="005D4A43" w:rsidRPr="005D4A43" w14:paraId="46F39A8D"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A5305CB"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E120880"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Амурская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24DCE27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48E9433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37C3F66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73D0EFC9"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96,3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18BE37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47,3</w:t>
            </w:r>
          </w:p>
        </w:tc>
        <w:tc>
          <w:tcPr>
            <w:tcW w:w="1134" w:type="dxa"/>
            <w:tcBorders>
              <w:top w:val="nil"/>
              <w:left w:val="nil"/>
              <w:bottom w:val="single" w:sz="4" w:space="0" w:color="auto"/>
              <w:right w:val="single" w:sz="4" w:space="0" w:color="auto"/>
            </w:tcBorders>
            <w:shd w:val="clear" w:color="auto" w:fill="auto"/>
            <w:vAlign w:val="center"/>
          </w:tcPr>
          <w:p w14:paraId="5EA2000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48 ↑</w:t>
            </w:r>
          </w:p>
        </w:tc>
        <w:tc>
          <w:tcPr>
            <w:tcW w:w="1700" w:type="dxa"/>
            <w:tcBorders>
              <w:top w:val="nil"/>
              <w:left w:val="nil"/>
              <w:bottom w:val="single" w:sz="4" w:space="0" w:color="auto"/>
              <w:right w:val="single" w:sz="4" w:space="0" w:color="auto"/>
            </w:tcBorders>
            <w:shd w:val="clear" w:color="auto" w:fill="auto"/>
            <w:vAlign w:val="center"/>
          </w:tcPr>
          <w:p w14:paraId="07E713E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r>
      <w:tr w:rsidR="005D4A43" w:rsidRPr="005D4A43" w14:paraId="12D0419F"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0A7CE2F3"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auto"/>
            <w:vAlign w:val="center"/>
          </w:tcPr>
          <w:p w14:paraId="741B41F1"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Татарстан</w:t>
            </w:r>
          </w:p>
        </w:tc>
        <w:tc>
          <w:tcPr>
            <w:tcW w:w="992" w:type="dxa"/>
            <w:tcBorders>
              <w:top w:val="nil"/>
              <w:left w:val="single" w:sz="4" w:space="0" w:color="auto"/>
              <w:bottom w:val="single" w:sz="4" w:space="0" w:color="auto"/>
              <w:right w:val="single" w:sz="4" w:space="0" w:color="auto"/>
            </w:tcBorders>
            <w:shd w:val="clear" w:color="auto" w:fill="auto"/>
            <w:vAlign w:val="center"/>
          </w:tcPr>
          <w:p w14:paraId="54BDA73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0AC411B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90,8</w:t>
            </w:r>
          </w:p>
        </w:tc>
        <w:tc>
          <w:tcPr>
            <w:tcW w:w="851" w:type="dxa"/>
            <w:tcBorders>
              <w:top w:val="nil"/>
              <w:left w:val="nil"/>
              <w:bottom w:val="single" w:sz="4" w:space="0" w:color="auto"/>
              <w:right w:val="single" w:sz="4" w:space="0" w:color="auto"/>
            </w:tcBorders>
            <w:shd w:val="clear" w:color="auto" w:fill="auto"/>
            <w:vAlign w:val="center"/>
          </w:tcPr>
          <w:p w14:paraId="1EE775B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309AB83B"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95,9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A9A7A5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44,2</w:t>
            </w:r>
          </w:p>
        </w:tc>
        <w:tc>
          <w:tcPr>
            <w:tcW w:w="1134" w:type="dxa"/>
            <w:tcBorders>
              <w:top w:val="nil"/>
              <w:left w:val="nil"/>
              <w:bottom w:val="single" w:sz="4" w:space="0" w:color="auto"/>
              <w:right w:val="single" w:sz="4" w:space="0" w:color="auto"/>
            </w:tcBorders>
            <w:shd w:val="clear" w:color="auto" w:fill="auto"/>
            <w:vAlign w:val="center"/>
          </w:tcPr>
          <w:p w14:paraId="53550DD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52,2 ↑</w:t>
            </w:r>
          </w:p>
        </w:tc>
        <w:tc>
          <w:tcPr>
            <w:tcW w:w="1700" w:type="dxa"/>
            <w:tcBorders>
              <w:top w:val="nil"/>
              <w:left w:val="nil"/>
              <w:bottom w:val="single" w:sz="4" w:space="0" w:color="auto"/>
              <w:right w:val="single" w:sz="4" w:space="0" w:color="auto"/>
            </w:tcBorders>
            <w:shd w:val="clear" w:color="auto" w:fill="auto"/>
            <w:vAlign w:val="center"/>
          </w:tcPr>
          <w:p w14:paraId="0100B29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r>
      <w:tr w:rsidR="005D4A43" w:rsidRPr="005D4A43" w14:paraId="4B2F22A5"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A72206A"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7527BED"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62692D8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92,79</w:t>
            </w:r>
          </w:p>
        </w:tc>
        <w:tc>
          <w:tcPr>
            <w:tcW w:w="992" w:type="dxa"/>
            <w:tcBorders>
              <w:top w:val="nil"/>
              <w:left w:val="nil"/>
              <w:bottom w:val="single" w:sz="4" w:space="0" w:color="auto"/>
              <w:right w:val="single" w:sz="4" w:space="0" w:color="auto"/>
            </w:tcBorders>
            <w:shd w:val="clear" w:color="auto" w:fill="auto"/>
            <w:vAlign w:val="center"/>
          </w:tcPr>
          <w:p w14:paraId="78048C9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92,79</w:t>
            </w:r>
          </w:p>
        </w:tc>
        <w:tc>
          <w:tcPr>
            <w:tcW w:w="851" w:type="dxa"/>
            <w:tcBorders>
              <w:top w:val="nil"/>
              <w:left w:val="nil"/>
              <w:bottom w:val="single" w:sz="4" w:space="0" w:color="auto"/>
              <w:right w:val="single" w:sz="4" w:space="0" w:color="auto"/>
            </w:tcBorders>
            <w:shd w:val="clear" w:color="auto" w:fill="auto"/>
            <w:vAlign w:val="center"/>
          </w:tcPr>
          <w:p w14:paraId="6192D3C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95,08</w:t>
            </w:r>
          </w:p>
        </w:tc>
        <w:tc>
          <w:tcPr>
            <w:tcW w:w="1134" w:type="dxa"/>
            <w:tcBorders>
              <w:top w:val="nil"/>
              <w:left w:val="nil"/>
              <w:bottom w:val="single" w:sz="4" w:space="0" w:color="auto"/>
              <w:right w:val="single" w:sz="4" w:space="0" w:color="auto"/>
            </w:tcBorders>
            <w:shd w:val="clear" w:color="auto" w:fill="auto"/>
            <w:vAlign w:val="center"/>
          </w:tcPr>
          <w:p w14:paraId="58D2447D"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95,08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59A642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5F00DF7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1,4 ↓</w:t>
            </w:r>
          </w:p>
        </w:tc>
        <w:tc>
          <w:tcPr>
            <w:tcW w:w="1700" w:type="dxa"/>
            <w:tcBorders>
              <w:top w:val="nil"/>
              <w:left w:val="nil"/>
              <w:bottom w:val="single" w:sz="4" w:space="0" w:color="auto"/>
              <w:right w:val="single" w:sz="4" w:space="0" w:color="auto"/>
            </w:tcBorders>
            <w:shd w:val="clear" w:color="auto" w:fill="FFC000"/>
            <w:vAlign w:val="center"/>
          </w:tcPr>
          <w:p w14:paraId="3F8ACED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r>
      <w:tr w:rsidR="005D4A43" w:rsidRPr="005D4A43" w14:paraId="1DBE64E4"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A50E16A"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3BE498AB"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Крым</w:t>
            </w:r>
          </w:p>
        </w:tc>
        <w:tc>
          <w:tcPr>
            <w:tcW w:w="992" w:type="dxa"/>
            <w:tcBorders>
              <w:top w:val="nil"/>
              <w:left w:val="single" w:sz="4" w:space="0" w:color="auto"/>
              <w:bottom w:val="single" w:sz="4" w:space="0" w:color="auto"/>
              <w:right w:val="single" w:sz="4" w:space="0" w:color="auto"/>
            </w:tcBorders>
            <w:shd w:val="clear" w:color="auto" w:fill="auto"/>
            <w:vAlign w:val="center"/>
          </w:tcPr>
          <w:p w14:paraId="4BC1A6F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85,4</w:t>
            </w:r>
          </w:p>
        </w:tc>
        <w:tc>
          <w:tcPr>
            <w:tcW w:w="992" w:type="dxa"/>
            <w:tcBorders>
              <w:top w:val="nil"/>
              <w:left w:val="nil"/>
              <w:bottom w:val="single" w:sz="4" w:space="0" w:color="auto"/>
              <w:right w:val="single" w:sz="4" w:space="0" w:color="auto"/>
            </w:tcBorders>
            <w:shd w:val="clear" w:color="auto" w:fill="auto"/>
            <w:vAlign w:val="center"/>
          </w:tcPr>
          <w:p w14:paraId="5F2E6F0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89,6</w:t>
            </w:r>
          </w:p>
        </w:tc>
        <w:tc>
          <w:tcPr>
            <w:tcW w:w="851" w:type="dxa"/>
            <w:tcBorders>
              <w:top w:val="nil"/>
              <w:left w:val="nil"/>
              <w:bottom w:val="single" w:sz="4" w:space="0" w:color="auto"/>
              <w:right w:val="single" w:sz="4" w:space="0" w:color="auto"/>
            </w:tcBorders>
            <w:shd w:val="clear" w:color="auto" w:fill="auto"/>
            <w:vAlign w:val="center"/>
          </w:tcPr>
          <w:p w14:paraId="1367171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74EDD798"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374E74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66</w:t>
            </w:r>
          </w:p>
        </w:tc>
        <w:tc>
          <w:tcPr>
            <w:tcW w:w="1134" w:type="dxa"/>
            <w:tcBorders>
              <w:top w:val="nil"/>
              <w:left w:val="nil"/>
              <w:bottom w:val="single" w:sz="4" w:space="0" w:color="auto"/>
              <w:right w:val="single" w:sz="4" w:space="0" w:color="auto"/>
            </w:tcBorders>
            <w:shd w:val="clear" w:color="auto" w:fill="auto"/>
            <w:vAlign w:val="center"/>
          </w:tcPr>
          <w:p w14:paraId="16D9F28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46  ↓</w:t>
            </w:r>
          </w:p>
        </w:tc>
        <w:tc>
          <w:tcPr>
            <w:tcW w:w="1700" w:type="dxa"/>
            <w:tcBorders>
              <w:top w:val="single" w:sz="4" w:space="0" w:color="auto"/>
              <w:left w:val="single" w:sz="4" w:space="0" w:color="auto"/>
              <w:bottom w:val="single" w:sz="4" w:space="0" w:color="auto"/>
              <w:right w:val="single" w:sz="4" w:space="0" w:color="auto"/>
            </w:tcBorders>
            <w:shd w:val="clear" w:color="auto" w:fill="FFC000"/>
            <w:vAlign w:val="center"/>
          </w:tcPr>
          <w:p w14:paraId="4238F29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73CD132F"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2C314BDB"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7A37DFE8"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C95AED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2560FC6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87,7</w:t>
            </w:r>
          </w:p>
        </w:tc>
        <w:tc>
          <w:tcPr>
            <w:tcW w:w="851" w:type="dxa"/>
            <w:tcBorders>
              <w:top w:val="nil"/>
              <w:left w:val="nil"/>
              <w:bottom w:val="single" w:sz="4" w:space="0" w:color="auto"/>
              <w:right w:val="single" w:sz="4" w:space="0" w:color="auto"/>
            </w:tcBorders>
            <w:shd w:val="clear" w:color="auto" w:fill="auto"/>
            <w:vAlign w:val="center"/>
          </w:tcPr>
          <w:p w14:paraId="14C062F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33A0C218"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942E6F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58,8</w:t>
            </w:r>
          </w:p>
        </w:tc>
        <w:tc>
          <w:tcPr>
            <w:tcW w:w="1134" w:type="dxa"/>
            <w:tcBorders>
              <w:top w:val="nil"/>
              <w:left w:val="nil"/>
              <w:bottom w:val="single" w:sz="4" w:space="0" w:color="auto"/>
              <w:right w:val="single" w:sz="4" w:space="0" w:color="auto"/>
            </w:tcBorders>
            <w:shd w:val="clear" w:color="auto" w:fill="auto"/>
            <w:vAlign w:val="center"/>
          </w:tcPr>
          <w:p w14:paraId="56A2655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62,6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2F15D65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r>
      <w:tr w:rsidR="005D4A43" w:rsidRPr="005D4A43" w14:paraId="2D668291"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1D65DFC6"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68465F68"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6EC706A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72,0</w:t>
            </w:r>
          </w:p>
        </w:tc>
        <w:tc>
          <w:tcPr>
            <w:tcW w:w="992" w:type="dxa"/>
            <w:tcBorders>
              <w:top w:val="nil"/>
              <w:left w:val="nil"/>
              <w:bottom w:val="single" w:sz="4" w:space="0" w:color="auto"/>
              <w:right w:val="single" w:sz="4" w:space="0" w:color="auto"/>
            </w:tcBorders>
            <w:shd w:val="clear" w:color="auto" w:fill="auto"/>
            <w:vAlign w:val="center"/>
          </w:tcPr>
          <w:p w14:paraId="64560CE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73,0</w:t>
            </w:r>
          </w:p>
        </w:tc>
        <w:tc>
          <w:tcPr>
            <w:tcW w:w="851" w:type="dxa"/>
            <w:tcBorders>
              <w:top w:val="nil"/>
              <w:left w:val="nil"/>
              <w:bottom w:val="single" w:sz="4" w:space="0" w:color="auto"/>
              <w:right w:val="single" w:sz="4" w:space="0" w:color="auto"/>
            </w:tcBorders>
            <w:shd w:val="clear" w:color="auto" w:fill="auto"/>
            <w:vAlign w:val="center"/>
          </w:tcPr>
          <w:p w14:paraId="5439DF9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90,0</w:t>
            </w:r>
          </w:p>
        </w:tc>
        <w:tc>
          <w:tcPr>
            <w:tcW w:w="1134" w:type="dxa"/>
            <w:tcBorders>
              <w:top w:val="nil"/>
              <w:left w:val="nil"/>
              <w:bottom w:val="single" w:sz="4" w:space="0" w:color="auto"/>
              <w:right w:val="single" w:sz="4" w:space="0" w:color="auto"/>
            </w:tcBorders>
            <w:shd w:val="clear" w:color="auto" w:fill="auto"/>
            <w:vAlign w:val="center"/>
          </w:tcPr>
          <w:p w14:paraId="4B43B6B7"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90,0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FC564E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48,2</w:t>
            </w:r>
          </w:p>
        </w:tc>
        <w:tc>
          <w:tcPr>
            <w:tcW w:w="1134" w:type="dxa"/>
            <w:tcBorders>
              <w:top w:val="nil"/>
              <w:left w:val="nil"/>
              <w:bottom w:val="single" w:sz="4" w:space="0" w:color="auto"/>
              <w:right w:val="single" w:sz="4" w:space="0" w:color="auto"/>
            </w:tcBorders>
            <w:shd w:val="clear" w:color="auto" w:fill="auto"/>
            <w:vAlign w:val="center"/>
          </w:tcPr>
          <w:p w14:paraId="52BD6E6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50,8 ↑</w:t>
            </w:r>
          </w:p>
        </w:tc>
        <w:tc>
          <w:tcPr>
            <w:tcW w:w="1700" w:type="dxa"/>
            <w:tcBorders>
              <w:top w:val="single" w:sz="4" w:space="0" w:color="auto"/>
              <w:left w:val="nil"/>
              <w:bottom w:val="single" w:sz="4" w:space="0" w:color="auto"/>
              <w:right w:val="single" w:sz="4" w:space="0" w:color="auto"/>
            </w:tcBorders>
            <w:shd w:val="clear" w:color="auto" w:fill="auto"/>
            <w:vAlign w:val="center"/>
          </w:tcPr>
          <w:p w14:paraId="48422A8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r>
      <w:tr w:rsidR="005D4A43" w:rsidRPr="005D4A43" w14:paraId="10D5FD7C"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ABC260"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FFFFFF" w:themeFill="background1"/>
            <w:vAlign w:val="center"/>
          </w:tcPr>
          <w:p w14:paraId="684CC493"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641E243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88</w:t>
            </w:r>
          </w:p>
        </w:tc>
        <w:tc>
          <w:tcPr>
            <w:tcW w:w="992" w:type="dxa"/>
            <w:tcBorders>
              <w:top w:val="nil"/>
              <w:left w:val="nil"/>
              <w:bottom w:val="single" w:sz="4" w:space="0" w:color="auto"/>
              <w:right w:val="single" w:sz="4" w:space="0" w:color="auto"/>
            </w:tcBorders>
            <w:shd w:val="clear" w:color="auto" w:fill="auto"/>
            <w:vAlign w:val="center"/>
          </w:tcPr>
          <w:p w14:paraId="7360A35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88</w:t>
            </w:r>
          </w:p>
        </w:tc>
        <w:tc>
          <w:tcPr>
            <w:tcW w:w="851" w:type="dxa"/>
            <w:tcBorders>
              <w:top w:val="nil"/>
              <w:left w:val="nil"/>
              <w:bottom w:val="single" w:sz="4" w:space="0" w:color="auto"/>
              <w:right w:val="single" w:sz="4" w:space="0" w:color="auto"/>
            </w:tcBorders>
            <w:shd w:val="clear" w:color="auto" w:fill="auto"/>
            <w:vAlign w:val="center"/>
          </w:tcPr>
          <w:p w14:paraId="5D66BAA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4914BE70"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DAB9F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63,7</w:t>
            </w:r>
          </w:p>
        </w:tc>
        <w:tc>
          <w:tcPr>
            <w:tcW w:w="1134" w:type="dxa"/>
            <w:tcBorders>
              <w:top w:val="nil"/>
              <w:left w:val="nil"/>
              <w:bottom w:val="single" w:sz="4" w:space="0" w:color="auto"/>
              <w:right w:val="single" w:sz="4" w:space="0" w:color="auto"/>
            </w:tcBorders>
            <w:shd w:val="clear" w:color="auto" w:fill="auto"/>
            <w:vAlign w:val="center"/>
          </w:tcPr>
          <w:p w14:paraId="511DD69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58,7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00BDEA6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654037F5" w14:textId="77777777" w:rsidTr="00126F5B">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C6A3AE3"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12620EB1"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6DA4DA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0FE2DA9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vAlign w:val="center"/>
          </w:tcPr>
          <w:p w14:paraId="0CE8862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4F707CCF"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89,7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70F2D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14:paraId="6D20A2D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xml:space="preserve">43,5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18147E5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75DBB6F0"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6BAF961B"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auto"/>
            <w:vAlign w:val="center"/>
          </w:tcPr>
          <w:p w14:paraId="4A1E7D6C"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0EBE7C9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3CBD827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89</w:t>
            </w:r>
          </w:p>
        </w:tc>
        <w:tc>
          <w:tcPr>
            <w:tcW w:w="851" w:type="dxa"/>
            <w:tcBorders>
              <w:top w:val="nil"/>
              <w:left w:val="nil"/>
              <w:bottom w:val="single" w:sz="4" w:space="0" w:color="auto"/>
              <w:right w:val="single" w:sz="4" w:space="0" w:color="auto"/>
            </w:tcBorders>
            <w:shd w:val="clear" w:color="auto" w:fill="auto"/>
            <w:vAlign w:val="center"/>
          </w:tcPr>
          <w:p w14:paraId="4D430D7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20692A5C"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D8ADCD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93</w:t>
            </w:r>
          </w:p>
        </w:tc>
        <w:tc>
          <w:tcPr>
            <w:tcW w:w="1134" w:type="dxa"/>
            <w:tcBorders>
              <w:top w:val="nil"/>
              <w:left w:val="nil"/>
              <w:bottom w:val="single" w:sz="4" w:space="0" w:color="auto"/>
              <w:right w:val="single" w:sz="4" w:space="0" w:color="auto"/>
            </w:tcBorders>
            <w:shd w:val="clear" w:color="auto" w:fill="auto"/>
            <w:vAlign w:val="center"/>
          </w:tcPr>
          <w:p w14:paraId="53481B7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94 ↑</w:t>
            </w:r>
          </w:p>
        </w:tc>
        <w:tc>
          <w:tcPr>
            <w:tcW w:w="1700" w:type="dxa"/>
            <w:tcBorders>
              <w:top w:val="single" w:sz="4" w:space="0" w:color="auto"/>
              <w:left w:val="nil"/>
              <w:bottom w:val="single" w:sz="4" w:space="0" w:color="auto"/>
              <w:right w:val="single" w:sz="4" w:space="0" w:color="auto"/>
            </w:tcBorders>
            <w:shd w:val="clear" w:color="auto" w:fill="auto"/>
            <w:vAlign w:val="center"/>
          </w:tcPr>
          <w:p w14:paraId="1053B1E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r>
      <w:tr w:rsidR="005D4A43" w:rsidRPr="005D4A43" w14:paraId="3BA04DFF" w14:textId="77777777" w:rsidTr="00126F5B">
        <w:tc>
          <w:tcPr>
            <w:tcW w:w="567" w:type="dxa"/>
            <w:tcBorders>
              <w:top w:val="single" w:sz="4" w:space="0" w:color="auto"/>
              <w:left w:val="single" w:sz="4" w:space="0" w:color="auto"/>
              <w:bottom w:val="single" w:sz="4" w:space="0" w:color="auto"/>
              <w:right w:val="single" w:sz="4" w:space="0" w:color="auto"/>
            </w:tcBorders>
            <w:vAlign w:val="center"/>
          </w:tcPr>
          <w:p w14:paraId="090609DB" w14:textId="77777777" w:rsidR="005D4A43" w:rsidRPr="005D4A43" w:rsidRDefault="005D4A43" w:rsidP="005D4A43">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47B4C2FE"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CA9591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87,8</w:t>
            </w:r>
          </w:p>
        </w:tc>
        <w:tc>
          <w:tcPr>
            <w:tcW w:w="992" w:type="dxa"/>
            <w:tcBorders>
              <w:top w:val="nil"/>
              <w:left w:val="nil"/>
              <w:bottom w:val="single" w:sz="4" w:space="0" w:color="auto"/>
              <w:right w:val="single" w:sz="4" w:space="0" w:color="auto"/>
            </w:tcBorders>
            <w:shd w:val="clear" w:color="auto" w:fill="auto"/>
            <w:vAlign w:val="center"/>
          </w:tcPr>
          <w:p w14:paraId="07CBF13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88,6</w:t>
            </w:r>
          </w:p>
        </w:tc>
        <w:tc>
          <w:tcPr>
            <w:tcW w:w="851" w:type="dxa"/>
            <w:tcBorders>
              <w:top w:val="nil"/>
              <w:left w:val="nil"/>
              <w:bottom w:val="single" w:sz="4" w:space="0" w:color="auto"/>
              <w:right w:val="single" w:sz="4" w:space="0" w:color="auto"/>
            </w:tcBorders>
            <w:shd w:val="clear" w:color="auto" w:fill="auto"/>
            <w:vAlign w:val="center"/>
          </w:tcPr>
          <w:p w14:paraId="35F1C2C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16CAAA3C"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88,8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7F1740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77</w:t>
            </w:r>
          </w:p>
        </w:tc>
        <w:tc>
          <w:tcPr>
            <w:tcW w:w="1134" w:type="dxa"/>
            <w:tcBorders>
              <w:top w:val="nil"/>
              <w:left w:val="nil"/>
              <w:bottom w:val="single" w:sz="4" w:space="0" w:color="auto"/>
              <w:right w:val="single" w:sz="4" w:space="0" w:color="auto"/>
            </w:tcBorders>
            <w:shd w:val="clear" w:color="auto" w:fill="auto"/>
            <w:vAlign w:val="center"/>
          </w:tcPr>
          <w:p w14:paraId="04FCD4D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727CDFB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r>
    </w:tbl>
    <w:p w14:paraId="0FDCFEB0" w14:textId="77777777" w:rsidR="005D4A43" w:rsidRPr="005D4A43" w:rsidRDefault="005D4A43" w:rsidP="005D4A43">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 xml:space="preserve">На рынке </w:t>
      </w:r>
      <w:r w:rsidRPr="00026454">
        <w:rPr>
          <w:rFonts w:ascii="Times New Roman" w:hAnsi="Times New Roman" w:cs="Times New Roman"/>
          <w:b/>
          <w:sz w:val="28"/>
          <w:szCs w:val="28"/>
        </w:rPr>
        <w:t>услуг связи</w:t>
      </w:r>
      <w:r w:rsidRPr="00026454">
        <w:rPr>
          <w:rFonts w:ascii="Times New Roman" w:hAnsi="Times New Roman" w:cs="Times New Roman"/>
          <w:sz w:val="28"/>
          <w:szCs w:val="28"/>
        </w:rPr>
        <w:t xml:space="preserve"> </w:t>
      </w:r>
      <w:r w:rsidRPr="005D4A43">
        <w:rPr>
          <w:rFonts w:ascii="Times New Roman" w:hAnsi="Times New Roman" w:cs="Times New Roman"/>
          <w:sz w:val="28"/>
          <w:szCs w:val="28"/>
        </w:rPr>
        <w:t xml:space="preserve">в Республике Крым, Сахалинской области, </w:t>
      </w:r>
      <w:r w:rsidRPr="005D4A43">
        <w:rPr>
          <w:rFonts w:ascii="Times New Roman" w:hAnsi="Times New Roman" w:cs="Times New Roman"/>
          <w:color w:val="000000"/>
          <w:sz w:val="28"/>
          <w:szCs w:val="28"/>
        </w:rPr>
        <w:t>Ханты-Мансийском автономном округе - Югре</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увеличении фактических значений присутствия организаций частной формы собственности на рынке. </w:t>
      </w:r>
    </w:p>
    <w:p w14:paraId="2C23719E"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Северная Осетия – Алания, Республика Татарстан, Архангельская,</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Мурманская, Саратовская области, г. Москва</w:t>
      </w:r>
      <w:r w:rsidRPr="00026454">
        <w:rPr>
          <w:rFonts w:ascii="Times New Roman" w:hAnsi="Times New Roman" w:cs="Times New Roman"/>
          <w:b/>
          <w:sz w:val="28"/>
          <w:szCs w:val="28"/>
        </w:rPr>
        <w:t>.</w:t>
      </w:r>
      <w:r w:rsidRPr="00026454">
        <w:rPr>
          <w:rFonts w:ascii="Times New Roman" w:hAnsi="Times New Roman" w:cs="Times New Roman"/>
          <w:b/>
          <w:color w:val="000000"/>
          <w:sz w:val="28"/>
          <w:szCs w:val="28"/>
        </w:rPr>
        <w:t xml:space="preserve"> Ямало-Ненецкий автономный округ,</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Ханты-Мансийский автономный округ – Югра,</w:t>
      </w:r>
      <w:r w:rsidRPr="00026454">
        <w:rPr>
          <w:rFonts w:ascii="Times New Roman" w:hAnsi="Times New Roman" w:cs="Times New Roman"/>
          <w:b/>
          <w:sz w:val="28"/>
          <w:szCs w:val="28"/>
        </w:rPr>
        <w:t xml:space="preserve"> Краснодарский край, Тюменская область</w:t>
      </w:r>
      <w:r w:rsidRPr="005D4A43">
        <w:rPr>
          <w:rFonts w:ascii="Times New Roman" w:hAnsi="Times New Roman" w:cs="Times New Roman"/>
          <w:sz w:val="28"/>
          <w:szCs w:val="28"/>
        </w:rPr>
        <w:t xml:space="preserve"> субъекты Российской Федерации, удовлетворяющие следующим требованиям:</w:t>
      </w:r>
    </w:p>
    <w:p w14:paraId="66CA7F68"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1869DCA" w14:textId="0313885B" w:rsidR="005D4A43" w:rsidRPr="005D4A43" w:rsidRDefault="005D4A43" w:rsidP="005D4A43">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sidR="00026454">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245FFC2B" w14:textId="2AFAB686"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5 регионах процент удовлетворенности</w:t>
      </w:r>
      <w:r w:rsidR="00026454">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1159B06D" w14:textId="72115956"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Российск</w:t>
      </w:r>
      <w:r w:rsidR="00026454">
        <w:rPr>
          <w:rFonts w:ascii="Times New Roman" w:hAnsi="Times New Roman" w:cs="Times New Roman"/>
          <w:sz w:val="28"/>
          <w:szCs w:val="28"/>
        </w:rPr>
        <w:t>ой Федерации в 16 регионах (18</w:t>
      </w:r>
      <w:r w:rsidRPr="005D4A43">
        <w:rPr>
          <w:rFonts w:ascii="Times New Roman" w:hAnsi="Times New Roman" w:cs="Times New Roman"/>
          <w:sz w:val="28"/>
          <w:szCs w:val="28"/>
        </w:rPr>
        <w:t>% субъектов Р</w:t>
      </w:r>
      <w:r w:rsidR="00026454">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sidR="00026454">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 потребителей на</w:t>
      </w:r>
      <w:r w:rsidR="00026454">
        <w:rPr>
          <w:rFonts w:ascii="Times New Roman" w:hAnsi="Times New Roman" w:cs="Times New Roman"/>
          <w:sz w:val="28"/>
          <w:szCs w:val="28"/>
        </w:rPr>
        <w:t xml:space="preserve"> рынке менее 50</w:t>
      </w:r>
      <w:r w:rsidRPr="005D4A43">
        <w:rPr>
          <w:rFonts w:ascii="Times New Roman" w:hAnsi="Times New Roman" w:cs="Times New Roman"/>
          <w:sz w:val="28"/>
          <w:szCs w:val="28"/>
        </w:rPr>
        <w:t xml:space="preserve">%. </w:t>
      </w:r>
    </w:p>
    <w:p w14:paraId="38D20A6C"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9 регионами. </w:t>
      </w:r>
    </w:p>
    <w:p w14:paraId="6CE691A2" w14:textId="77777777" w:rsidR="005D4A43" w:rsidRPr="005D4A43" w:rsidRDefault="005D4A43" w:rsidP="005D4A43">
      <w:pPr>
        <w:spacing w:after="0" w:line="240" w:lineRule="auto"/>
        <w:ind w:firstLine="709"/>
        <w:jc w:val="both"/>
        <w:rPr>
          <w:rFonts w:ascii="Times New Roman" w:hAnsi="Times New Roman" w:cs="Times New Roman"/>
          <w:sz w:val="28"/>
          <w:szCs w:val="28"/>
        </w:rPr>
      </w:pPr>
    </w:p>
    <w:p w14:paraId="646DE571" w14:textId="77777777" w:rsidR="005D4A43" w:rsidRPr="00026454" w:rsidRDefault="005D4A43" w:rsidP="005D4A43">
      <w:pPr>
        <w:spacing w:after="0" w:line="240" w:lineRule="auto"/>
        <w:ind w:firstLine="709"/>
        <w:jc w:val="both"/>
        <w:rPr>
          <w:rFonts w:ascii="Times New Roman" w:hAnsi="Times New Roman" w:cs="Times New Roman"/>
          <w:b/>
          <w:sz w:val="28"/>
          <w:szCs w:val="28"/>
        </w:rPr>
      </w:pPr>
      <w:r w:rsidRPr="00026454">
        <w:rPr>
          <w:rFonts w:ascii="Times New Roman" w:hAnsi="Times New Roman" w:cs="Times New Roman"/>
          <w:b/>
          <w:sz w:val="28"/>
          <w:szCs w:val="28"/>
        </w:rPr>
        <w:t>8. Рынок услуг социального обслуживания населения</w:t>
      </w:r>
    </w:p>
    <w:p w14:paraId="670807F9" w14:textId="77777777" w:rsidR="005D4A43" w:rsidRPr="005D4A43" w:rsidRDefault="005D4A43" w:rsidP="005D4A43">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 (процентов)</w:t>
      </w:r>
    </w:p>
    <w:p w14:paraId="3A26D930" w14:textId="77777777" w:rsidR="005D4A43" w:rsidRPr="005D4A43" w:rsidRDefault="005D4A43" w:rsidP="005D4A43">
      <w:pPr>
        <w:spacing w:after="0" w:line="240" w:lineRule="auto"/>
        <w:ind w:firstLine="709"/>
        <w:jc w:val="both"/>
        <w:rPr>
          <w:rFonts w:ascii="Times New Roman" w:hAnsi="Times New Roman" w:cs="Times New Roman"/>
          <w:sz w:val="16"/>
          <w:szCs w:val="16"/>
        </w:rPr>
      </w:pPr>
    </w:p>
    <w:tbl>
      <w:tblPr>
        <w:tblStyle w:val="afa"/>
        <w:tblW w:w="10632" w:type="dxa"/>
        <w:tblInd w:w="-998" w:type="dxa"/>
        <w:tblLayout w:type="fixed"/>
        <w:tblLook w:val="04A0" w:firstRow="1" w:lastRow="0" w:firstColumn="1" w:lastColumn="0" w:noHBand="0" w:noVBand="1"/>
      </w:tblPr>
      <w:tblGrid>
        <w:gridCol w:w="568"/>
        <w:gridCol w:w="1985"/>
        <w:gridCol w:w="992"/>
        <w:gridCol w:w="1134"/>
        <w:gridCol w:w="993"/>
        <w:gridCol w:w="1134"/>
        <w:gridCol w:w="1134"/>
        <w:gridCol w:w="992"/>
        <w:gridCol w:w="1700"/>
      </w:tblGrid>
      <w:tr w:rsidR="005D4A43" w:rsidRPr="005D4A43" w14:paraId="593806A7" w14:textId="77777777" w:rsidTr="00126F5B">
        <w:trPr>
          <w:trHeight w:val="1159"/>
          <w:tblHeader/>
        </w:trPr>
        <w:tc>
          <w:tcPr>
            <w:tcW w:w="568" w:type="dxa"/>
            <w:vMerge w:val="restart"/>
            <w:shd w:val="clear" w:color="auto" w:fill="DEEAF6" w:themeFill="accent1" w:themeFillTint="33"/>
            <w:vAlign w:val="center"/>
          </w:tcPr>
          <w:p w14:paraId="7F66D855"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985" w:type="dxa"/>
            <w:vMerge w:val="restart"/>
            <w:shd w:val="clear" w:color="auto" w:fill="DEEAF6" w:themeFill="accent1" w:themeFillTint="33"/>
            <w:vAlign w:val="center"/>
          </w:tcPr>
          <w:p w14:paraId="2786232D"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3" w:type="dxa"/>
            <w:gridSpan w:val="4"/>
            <w:tcBorders>
              <w:bottom w:val="single" w:sz="4" w:space="0" w:color="auto"/>
            </w:tcBorders>
            <w:shd w:val="clear" w:color="auto" w:fill="DEEAF6" w:themeFill="accent1" w:themeFillTint="33"/>
            <w:vAlign w:val="center"/>
          </w:tcPr>
          <w:p w14:paraId="60003735" w14:textId="77777777" w:rsidR="005D4A43" w:rsidRPr="005D4A43" w:rsidRDefault="005D4A43" w:rsidP="005D4A43">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126" w:type="dxa"/>
            <w:gridSpan w:val="2"/>
            <w:shd w:val="clear" w:color="auto" w:fill="DEEAF6" w:themeFill="accent1" w:themeFillTint="33"/>
            <w:vAlign w:val="center"/>
          </w:tcPr>
          <w:p w14:paraId="0352DF7F"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1D54CC8D" w14:textId="77777777" w:rsidR="005D4A43" w:rsidRPr="005D4A43" w:rsidRDefault="005D4A43" w:rsidP="005D4A43">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5D4A43" w:rsidRPr="005D4A43" w14:paraId="284195C7" w14:textId="77777777" w:rsidTr="00126F5B">
        <w:trPr>
          <w:trHeight w:val="177"/>
          <w:tblHeader/>
        </w:trPr>
        <w:tc>
          <w:tcPr>
            <w:tcW w:w="568" w:type="dxa"/>
            <w:vMerge/>
            <w:shd w:val="clear" w:color="auto" w:fill="DEEAF6" w:themeFill="accent1" w:themeFillTint="33"/>
            <w:vAlign w:val="center"/>
          </w:tcPr>
          <w:p w14:paraId="556425CF" w14:textId="77777777" w:rsidR="005D4A43" w:rsidRPr="005D4A43" w:rsidRDefault="005D4A43" w:rsidP="005D4A43">
            <w:pPr>
              <w:jc w:val="both"/>
              <w:rPr>
                <w:rFonts w:ascii="Times New Roman" w:hAnsi="Times New Roman" w:cs="Times New Roman"/>
                <w:b/>
                <w:sz w:val="24"/>
                <w:szCs w:val="24"/>
              </w:rPr>
            </w:pPr>
          </w:p>
        </w:tc>
        <w:tc>
          <w:tcPr>
            <w:tcW w:w="1985" w:type="dxa"/>
            <w:vMerge/>
            <w:shd w:val="clear" w:color="auto" w:fill="DEEAF6" w:themeFill="accent1" w:themeFillTint="33"/>
            <w:vAlign w:val="center"/>
          </w:tcPr>
          <w:p w14:paraId="7E0B5AAD" w14:textId="77777777" w:rsidR="005D4A43" w:rsidRPr="005D4A43" w:rsidRDefault="005D4A43" w:rsidP="005D4A43">
            <w:pPr>
              <w:jc w:val="both"/>
              <w:rPr>
                <w:rFonts w:ascii="Times New Roman" w:hAnsi="Times New Roman" w:cs="Times New Roman"/>
                <w:b/>
                <w:sz w:val="24"/>
                <w:szCs w:val="24"/>
              </w:rPr>
            </w:pPr>
          </w:p>
        </w:tc>
        <w:tc>
          <w:tcPr>
            <w:tcW w:w="992" w:type="dxa"/>
            <w:shd w:val="clear" w:color="auto" w:fill="DEEAF6" w:themeFill="accent1" w:themeFillTint="33"/>
            <w:vAlign w:val="center"/>
          </w:tcPr>
          <w:p w14:paraId="14A28EF1"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1134" w:type="dxa"/>
            <w:shd w:val="clear" w:color="auto" w:fill="DEEAF6" w:themeFill="accent1" w:themeFillTint="33"/>
            <w:vAlign w:val="center"/>
          </w:tcPr>
          <w:p w14:paraId="3B528333"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3" w:type="dxa"/>
            <w:shd w:val="clear" w:color="auto" w:fill="DEEAF6" w:themeFill="accent1" w:themeFillTint="33"/>
            <w:vAlign w:val="center"/>
          </w:tcPr>
          <w:p w14:paraId="67801896"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383C2343"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762182F9"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7EAA8F27"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7042BF61"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2" w:type="dxa"/>
            <w:shd w:val="clear" w:color="auto" w:fill="DEEAF6" w:themeFill="accent1" w:themeFillTint="33"/>
            <w:vAlign w:val="center"/>
          </w:tcPr>
          <w:p w14:paraId="4BB4E1F3" w14:textId="77777777" w:rsidR="005D4A43" w:rsidRPr="005D4A43" w:rsidRDefault="005D4A43" w:rsidP="005D4A43">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754D0EE6" w14:textId="77777777" w:rsidR="005D4A43" w:rsidRPr="005D4A43" w:rsidRDefault="005D4A43" w:rsidP="005D4A43">
            <w:pPr>
              <w:jc w:val="both"/>
              <w:rPr>
                <w:rFonts w:ascii="Times New Roman" w:hAnsi="Times New Roman" w:cs="Times New Roman"/>
                <w:b/>
                <w:sz w:val="24"/>
                <w:szCs w:val="24"/>
              </w:rPr>
            </w:pPr>
          </w:p>
        </w:tc>
      </w:tr>
      <w:tr w:rsidR="005D4A43" w:rsidRPr="005D4A43" w14:paraId="272A99AB" w14:textId="77777777" w:rsidTr="00126F5B">
        <w:tc>
          <w:tcPr>
            <w:tcW w:w="568" w:type="dxa"/>
            <w:tcBorders>
              <w:top w:val="single" w:sz="4" w:space="0" w:color="auto"/>
              <w:left w:val="single" w:sz="4" w:space="0" w:color="auto"/>
              <w:bottom w:val="single" w:sz="4" w:space="0" w:color="auto"/>
              <w:right w:val="single" w:sz="4" w:space="0" w:color="auto"/>
            </w:tcBorders>
            <w:vAlign w:val="center"/>
          </w:tcPr>
          <w:p w14:paraId="771BAF75"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27163C"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single" w:sz="4" w:space="0" w:color="auto"/>
              <w:left w:val="single" w:sz="4" w:space="0" w:color="auto"/>
              <w:bottom w:val="nil"/>
              <w:right w:val="single" w:sz="4" w:space="0" w:color="auto"/>
            </w:tcBorders>
            <w:shd w:val="clear" w:color="auto" w:fill="auto"/>
            <w:vAlign w:val="center"/>
          </w:tcPr>
          <w:p w14:paraId="028CEA0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76,9</w:t>
            </w:r>
          </w:p>
        </w:tc>
        <w:tc>
          <w:tcPr>
            <w:tcW w:w="1134" w:type="dxa"/>
            <w:tcBorders>
              <w:top w:val="single" w:sz="4" w:space="0" w:color="auto"/>
              <w:left w:val="nil"/>
              <w:bottom w:val="nil"/>
              <w:right w:val="single" w:sz="4" w:space="0" w:color="auto"/>
            </w:tcBorders>
            <w:shd w:val="clear" w:color="auto" w:fill="auto"/>
            <w:vAlign w:val="center"/>
          </w:tcPr>
          <w:p w14:paraId="72FA7CC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77,1</w:t>
            </w:r>
          </w:p>
        </w:tc>
        <w:tc>
          <w:tcPr>
            <w:tcW w:w="993" w:type="dxa"/>
            <w:tcBorders>
              <w:top w:val="single" w:sz="4" w:space="0" w:color="auto"/>
              <w:left w:val="nil"/>
              <w:bottom w:val="nil"/>
              <w:right w:val="single" w:sz="4" w:space="0" w:color="auto"/>
            </w:tcBorders>
            <w:shd w:val="clear" w:color="auto" w:fill="auto"/>
            <w:vAlign w:val="center"/>
          </w:tcPr>
          <w:p w14:paraId="0E9202F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77,2</w:t>
            </w:r>
          </w:p>
        </w:tc>
        <w:tc>
          <w:tcPr>
            <w:tcW w:w="1134" w:type="dxa"/>
            <w:tcBorders>
              <w:top w:val="single" w:sz="4" w:space="0" w:color="auto"/>
              <w:left w:val="nil"/>
              <w:bottom w:val="nil"/>
              <w:right w:val="single" w:sz="4" w:space="0" w:color="auto"/>
            </w:tcBorders>
            <w:shd w:val="clear" w:color="auto" w:fill="auto"/>
            <w:vAlign w:val="center"/>
          </w:tcPr>
          <w:p w14:paraId="128977E8"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77,2 ↑</w:t>
            </w:r>
          </w:p>
        </w:tc>
        <w:tc>
          <w:tcPr>
            <w:tcW w:w="1134" w:type="dxa"/>
            <w:tcBorders>
              <w:top w:val="single" w:sz="4" w:space="0" w:color="auto"/>
              <w:left w:val="single" w:sz="4" w:space="0" w:color="auto"/>
              <w:bottom w:val="nil"/>
              <w:right w:val="single" w:sz="4" w:space="0" w:color="auto"/>
            </w:tcBorders>
            <w:shd w:val="clear" w:color="auto" w:fill="auto"/>
            <w:vAlign w:val="center"/>
          </w:tcPr>
          <w:p w14:paraId="3EC9CA8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57,25</w:t>
            </w:r>
          </w:p>
        </w:tc>
        <w:tc>
          <w:tcPr>
            <w:tcW w:w="992" w:type="dxa"/>
            <w:tcBorders>
              <w:top w:val="single" w:sz="4" w:space="0" w:color="auto"/>
              <w:left w:val="nil"/>
              <w:bottom w:val="nil"/>
              <w:right w:val="single" w:sz="4" w:space="0" w:color="auto"/>
            </w:tcBorders>
            <w:shd w:val="clear" w:color="auto" w:fill="auto"/>
            <w:vAlign w:val="center"/>
          </w:tcPr>
          <w:p w14:paraId="5E6AC52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59,9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411A408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7E7380D2" w14:textId="77777777" w:rsidTr="00126F5B">
        <w:tc>
          <w:tcPr>
            <w:tcW w:w="568" w:type="dxa"/>
            <w:tcBorders>
              <w:top w:val="single" w:sz="4" w:space="0" w:color="auto"/>
              <w:left w:val="single" w:sz="4" w:space="0" w:color="auto"/>
              <w:bottom w:val="single" w:sz="4" w:space="0" w:color="auto"/>
              <w:right w:val="single" w:sz="4" w:space="0" w:color="auto"/>
            </w:tcBorders>
            <w:vAlign w:val="center"/>
          </w:tcPr>
          <w:p w14:paraId="2855FD0E"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1985" w:type="dxa"/>
            <w:tcBorders>
              <w:top w:val="nil"/>
              <w:left w:val="single" w:sz="4" w:space="0" w:color="auto"/>
              <w:bottom w:val="single" w:sz="4" w:space="0" w:color="auto"/>
              <w:right w:val="single" w:sz="4" w:space="0" w:color="auto"/>
            </w:tcBorders>
            <w:shd w:val="clear" w:color="auto" w:fill="auto"/>
          </w:tcPr>
          <w:p w14:paraId="05D9C3F4"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3F0E2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240ED5F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72,6</w:t>
            </w:r>
          </w:p>
        </w:tc>
        <w:tc>
          <w:tcPr>
            <w:tcW w:w="993" w:type="dxa"/>
            <w:tcBorders>
              <w:top w:val="single" w:sz="4" w:space="0" w:color="auto"/>
              <w:left w:val="nil"/>
              <w:bottom w:val="single" w:sz="4" w:space="0" w:color="auto"/>
              <w:right w:val="single" w:sz="4" w:space="0" w:color="auto"/>
            </w:tcBorders>
            <w:shd w:val="clear" w:color="auto" w:fill="auto"/>
            <w:vAlign w:val="center"/>
          </w:tcPr>
          <w:p w14:paraId="68326E5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1C0001B"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74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D0F95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70</w:t>
            </w:r>
          </w:p>
        </w:tc>
        <w:tc>
          <w:tcPr>
            <w:tcW w:w="992" w:type="dxa"/>
            <w:tcBorders>
              <w:top w:val="single" w:sz="4" w:space="0" w:color="auto"/>
              <w:left w:val="nil"/>
              <w:bottom w:val="single" w:sz="4" w:space="0" w:color="auto"/>
              <w:right w:val="single" w:sz="4" w:space="0" w:color="auto"/>
            </w:tcBorders>
            <w:shd w:val="clear" w:color="auto" w:fill="auto"/>
            <w:vAlign w:val="center"/>
          </w:tcPr>
          <w:p w14:paraId="04FAE11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74,2 ↑</w:t>
            </w:r>
          </w:p>
        </w:tc>
        <w:tc>
          <w:tcPr>
            <w:tcW w:w="1700" w:type="dxa"/>
            <w:tcBorders>
              <w:top w:val="single" w:sz="4" w:space="0" w:color="auto"/>
              <w:left w:val="nil"/>
              <w:bottom w:val="nil"/>
              <w:right w:val="single" w:sz="4" w:space="0" w:color="auto"/>
            </w:tcBorders>
            <w:shd w:val="clear" w:color="auto" w:fill="auto"/>
            <w:vAlign w:val="center"/>
          </w:tcPr>
          <w:p w14:paraId="279AF34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2FCBF6AC"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021E191"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ED73319"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40CFFB2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05E211E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67</w:t>
            </w:r>
          </w:p>
        </w:tc>
        <w:tc>
          <w:tcPr>
            <w:tcW w:w="993" w:type="dxa"/>
            <w:tcBorders>
              <w:top w:val="nil"/>
              <w:left w:val="nil"/>
              <w:bottom w:val="single" w:sz="4" w:space="0" w:color="auto"/>
              <w:right w:val="single" w:sz="4" w:space="0" w:color="auto"/>
            </w:tcBorders>
            <w:shd w:val="clear" w:color="auto" w:fill="auto"/>
            <w:vAlign w:val="center"/>
          </w:tcPr>
          <w:p w14:paraId="4CD5C0D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3F5467A7"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70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419403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77C07F6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24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2EE55A7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330D6A8E"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EC2F8DB"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58D1B144"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F8A510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78532C6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65</w:t>
            </w:r>
          </w:p>
        </w:tc>
        <w:tc>
          <w:tcPr>
            <w:tcW w:w="993" w:type="dxa"/>
            <w:tcBorders>
              <w:top w:val="nil"/>
              <w:left w:val="nil"/>
              <w:bottom w:val="single" w:sz="4" w:space="0" w:color="auto"/>
              <w:right w:val="single" w:sz="4" w:space="0" w:color="auto"/>
            </w:tcBorders>
            <w:shd w:val="clear" w:color="auto" w:fill="auto"/>
            <w:vAlign w:val="center"/>
          </w:tcPr>
          <w:p w14:paraId="29DBEB9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74EA279E"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69,2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5FECCD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52,8</w:t>
            </w:r>
          </w:p>
        </w:tc>
        <w:tc>
          <w:tcPr>
            <w:tcW w:w="992" w:type="dxa"/>
            <w:tcBorders>
              <w:top w:val="nil"/>
              <w:left w:val="nil"/>
              <w:bottom w:val="single" w:sz="4" w:space="0" w:color="auto"/>
              <w:right w:val="single" w:sz="4" w:space="0" w:color="auto"/>
            </w:tcBorders>
            <w:shd w:val="clear" w:color="auto" w:fill="auto"/>
            <w:vAlign w:val="center"/>
          </w:tcPr>
          <w:p w14:paraId="2B05121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43,5 ↓</w:t>
            </w:r>
          </w:p>
        </w:tc>
        <w:tc>
          <w:tcPr>
            <w:tcW w:w="1700" w:type="dxa"/>
            <w:tcBorders>
              <w:top w:val="nil"/>
              <w:left w:val="nil"/>
              <w:bottom w:val="single" w:sz="4" w:space="0" w:color="auto"/>
              <w:right w:val="single" w:sz="4" w:space="0" w:color="auto"/>
            </w:tcBorders>
            <w:shd w:val="clear" w:color="auto" w:fill="FFC000"/>
            <w:vAlign w:val="center"/>
          </w:tcPr>
          <w:p w14:paraId="7C931EB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5E03B860"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BDA5F9"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A9519E0"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50E66B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13,7</w:t>
            </w:r>
          </w:p>
        </w:tc>
        <w:tc>
          <w:tcPr>
            <w:tcW w:w="1134" w:type="dxa"/>
            <w:tcBorders>
              <w:top w:val="nil"/>
              <w:left w:val="nil"/>
              <w:bottom w:val="single" w:sz="4" w:space="0" w:color="auto"/>
              <w:right w:val="single" w:sz="4" w:space="0" w:color="auto"/>
            </w:tcBorders>
            <w:shd w:val="clear" w:color="auto" w:fill="auto"/>
            <w:vAlign w:val="center"/>
          </w:tcPr>
          <w:p w14:paraId="74883B9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42,85</w:t>
            </w:r>
          </w:p>
        </w:tc>
        <w:tc>
          <w:tcPr>
            <w:tcW w:w="993" w:type="dxa"/>
            <w:tcBorders>
              <w:top w:val="nil"/>
              <w:left w:val="nil"/>
              <w:bottom w:val="single" w:sz="4" w:space="0" w:color="auto"/>
              <w:right w:val="single" w:sz="4" w:space="0" w:color="auto"/>
            </w:tcBorders>
            <w:shd w:val="clear" w:color="auto" w:fill="auto"/>
            <w:vAlign w:val="center"/>
          </w:tcPr>
          <w:p w14:paraId="2964303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vAlign w:val="center"/>
          </w:tcPr>
          <w:p w14:paraId="039B2FD0"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51,9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385F30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14:paraId="74C8999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39,3</w:t>
            </w:r>
          </w:p>
        </w:tc>
        <w:tc>
          <w:tcPr>
            <w:tcW w:w="1700" w:type="dxa"/>
            <w:tcBorders>
              <w:top w:val="nil"/>
              <w:left w:val="nil"/>
              <w:bottom w:val="single" w:sz="4" w:space="0" w:color="auto"/>
              <w:right w:val="single" w:sz="4" w:space="0" w:color="auto"/>
            </w:tcBorders>
            <w:shd w:val="clear" w:color="auto" w:fill="auto"/>
            <w:vAlign w:val="center"/>
          </w:tcPr>
          <w:p w14:paraId="4EBA596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2BDE7B58" w14:textId="77777777" w:rsidTr="00126F5B">
        <w:tc>
          <w:tcPr>
            <w:tcW w:w="568" w:type="dxa"/>
            <w:tcBorders>
              <w:top w:val="single" w:sz="4" w:space="0" w:color="auto"/>
              <w:left w:val="single" w:sz="4" w:space="0" w:color="auto"/>
              <w:bottom w:val="single" w:sz="4" w:space="0" w:color="auto"/>
              <w:right w:val="single" w:sz="4" w:space="0" w:color="auto"/>
            </w:tcBorders>
            <w:vAlign w:val="center"/>
          </w:tcPr>
          <w:p w14:paraId="4FC5286B"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1985" w:type="dxa"/>
            <w:tcBorders>
              <w:top w:val="nil"/>
              <w:left w:val="single" w:sz="4" w:space="0" w:color="auto"/>
              <w:bottom w:val="single" w:sz="4" w:space="0" w:color="auto"/>
              <w:right w:val="single" w:sz="4" w:space="0" w:color="auto"/>
            </w:tcBorders>
            <w:shd w:val="clear" w:color="auto" w:fill="auto"/>
          </w:tcPr>
          <w:p w14:paraId="59AC8023"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9BCB4C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30,3</w:t>
            </w:r>
          </w:p>
        </w:tc>
        <w:tc>
          <w:tcPr>
            <w:tcW w:w="1134" w:type="dxa"/>
            <w:tcBorders>
              <w:top w:val="nil"/>
              <w:left w:val="nil"/>
              <w:bottom w:val="single" w:sz="4" w:space="0" w:color="auto"/>
              <w:right w:val="single" w:sz="4" w:space="0" w:color="auto"/>
            </w:tcBorders>
            <w:shd w:val="clear" w:color="auto" w:fill="auto"/>
            <w:vAlign w:val="center"/>
          </w:tcPr>
          <w:p w14:paraId="6771008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12</w:t>
            </w:r>
          </w:p>
        </w:tc>
        <w:tc>
          <w:tcPr>
            <w:tcW w:w="993" w:type="dxa"/>
            <w:tcBorders>
              <w:top w:val="nil"/>
              <w:left w:val="nil"/>
              <w:bottom w:val="single" w:sz="4" w:space="0" w:color="auto"/>
              <w:right w:val="single" w:sz="4" w:space="0" w:color="auto"/>
            </w:tcBorders>
            <w:shd w:val="clear" w:color="auto" w:fill="auto"/>
            <w:vAlign w:val="center"/>
          </w:tcPr>
          <w:p w14:paraId="752D1B2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32,4</w:t>
            </w:r>
          </w:p>
        </w:tc>
        <w:tc>
          <w:tcPr>
            <w:tcW w:w="1134" w:type="dxa"/>
            <w:tcBorders>
              <w:top w:val="nil"/>
              <w:left w:val="nil"/>
              <w:bottom w:val="single" w:sz="4" w:space="0" w:color="auto"/>
              <w:right w:val="single" w:sz="4" w:space="0" w:color="auto"/>
            </w:tcBorders>
            <w:shd w:val="clear" w:color="auto" w:fill="auto"/>
            <w:vAlign w:val="center"/>
          </w:tcPr>
          <w:p w14:paraId="5E7742D1"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45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04B26D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69,29</w:t>
            </w:r>
          </w:p>
        </w:tc>
        <w:tc>
          <w:tcPr>
            <w:tcW w:w="992" w:type="dxa"/>
            <w:tcBorders>
              <w:top w:val="nil"/>
              <w:left w:val="nil"/>
              <w:bottom w:val="single" w:sz="4" w:space="0" w:color="auto"/>
              <w:right w:val="single" w:sz="4" w:space="0" w:color="auto"/>
            </w:tcBorders>
            <w:shd w:val="clear" w:color="auto" w:fill="auto"/>
            <w:vAlign w:val="center"/>
          </w:tcPr>
          <w:p w14:paraId="7E1CE01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68,89 ↓</w:t>
            </w:r>
          </w:p>
        </w:tc>
        <w:tc>
          <w:tcPr>
            <w:tcW w:w="1700" w:type="dxa"/>
            <w:tcBorders>
              <w:top w:val="nil"/>
              <w:left w:val="nil"/>
              <w:bottom w:val="single" w:sz="4" w:space="0" w:color="auto"/>
              <w:right w:val="single" w:sz="4" w:space="0" w:color="auto"/>
            </w:tcBorders>
            <w:shd w:val="clear" w:color="auto" w:fill="FFC000"/>
            <w:vAlign w:val="center"/>
          </w:tcPr>
          <w:p w14:paraId="34CCB23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79493E14"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12EA6C1"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45BFEE0A"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F1BCAC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10,3</w:t>
            </w:r>
          </w:p>
        </w:tc>
        <w:tc>
          <w:tcPr>
            <w:tcW w:w="1134" w:type="dxa"/>
            <w:tcBorders>
              <w:top w:val="nil"/>
              <w:left w:val="nil"/>
              <w:bottom w:val="single" w:sz="4" w:space="0" w:color="auto"/>
              <w:right w:val="single" w:sz="4" w:space="0" w:color="auto"/>
            </w:tcBorders>
            <w:shd w:val="clear" w:color="auto" w:fill="auto"/>
            <w:vAlign w:val="center"/>
          </w:tcPr>
          <w:p w14:paraId="183E0EC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17,5</w:t>
            </w:r>
          </w:p>
        </w:tc>
        <w:tc>
          <w:tcPr>
            <w:tcW w:w="993" w:type="dxa"/>
            <w:tcBorders>
              <w:top w:val="nil"/>
              <w:left w:val="nil"/>
              <w:bottom w:val="single" w:sz="4" w:space="0" w:color="auto"/>
              <w:right w:val="single" w:sz="4" w:space="0" w:color="auto"/>
            </w:tcBorders>
            <w:shd w:val="clear" w:color="auto" w:fill="auto"/>
            <w:vAlign w:val="center"/>
          </w:tcPr>
          <w:p w14:paraId="1FC9B8D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21,9</w:t>
            </w:r>
          </w:p>
        </w:tc>
        <w:tc>
          <w:tcPr>
            <w:tcW w:w="1134" w:type="dxa"/>
            <w:tcBorders>
              <w:top w:val="nil"/>
              <w:left w:val="nil"/>
              <w:bottom w:val="single" w:sz="4" w:space="0" w:color="auto"/>
              <w:right w:val="single" w:sz="4" w:space="0" w:color="auto"/>
            </w:tcBorders>
            <w:shd w:val="clear" w:color="auto" w:fill="auto"/>
            <w:vAlign w:val="center"/>
          </w:tcPr>
          <w:p w14:paraId="18C4F410"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42,7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D3C92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71</w:t>
            </w:r>
          </w:p>
        </w:tc>
        <w:tc>
          <w:tcPr>
            <w:tcW w:w="992" w:type="dxa"/>
            <w:tcBorders>
              <w:top w:val="nil"/>
              <w:left w:val="nil"/>
              <w:bottom w:val="single" w:sz="4" w:space="0" w:color="auto"/>
              <w:right w:val="single" w:sz="4" w:space="0" w:color="auto"/>
            </w:tcBorders>
            <w:shd w:val="clear" w:color="auto" w:fill="auto"/>
            <w:vAlign w:val="center"/>
          </w:tcPr>
          <w:p w14:paraId="15D7BD2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40 ↓</w:t>
            </w:r>
          </w:p>
        </w:tc>
        <w:tc>
          <w:tcPr>
            <w:tcW w:w="1700" w:type="dxa"/>
            <w:tcBorders>
              <w:top w:val="nil"/>
              <w:left w:val="nil"/>
              <w:bottom w:val="single" w:sz="4" w:space="0" w:color="auto"/>
              <w:right w:val="single" w:sz="4" w:space="0" w:color="auto"/>
            </w:tcBorders>
            <w:shd w:val="clear" w:color="auto" w:fill="FFC000"/>
            <w:vAlign w:val="center"/>
          </w:tcPr>
          <w:p w14:paraId="107F28B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15C02BA6"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9DF8A6B"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5FCDD5CE"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6901CB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11ABAE3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45,5</w:t>
            </w:r>
          </w:p>
        </w:tc>
        <w:tc>
          <w:tcPr>
            <w:tcW w:w="993" w:type="dxa"/>
            <w:tcBorders>
              <w:top w:val="nil"/>
              <w:left w:val="nil"/>
              <w:bottom w:val="single" w:sz="4" w:space="0" w:color="auto"/>
              <w:right w:val="single" w:sz="4" w:space="0" w:color="auto"/>
            </w:tcBorders>
            <w:shd w:val="clear" w:color="auto" w:fill="auto"/>
            <w:vAlign w:val="center"/>
          </w:tcPr>
          <w:p w14:paraId="0247644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07DF9C2B"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41,7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876C7F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28,7</w:t>
            </w:r>
          </w:p>
        </w:tc>
        <w:tc>
          <w:tcPr>
            <w:tcW w:w="992" w:type="dxa"/>
            <w:tcBorders>
              <w:top w:val="nil"/>
              <w:left w:val="nil"/>
              <w:bottom w:val="single" w:sz="4" w:space="0" w:color="auto"/>
              <w:right w:val="single" w:sz="4" w:space="0" w:color="auto"/>
            </w:tcBorders>
            <w:shd w:val="clear" w:color="auto" w:fill="auto"/>
            <w:vAlign w:val="center"/>
          </w:tcPr>
          <w:p w14:paraId="6FE1E48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22,3 ↓</w:t>
            </w:r>
          </w:p>
        </w:tc>
        <w:tc>
          <w:tcPr>
            <w:tcW w:w="1700" w:type="dxa"/>
            <w:tcBorders>
              <w:top w:val="nil"/>
              <w:left w:val="nil"/>
              <w:bottom w:val="single" w:sz="4" w:space="0" w:color="auto"/>
              <w:right w:val="single" w:sz="4" w:space="0" w:color="auto"/>
            </w:tcBorders>
            <w:shd w:val="clear" w:color="auto" w:fill="FFC000"/>
            <w:vAlign w:val="center"/>
          </w:tcPr>
          <w:p w14:paraId="4808D42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w:t>
            </w:r>
          </w:p>
        </w:tc>
      </w:tr>
      <w:tr w:rsidR="005D4A43" w:rsidRPr="005D4A43" w14:paraId="2A23932C" w14:textId="77777777" w:rsidTr="00126F5B">
        <w:tc>
          <w:tcPr>
            <w:tcW w:w="568" w:type="dxa"/>
            <w:tcBorders>
              <w:top w:val="single" w:sz="4" w:space="0" w:color="auto"/>
              <w:left w:val="single" w:sz="4" w:space="0" w:color="auto"/>
              <w:bottom w:val="single" w:sz="4" w:space="0" w:color="auto"/>
              <w:right w:val="single" w:sz="4" w:space="0" w:color="auto"/>
            </w:tcBorders>
            <w:vAlign w:val="center"/>
          </w:tcPr>
          <w:p w14:paraId="0857315C"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1985" w:type="dxa"/>
            <w:tcBorders>
              <w:top w:val="nil"/>
              <w:left w:val="single" w:sz="4" w:space="0" w:color="auto"/>
              <w:bottom w:val="single" w:sz="4" w:space="0" w:color="auto"/>
              <w:right w:val="single" w:sz="4" w:space="0" w:color="auto"/>
            </w:tcBorders>
            <w:shd w:val="clear" w:color="auto" w:fill="auto"/>
          </w:tcPr>
          <w:p w14:paraId="140D56CA"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5EC737FB"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vAlign w:val="center"/>
          </w:tcPr>
          <w:p w14:paraId="1BBB85A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16</w:t>
            </w:r>
          </w:p>
        </w:tc>
        <w:tc>
          <w:tcPr>
            <w:tcW w:w="993" w:type="dxa"/>
            <w:tcBorders>
              <w:top w:val="nil"/>
              <w:left w:val="nil"/>
              <w:bottom w:val="single" w:sz="4" w:space="0" w:color="auto"/>
              <w:right w:val="single" w:sz="4" w:space="0" w:color="auto"/>
            </w:tcBorders>
            <w:shd w:val="clear" w:color="auto" w:fill="auto"/>
            <w:vAlign w:val="center"/>
          </w:tcPr>
          <w:p w14:paraId="04033FF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0BB9E0F1"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37,5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4F73AD7"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36,5</w:t>
            </w:r>
          </w:p>
        </w:tc>
        <w:tc>
          <w:tcPr>
            <w:tcW w:w="992" w:type="dxa"/>
            <w:tcBorders>
              <w:top w:val="nil"/>
              <w:left w:val="nil"/>
              <w:bottom w:val="single" w:sz="4" w:space="0" w:color="auto"/>
              <w:right w:val="single" w:sz="4" w:space="0" w:color="auto"/>
            </w:tcBorders>
            <w:shd w:val="clear" w:color="auto" w:fill="auto"/>
            <w:vAlign w:val="center"/>
          </w:tcPr>
          <w:p w14:paraId="4B993A4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63,97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505D661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28D70200"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1D1C5A5"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5798096E"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Мордовия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7EAEAD87" w14:textId="77777777" w:rsidR="005D4A43" w:rsidRPr="005D4A43" w:rsidRDefault="005D4A43" w:rsidP="005D4A43">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0E441BD1" w14:textId="77777777" w:rsidR="005D4A43" w:rsidRPr="005D4A43" w:rsidRDefault="005D4A43" w:rsidP="005D4A43">
            <w:pPr>
              <w:jc w:val="center"/>
              <w:rPr>
                <w:rFonts w:cs="Times New Roman"/>
                <w:sz w:val="24"/>
                <w:szCs w:val="24"/>
              </w:rPr>
            </w:pPr>
            <w:r w:rsidRPr="005D4A43">
              <w:rPr>
                <w:rFonts w:cs="Times New Roman"/>
                <w:sz w:val="24"/>
                <w:szCs w:val="24"/>
              </w:rPr>
              <w:t>30,0</w:t>
            </w:r>
          </w:p>
        </w:tc>
        <w:tc>
          <w:tcPr>
            <w:tcW w:w="993" w:type="dxa"/>
            <w:tcBorders>
              <w:top w:val="nil"/>
              <w:left w:val="nil"/>
              <w:bottom w:val="single" w:sz="4" w:space="0" w:color="auto"/>
              <w:right w:val="single" w:sz="4" w:space="0" w:color="auto"/>
            </w:tcBorders>
            <w:shd w:val="clear" w:color="auto" w:fill="auto"/>
            <w:vAlign w:val="center"/>
          </w:tcPr>
          <w:p w14:paraId="65EBD97F" w14:textId="77777777" w:rsidR="005D4A43" w:rsidRPr="005D4A43" w:rsidRDefault="005D4A43" w:rsidP="005D4A43">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2403BC4C" w14:textId="77777777" w:rsidR="005D4A43" w:rsidRPr="005D4A43" w:rsidRDefault="005D4A43" w:rsidP="005D4A43">
            <w:pPr>
              <w:jc w:val="center"/>
              <w:rPr>
                <w:rFonts w:cs="Times New Roman"/>
                <w:b/>
                <w:sz w:val="24"/>
                <w:szCs w:val="24"/>
              </w:rPr>
            </w:pPr>
            <w:r w:rsidRPr="005D4A43">
              <w:rPr>
                <w:rFonts w:cs="Times New Roman"/>
                <w:b/>
                <w:sz w:val="24"/>
                <w:szCs w:val="24"/>
              </w:rPr>
              <w:t>35,6</w:t>
            </w:r>
            <w:r w:rsidRPr="005D4A43">
              <w:rPr>
                <w:rFonts w:cs="Times New Roman"/>
                <w:b/>
                <w:color w:val="000000"/>
                <w:sz w:val="24"/>
                <w:szCs w:val="24"/>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E5B7D4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56E32766"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45,3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636B5CE1"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143A4BE8"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7480CE"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F7E51A1"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nil"/>
              <w:right w:val="single" w:sz="4" w:space="0" w:color="auto"/>
            </w:tcBorders>
            <w:shd w:val="clear" w:color="auto" w:fill="auto"/>
            <w:vAlign w:val="center"/>
          </w:tcPr>
          <w:p w14:paraId="4C0E4B7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27</w:t>
            </w:r>
          </w:p>
        </w:tc>
        <w:tc>
          <w:tcPr>
            <w:tcW w:w="1134" w:type="dxa"/>
            <w:tcBorders>
              <w:top w:val="nil"/>
              <w:left w:val="nil"/>
              <w:bottom w:val="nil"/>
              <w:right w:val="single" w:sz="4" w:space="0" w:color="auto"/>
            </w:tcBorders>
            <w:shd w:val="clear" w:color="auto" w:fill="auto"/>
            <w:vAlign w:val="center"/>
          </w:tcPr>
          <w:p w14:paraId="5B71834C"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29,2</w:t>
            </w:r>
          </w:p>
        </w:tc>
        <w:tc>
          <w:tcPr>
            <w:tcW w:w="993" w:type="dxa"/>
            <w:tcBorders>
              <w:top w:val="nil"/>
              <w:left w:val="nil"/>
              <w:bottom w:val="nil"/>
              <w:right w:val="single" w:sz="4" w:space="0" w:color="auto"/>
            </w:tcBorders>
            <w:shd w:val="clear" w:color="auto" w:fill="auto"/>
            <w:vAlign w:val="center"/>
          </w:tcPr>
          <w:p w14:paraId="2CC6D280"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33</w:t>
            </w:r>
          </w:p>
        </w:tc>
        <w:tc>
          <w:tcPr>
            <w:tcW w:w="1134" w:type="dxa"/>
            <w:tcBorders>
              <w:top w:val="nil"/>
              <w:left w:val="nil"/>
              <w:bottom w:val="nil"/>
              <w:right w:val="single" w:sz="4" w:space="0" w:color="auto"/>
            </w:tcBorders>
            <w:shd w:val="clear" w:color="auto" w:fill="auto"/>
            <w:vAlign w:val="center"/>
          </w:tcPr>
          <w:p w14:paraId="628654CF"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33,3 ↑</w:t>
            </w:r>
          </w:p>
        </w:tc>
        <w:tc>
          <w:tcPr>
            <w:tcW w:w="1134" w:type="dxa"/>
            <w:tcBorders>
              <w:top w:val="nil"/>
              <w:left w:val="single" w:sz="4" w:space="0" w:color="auto"/>
              <w:bottom w:val="nil"/>
              <w:right w:val="single" w:sz="4" w:space="0" w:color="auto"/>
            </w:tcBorders>
            <w:shd w:val="clear" w:color="auto" w:fill="auto"/>
            <w:vAlign w:val="center"/>
          </w:tcPr>
          <w:p w14:paraId="5670810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13</w:t>
            </w:r>
          </w:p>
        </w:tc>
        <w:tc>
          <w:tcPr>
            <w:tcW w:w="992" w:type="dxa"/>
            <w:tcBorders>
              <w:top w:val="nil"/>
              <w:left w:val="nil"/>
              <w:bottom w:val="nil"/>
              <w:right w:val="single" w:sz="4" w:space="0" w:color="auto"/>
            </w:tcBorders>
            <w:shd w:val="clear" w:color="auto" w:fill="auto"/>
            <w:vAlign w:val="center"/>
          </w:tcPr>
          <w:p w14:paraId="3512149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11AC25F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4B8F9C7C"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B7EB376"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6B787D6"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Ульяновская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E3120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36947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22,2</w:t>
            </w:r>
          </w:p>
        </w:tc>
        <w:tc>
          <w:tcPr>
            <w:tcW w:w="993" w:type="dxa"/>
            <w:tcBorders>
              <w:top w:val="single" w:sz="4" w:space="0" w:color="auto"/>
              <w:left w:val="nil"/>
              <w:bottom w:val="single" w:sz="4" w:space="0" w:color="auto"/>
              <w:right w:val="single" w:sz="4" w:space="0" w:color="auto"/>
            </w:tcBorders>
            <w:shd w:val="clear" w:color="auto" w:fill="auto"/>
            <w:vAlign w:val="center"/>
          </w:tcPr>
          <w:p w14:paraId="53EA8CD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2A1EB8"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31,7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E97A6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31</w:t>
            </w:r>
          </w:p>
        </w:tc>
        <w:tc>
          <w:tcPr>
            <w:tcW w:w="992" w:type="dxa"/>
            <w:tcBorders>
              <w:top w:val="single" w:sz="4" w:space="0" w:color="auto"/>
              <w:left w:val="nil"/>
              <w:bottom w:val="single" w:sz="4" w:space="0" w:color="auto"/>
              <w:right w:val="single" w:sz="4" w:space="0" w:color="auto"/>
            </w:tcBorders>
            <w:shd w:val="clear" w:color="auto" w:fill="auto"/>
            <w:vAlign w:val="center"/>
          </w:tcPr>
          <w:p w14:paraId="420950B4"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32 ↑</w:t>
            </w:r>
          </w:p>
        </w:tc>
        <w:tc>
          <w:tcPr>
            <w:tcW w:w="1700" w:type="dxa"/>
            <w:tcBorders>
              <w:top w:val="single" w:sz="4" w:space="0" w:color="auto"/>
              <w:left w:val="nil"/>
              <w:bottom w:val="single" w:sz="4" w:space="0" w:color="auto"/>
              <w:right w:val="single" w:sz="4" w:space="0" w:color="auto"/>
            </w:tcBorders>
            <w:shd w:val="clear" w:color="auto" w:fill="auto"/>
            <w:vAlign w:val="center"/>
          </w:tcPr>
          <w:p w14:paraId="7A69E553"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5F6BD9B6" w14:textId="77777777" w:rsidTr="00126F5B">
        <w:tc>
          <w:tcPr>
            <w:tcW w:w="568" w:type="dxa"/>
            <w:tcBorders>
              <w:top w:val="single" w:sz="4" w:space="0" w:color="auto"/>
              <w:left w:val="single" w:sz="4" w:space="0" w:color="auto"/>
              <w:bottom w:val="single" w:sz="4" w:space="0" w:color="auto"/>
              <w:right w:val="single" w:sz="4" w:space="0" w:color="auto"/>
            </w:tcBorders>
            <w:vAlign w:val="center"/>
          </w:tcPr>
          <w:p w14:paraId="5F731A49"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1985" w:type="dxa"/>
            <w:tcBorders>
              <w:top w:val="nil"/>
              <w:left w:val="single" w:sz="4" w:space="0" w:color="auto"/>
              <w:bottom w:val="single" w:sz="4" w:space="0" w:color="auto"/>
              <w:right w:val="single" w:sz="4" w:space="0" w:color="auto"/>
            </w:tcBorders>
            <w:shd w:val="clear" w:color="auto" w:fill="auto"/>
          </w:tcPr>
          <w:p w14:paraId="5DC4492B"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4E37F0F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5324986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29,13</w:t>
            </w:r>
          </w:p>
        </w:tc>
        <w:tc>
          <w:tcPr>
            <w:tcW w:w="993" w:type="dxa"/>
            <w:tcBorders>
              <w:top w:val="nil"/>
              <w:left w:val="nil"/>
              <w:bottom w:val="single" w:sz="4" w:space="0" w:color="auto"/>
              <w:right w:val="single" w:sz="4" w:space="0" w:color="auto"/>
            </w:tcBorders>
            <w:shd w:val="clear" w:color="auto" w:fill="auto"/>
            <w:vAlign w:val="center"/>
          </w:tcPr>
          <w:p w14:paraId="3DF7DC1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vAlign w:val="center"/>
          </w:tcPr>
          <w:p w14:paraId="68C275E7"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29,8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732172F"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59,6</w:t>
            </w:r>
          </w:p>
        </w:tc>
        <w:tc>
          <w:tcPr>
            <w:tcW w:w="992" w:type="dxa"/>
            <w:tcBorders>
              <w:top w:val="nil"/>
              <w:left w:val="nil"/>
              <w:bottom w:val="single" w:sz="4" w:space="0" w:color="auto"/>
              <w:right w:val="single" w:sz="4" w:space="0" w:color="auto"/>
            </w:tcBorders>
            <w:shd w:val="clear" w:color="auto" w:fill="auto"/>
            <w:vAlign w:val="center"/>
          </w:tcPr>
          <w:p w14:paraId="27B007A5"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66,6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272206C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0600B031"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78C02E5"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157D49F"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0184B1E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5AA9B21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12,0</w:t>
            </w:r>
          </w:p>
        </w:tc>
        <w:tc>
          <w:tcPr>
            <w:tcW w:w="993" w:type="dxa"/>
            <w:tcBorders>
              <w:top w:val="nil"/>
              <w:left w:val="nil"/>
              <w:bottom w:val="single" w:sz="4" w:space="0" w:color="auto"/>
              <w:right w:val="single" w:sz="4" w:space="0" w:color="auto"/>
            </w:tcBorders>
            <w:shd w:val="clear" w:color="auto" w:fill="auto"/>
            <w:vAlign w:val="center"/>
          </w:tcPr>
          <w:p w14:paraId="3B22585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2FA44FE2"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29,0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D996D1D"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42,5</w:t>
            </w:r>
          </w:p>
        </w:tc>
        <w:tc>
          <w:tcPr>
            <w:tcW w:w="992" w:type="dxa"/>
            <w:tcBorders>
              <w:top w:val="nil"/>
              <w:left w:val="nil"/>
              <w:bottom w:val="single" w:sz="4" w:space="0" w:color="auto"/>
              <w:right w:val="single" w:sz="4" w:space="0" w:color="auto"/>
            </w:tcBorders>
            <w:shd w:val="clear" w:color="auto" w:fill="auto"/>
            <w:vAlign w:val="center"/>
          </w:tcPr>
          <w:p w14:paraId="11FBCD7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04066FEE"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r w:rsidR="005D4A43" w:rsidRPr="005D4A43" w14:paraId="4FEDF681" w14:textId="77777777" w:rsidTr="00126F5B">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3FA27"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1985" w:type="dxa"/>
            <w:tcBorders>
              <w:top w:val="nil"/>
              <w:left w:val="single" w:sz="4" w:space="0" w:color="auto"/>
              <w:bottom w:val="single" w:sz="4" w:space="0" w:color="auto"/>
              <w:right w:val="single" w:sz="4" w:space="0" w:color="auto"/>
            </w:tcBorders>
            <w:shd w:val="clear" w:color="auto" w:fill="FFFFFF" w:themeFill="background1"/>
          </w:tcPr>
          <w:p w14:paraId="73508667" w14:textId="77777777" w:rsidR="005D4A43" w:rsidRPr="005D4A43" w:rsidRDefault="005D4A43" w:rsidP="005D4A43">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3410E4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21CCE919"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20,8</w:t>
            </w:r>
          </w:p>
        </w:tc>
        <w:tc>
          <w:tcPr>
            <w:tcW w:w="993" w:type="dxa"/>
            <w:tcBorders>
              <w:top w:val="nil"/>
              <w:left w:val="nil"/>
              <w:bottom w:val="single" w:sz="4" w:space="0" w:color="auto"/>
              <w:right w:val="single" w:sz="4" w:space="0" w:color="auto"/>
            </w:tcBorders>
            <w:shd w:val="clear" w:color="auto" w:fill="auto"/>
            <w:vAlign w:val="center"/>
          </w:tcPr>
          <w:p w14:paraId="4D1725F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vAlign w:val="center"/>
          </w:tcPr>
          <w:p w14:paraId="0C1781CB" w14:textId="77777777" w:rsidR="005D4A43" w:rsidRPr="005D4A43" w:rsidRDefault="005D4A43" w:rsidP="005D4A43">
            <w:pPr>
              <w:jc w:val="center"/>
              <w:rPr>
                <w:rFonts w:cs="Times New Roman"/>
                <w:b/>
                <w:color w:val="000000"/>
                <w:sz w:val="24"/>
                <w:szCs w:val="24"/>
              </w:rPr>
            </w:pPr>
            <w:r w:rsidRPr="005D4A43">
              <w:rPr>
                <w:rFonts w:cs="Times New Roman"/>
                <w:b/>
                <w:color w:val="000000"/>
                <w:sz w:val="24"/>
                <w:szCs w:val="24"/>
              </w:rPr>
              <w:t>28,6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CDB0A28"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67,85</w:t>
            </w:r>
          </w:p>
        </w:tc>
        <w:tc>
          <w:tcPr>
            <w:tcW w:w="992" w:type="dxa"/>
            <w:tcBorders>
              <w:top w:val="nil"/>
              <w:left w:val="nil"/>
              <w:bottom w:val="single" w:sz="4" w:space="0" w:color="auto"/>
              <w:right w:val="single" w:sz="4" w:space="0" w:color="auto"/>
            </w:tcBorders>
            <w:shd w:val="clear" w:color="auto" w:fill="auto"/>
            <w:vAlign w:val="center"/>
          </w:tcPr>
          <w:p w14:paraId="7A219052"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63,7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74AA9A4A" w14:textId="77777777" w:rsidR="005D4A43" w:rsidRPr="005D4A43" w:rsidRDefault="005D4A43" w:rsidP="005D4A43">
            <w:pPr>
              <w:jc w:val="center"/>
              <w:rPr>
                <w:rFonts w:cs="Times New Roman"/>
                <w:color w:val="000000"/>
                <w:sz w:val="24"/>
                <w:szCs w:val="24"/>
              </w:rPr>
            </w:pPr>
            <w:r w:rsidRPr="005D4A43">
              <w:rPr>
                <w:rFonts w:cs="Times New Roman"/>
                <w:color w:val="000000"/>
                <w:sz w:val="24"/>
                <w:szCs w:val="24"/>
              </w:rPr>
              <w:t>↑ ↓</w:t>
            </w:r>
          </w:p>
        </w:tc>
      </w:tr>
    </w:tbl>
    <w:p w14:paraId="771682CF" w14:textId="77777777" w:rsidR="005D4A43" w:rsidRPr="005D4A43" w:rsidRDefault="005D4A43" w:rsidP="005D4A43">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социального обслуживания населения</w:t>
      </w:r>
      <w:r w:rsidRPr="005D4A43">
        <w:rPr>
          <w:rFonts w:ascii="Times New Roman" w:hAnsi="Times New Roman" w:cs="Times New Roman"/>
          <w:sz w:val="28"/>
          <w:szCs w:val="28"/>
        </w:rPr>
        <w:t xml:space="preserve"> в </w:t>
      </w:r>
      <w:r w:rsidRPr="005D4A43">
        <w:rPr>
          <w:rFonts w:ascii="Times New Roman" w:hAnsi="Times New Roman" w:cs="Times New Roman"/>
          <w:color w:val="000000"/>
          <w:sz w:val="28"/>
          <w:szCs w:val="28"/>
        </w:rPr>
        <w:t>Республике Хакасия,</w:t>
      </w:r>
      <w:r w:rsidRPr="005D4A43">
        <w:rPr>
          <w:rFonts w:ascii="Times New Roman" w:hAnsi="Times New Roman" w:cs="Times New Roman"/>
          <w:sz w:val="28"/>
          <w:szCs w:val="28"/>
        </w:rPr>
        <w:t xml:space="preserve"> </w:t>
      </w:r>
      <w:r w:rsidRPr="005D4A43">
        <w:rPr>
          <w:rFonts w:ascii="Times New Roman" w:hAnsi="Times New Roman" w:cs="Times New Roman"/>
          <w:color w:val="000000"/>
          <w:sz w:val="28"/>
          <w:szCs w:val="28"/>
        </w:rPr>
        <w:t xml:space="preserve">Новосибирской, </w:t>
      </w:r>
      <w:r w:rsidRPr="005D4A43">
        <w:rPr>
          <w:rFonts w:ascii="Times New Roman" w:hAnsi="Times New Roman" w:cs="Times New Roman"/>
          <w:sz w:val="28"/>
          <w:szCs w:val="28"/>
        </w:rPr>
        <w:t>Мурманской</w:t>
      </w:r>
      <w:r w:rsidRPr="005D4A43">
        <w:rPr>
          <w:rFonts w:ascii="Times New Roman" w:hAnsi="Times New Roman" w:cs="Times New Roman"/>
          <w:color w:val="000000"/>
          <w:sz w:val="28"/>
          <w:szCs w:val="28"/>
        </w:rPr>
        <w:t xml:space="preserve"> и</w:t>
      </w:r>
      <w:r w:rsidRPr="005D4A43">
        <w:rPr>
          <w:rFonts w:ascii="Times New Roman" w:hAnsi="Times New Roman" w:cs="Times New Roman"/>
          <w:sz w:val="28"/>
          <w:szCs w:val="28"/>
        </w:rPr>
        <w:t xml:space="preserve"> Тюменской областях, Пермском крае,</w:t>
      </w:r>
      <w:r w:rsidRPr="005D4A43">
        <w:rPr>
          <w:rFonts w:ascii="Times New Roman" w:hAnsi="Times New Roman" w:cs="Times New Roman"/>
          <w:color w:val="000000"/>
          <w:sz w:val="28"/>
          <w:szCs w:val="28"/>
        </w:rPr>
        <w:t xml:space="preserve"> Хабаровском крае, Х</w:t>
      </w:r>
      <w:r w:rsidRPr="005D4A43">
        <w:rPr>
          <w:rFonts w:ascii="Times New Roman" w:hAnsi="Times New Roman" w:cs="Times New Roman"/>
          <w:sz w:val="28"/>
          <w:szCs w:val="28"/>
        </w:rPr>
        <w:t xml:space="preserve">анты-Мансийском автономном округе – Югре, г. Севастополе наблюдается снижение процента удовлетворенности потребителей по результатам мониторинга 2017 и 2018 годов. При этом в 7 субъектах Российской Федерации растут фактические значения присутствия организаций частной формы собственности на рынке. </w:t>
      </w:r>
    </w:p>
    <w:p w14:paraId="35A53822"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Башкортостан, г. Санкт-Петербург,</w:t>
      </w:r>
      <w:r w:rsidRPr="00026454">
        <w:rPr>
          <w:b/>
          <w:sz w:val="28"/>
          <w:szCs w:val="28"/>
        </w:rPr>
        <w:t xml:space="preserve"> </w:t>
      </w:r>
      <w:r w:rsidRPr="00026454">
        <w:rPr>
          <w:rFonts w:ascii="Times New Roman" w:hAnsi="Times New Roman" w:cs="Times New Roman"/>
          <w:b/>
          <w:color w:val="000000"/>
          <w:sz w:val="28"/>
          <w:szCs w:val="28"/>
        </w:rPr>
        <w:t>Ямало-Ненецкий автономный округ, Ставропольский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1E6750C9"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7C930017" w14:textId="0E075C22" w:rsidR="005D4A43" w:rsidRPr="005D4A43" w:rsidRDefault="005D4A43" w:rsidP="005D4A43">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sidR="00026454">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2E7760BA" w14:textId="2CCEA24D"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9 регионах процент удовлетворенности</w:t>
      </w:r>
      <w:r w:rsidR="00026454">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34C6887A" w14:textId="4D2B7AD1"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w:t>
      </w:r>
      <w:r w:rsidR="00026454">
        <w:rPr>
          <w:rFonts w:ascii="Times New Roman" w:hAnsi="Times New Roman" w:cs="Times New Roman"/>
          <w:sz w:val="28"/>
          <w:szCs w:val="28"/>
        </w:rPr>
        <w:t>ектов Российской Федерации в 53</w:t>
      </w:r>
      <w:r w:rsidRPr="005D4A43">
        <w:rPr>
          <w:rFonts w:ascii="Times New Roman" w:hAnsi="Times New Roman" w:cs="Times New Roman"/>
          <w:sz w:val="28"/>
          <w:szCs w:val="28"/>
        </w:rPr>
        <w:t xml:space="preserve">% (45 субъектов) регионах удовлетворенность потребителей на </w:t>
      </w:r>
      <w:r w:rsidR="00026454">
        <w:rPr>
          <w:rFonts w:ascii="Times New Roman" w:hAnsi="Times New Roman" w:cs="Times New Roman"/>
          <w:sz w:val="28"/>
          <w:szCs w:val="28"/>
        </w:rPr>
        <w:t>рынке менее 50</w:t>
      </w:r>
      <w:r w:rsidRPr="005D4A43">
        <w:rPr>
          <w:rFonts w:ascii="Times New Roman" w:hAnsi="Times New Roman" w:cs="Times New Roman"/>
          <w:sz w:val="28"/>
          <w:szCs w:val="28"/>
        </w:rPr>
        <w:t xml:space="preserve">%. </w:t>
      </w:r>
    </w:p>
    <w:p w14:paraId="3F6E800B" w14:textId="77777777" w:rsidR="005D4A43" w:rsidRPr="005D4A43" w:rsidRDefault="005D4A43" w:rsidP="005D4A43">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0D330A07" w14:textId="77777777" w:rsidR="005D4A43" w:rsidRPr="005D4A43" w:rsidRDefault="005D4A43" w:rsidP="005D4A43">
      <w:pPr>
        <w:spacing w:after="0" w:line="240" w:lineRule="auto"/>
        <w:ind w:firstLine="709"/>
        <w:jc w:val="both"/>
        <w:rPr>
          <w:rFonts w:ascii="Times New Roman" w:hAnsi="Times New Roman" w:cs="Times New Roman"/>
          <w:sz w:val="28"/>
          <w:szCs w:val="28"/>
        </w:rPr>
      </w:pPr>
    </w:p>
    <w:p w14:paraId="7A1474D3" w14:textId="77777777" w:rsidR="005D4A43" w:rsidRPr="005D4A43" w:rsidRDefault="005D4A43" w:rsidP="005D4A43">
      <w:pPr>
        <w:pBdr>
          <w:bottom w:val="single" w:sz="4" w:space="29" w:color="FFFFFF"/>
        </w:pBdr>
        <w:tabs>
          <w:tab w:val="left" w:pos="5954"/>
        </w:tabs>
        <w:spacing w:after="0" w:line="240" w:lineRule="auto"/>
        <w:ind w:firstLine="709"/>
        <w:jc w:val="center"/>
        <w:rPr>
          <w:rFonts w:ascii="Times New Roman" w:eastAsia="Calibri" w:hAnsi="Times New Roman" w:cs="Times New Roman"/>
          <w:b/>
          <w:sz w:val="32"/>
          <w:szCs w:val="32"/>
          <w:lang w:eastAsia="ru-RU"/>
        </w:rPr>
      </w:pPr>
      <w:r w:rsidRPr="005D4A43">
        <w:rPr>
          <w:rFonts w:ascii="Times New Roman" w:eastAsia="Times New Roman" w:hAnsi="Times New Roman" w:cs="Times New Roman"/>
          <w:b/>
          <w:sz w:val="32"/>
          <w:szCs w:val="32"/>
        </w:rPr>
        <w:t>Положительные практики по развитию конкуренции на региональных рынках и в рамках системных мероприятий</w:t>
      </w:r>
    </w:p>
    <w:p w14:paraId="7DD2AB06"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eastAsia="Calibri" w:hAnsi="Times New Roman" w:cs="Times New Roman"/>
          <w:b/>
          <w:i/>
          <w:sz w:val="28"/>
          <w:szCs w:val="28"/>
          <w:lang w:eastAsia="ru-RU"/>
        </w:rPr>
      </w:pPr>
    </w:p>
    <w:p w14:paraId="15F8066F" w14:textId="77777777" w:rsidR="005D4A43" w:rsidRPr="00026454" w:rsidRDefault="005D4A43" w:rsidP="005D4A43">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u w:val="single"/>
        </w:rPr>
      </w:pPr>
      <w:r w:rsidRPr="005D4A43">
        <w:rPr>
          <w:rFonts w:ascii="Times New Roman" w:eastAsia="Calibri" w:hAnsi="Times New Roman" w:cs="Times New Roman"/>
          <w:bCs/>
          <w:sz w:val="28"/>
          <w:szCs w:val="28"/>
        </w:rPr>
        <w:t xml:space="preserve">Вопрос определения </w:t>
      </w:r>
      <w:r w:rsidRPr="00026454">
        <w:rPr>
          <w:rFonts w:ascii="Times New Roman" w:eastAsia="Calibri" w:hAnsi="Times New Roman" w:cs="Times New Roman"/>
          <w:bCs/>
          <w:sz w:val="28"/>
          <w:szCs w:val="28"/>
        </w:rPr>
        <w:t>лучших (рекомендованных) практик</w:t>
      </w:r>
      <w:r w:rsidRPr="005D4A43">
        <w:rPr>
          <w:rFonts w:ascii="Times New Roman" w:eastAsia="Calibri" w:hAnsi="Times New Roman" w:cs="Times New Roman"/>
          <w:bCs/>
          <w:sz w:val="28"/>
          <w:szCs w:val="28"/>
        </w:rPr>
        <w:t xml:space="preserve">, оказывающих значительное положительное влияние на развитие конкуренции в субъектах Российской Федерации, в том числе на тех или иных рынках региона, рассматривается в рамках работы Межведомственной рабочей группы по вопросам реализации положений Стандарта развития конкуренции в субъектах Российской Федерации (далее – Межведомственная рабочая группа). Их отбор, как правило, осуществляется во втором полугодии года, следующего за отчетным. За 2017 год </w:t>
      </w:r>
      <w:r w:rsidRPr="005D4A43">
        <w:rPr>
          <w:rFonts w:ascii="Times New Roman" w:eastAsia="Calibri" w:hAnsi="Times New Roman" w:cs="Times New Roman"/>
          <w:bCs/>
          <w:i/>
          <w:sz w:val="28"/>
          <w:szCs w:val="28"/>
        </w:rPr>
        <w:t>лучшие (рекомендованные) практики</w:t>
      </w:r>
      <w:r w:rsidRPr="005D4A43">
        <w:rPr>
          <w:rFonts w:ascii="Times New Roman" w:eastAsia="Calibri" w:hAnsi="Times New Roman" w:cs="Times New Roman"/>
          <w:bCs/>
          <w:sz w:val="28"/>
          <w:szCs w:val="28"/>
        </w:rPr>
        <w:t xml:space="preserve"> определены на заседании </w:t>
      </w:r>
      <w:r w:rsidRPr="005D4A43">
        <w:rPr>
          <w:rFonts w:ascii="Times New Roman" w:eastAsia="Calibri" w:hAnsi="Times New Roman" w:cs="Times New Roman"/>
          <w:sz w:val="28"/>
          <w:szCs w:val="28"/>
          <w:lang w:eastAsia="ru-RU"/>
        </w:rPr>
        <w:t xml:space="preserve">Межведомственной рабочей группы </w:t>
      </w:r>
      <w:r w:rsidRPr="005D4A43">
        <w:rPr>
          <w:rFonts w:ascii="Times New Roman" w:hAnsi="Times New Roman" w:cs="Times New Roman"/>
          <w:bCs/>
          <w:sz w:val="28"/>
          <w:szCs w:val="28"/>
        </w:rPr>
        <w:t>от 5 декабря 2018 г, п</w:t>
      </w:r>
      <w:r w:rsidRPr="005D4A43">
        <w:rPr>
          <w:rFonts w:ascii="Times New Roman" w:eastAsia="Calibri" w:hAnsi="Times New Roman" w:cs="Times New Roman"/>
          <w:sz w:val="28"/>
          <w:szCs w:val="28"/>
          <w:lang w:eastAsia="ru-RU"/>
        </w:rPr>
        <w:t>ротокол</w:t>
      </w:r>
      <w:r w:rsidRPr="005D4A43">
        <w:rPr>
          <w:rFonts w:ascii="Times New Roman" w:hAnsi="Times New Roman" w:cs="Times New Roman"/>
          <w:bCs/>
          <w:sz w:val="28"/>
          <w:szCs w:val="28"/>
        </w:rPr>
        <w:t xml:space="preserve"> №</w:t>
      </w:r>
      <w:r w:rsidRPr="005D4A43">
        <w:rPr>
          <w:rFonts w:ascii="Times New Roman" w:hAnsi="Times New Roman" w:cs="Times New Roman"/>
          <w:bCs/>
          <w:sz w:val="28"/>
          <w:szCs w:val="28"/>
          <w:lang w:val="en-US"/>
        </w:rPr>
        <w:t> </w:t>
      </w:r>
      <w:r w:rsidRPr="005D4A43">
        <w:rPr>
          <w:rFonts w:ascii="Times New Roman" w:hAnsi="Times New Roman" w:cs="Times New Roman"/>
          <w:bCs/>
          <w:sz w:val="28"/>
          <w:szCs w:val="28"/>
        </w:rPr>
        <w:t xml:space="preserve">22-Д05 </w:t>
      </w:r>
      <w:r w:rsidRPr="00026454">
        <w:rPr>
          <w:rFonts w:ascii="Times New Roman" w:hAnsi="Times New Roman" w:cs="Times New Roman"/>
          <w:bCs/>
          <w:sz w:val="28"/>
          <w:szCs w:val="28"/>
        </w:rPr>
        <w:t>(</w:t>
      </w:r>
      <w:r w:rsidRPr="00026454">
        <w:rPr>
          <w:rFonts w:ascii="Times New Roman" w:eastAsia="Calibri" w:hAnsi="Times New Roman" w:cs="Times New Roman"/>
          <w:bCs/>
          <w:sz w:val="28"/>
          <w:szCs w:val="28"/>
          <w:u w:val="single"/>
        </w:rPr>
        <w:t xml:space="preserve">http://economy.gov.ru/minec/about/structure/depMB/201811126) </w:t>
      </w:r>
      <w:r w:rsidRPr="00026454">
        <w:rPr>
          <w:rFonts w:ascii="Times New Roman" w:eastAsia="Calibri" w:hAnsi="Times New Roman" w:cs="Times New Roman"/>
          <w:bCs/>
          <w:sz w:val="28"/>
          <w:szCs w:val="28"/>
        </w:rPr>
        <w:t xml:space="preserve">. </w:t>
      </w:r>
    </w:p>
    <w:p w14:paraId="671B9089"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rPr>
      </w:pPr>
      <w:r w:rsidRPr="005D4A43">
        <w:rPr>
          <w:rFonts w:ascii="Times New Roman" w:eastAsia="Calibri" w:hAnsi="Times New Roman" w:cs="Times New Roman"/>
          <w:bCs/>
          <w:sz w:val="28"/>
          <w:szCs w:val="28"/>
        </w:rPr>
        <w:t xml:space="preserve">Кроме того, начиная с 2013 года в ФАС России ежегодно формируется «Белая книга» региональных (муниципальных) проконкурентных практик </w:t>
      </w:r>
      <w:r w:rsidRPr="00026454">
        <w:rPr>
          <w:rFonts w:ascii="Times New Roman" w:eastAsia="Calibri" w:hAnsi="Times New Roman" w:cs="Times New Roman"/>
          <w:bCs/>
          <w:sz w:val="28"/>
          <w:szCs w:val="28"/>
        </w:rPr>
        <w:t xml:space="preserve">(приказы ФАС России от </w:t>
      </w:r>
      <w:r w:rsidRPr="00026454">
        <w:rPr>
          <w:rFonts w:ascii="Times New Roman" w:hAnsi="Times New Roman" w:cs="Times New Roman"/>
          <w:sz w:val="28"/>
          <w:szCs w:val="28"/>
        </w:rPr>
        <w:t>30.04.2013 № 315/13</w:t>
      </w:r>
      <w:r w:rsidRPr="00026454">
        <w:rPr>
          <w:rFonts w:ascii="Times New Roman" w:eastAsia="Calibri" w:hAnsi="Times New Roman" w:cs="Times New Roman"/>
          <w:bCs/>
          <w:sz w:val="28"/>
          <w:szCs w:val="28"/>
        </w:rPr>
        <w:t xml:space="preserve"> и от 14.03.2017 № 299/17)</w:t>
      </w:r>
      <w:r w:rsidRPr="005D4A43">
        <w:rPr>
          <w:rFonts w:ascii="Times New Roman" w:eastAsia="Calibri" w:hAnsi="Times New Roman" w:cs="Times New Roman"/>
          <w:bCs/>
          <w:i/>
          <w:sz w:val="28"/>
          <w:szCs w:val="28"/>
        </w:rPr>
        <w:t xml:space="preserve">. </w:t>
      </w:r>
      <w:r w:rsidRPr="005D4A43">
        <w:rPr>
          <w:rFonts w:ascii="Times New Roman" w:eastAsia="Calibri" w:hAnsi="Times New Roman" w:cs="Times New Roman"/>
          <w:bCs/>
          <w:sz w:val="28"/>
          <w:szCs w:val="28"/>
        </w:rPr>
        <w:t xml:space="preserve">Начиная с 2015 года в нее включаются мероприятия, осуществляемые в рамках реализации Стандарта развития конкуренции.  </w:t>
      </w:r>
    </w:p>
    <w:p w14:paraId="2784CB29"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данном разделе из региональных докладов отобраны практики, которые субъекты Российской Федерации позиционируют как положительные по содействию развитию конкуренции на рынках товаров, работ и услуг и осуществляемые в рамках системных мероприятий.</w:t>
      </w:r>
      <w:r w:rsidRPr="005D4A43">
        <w:rPr>
          <w:rFonts w:ascii="Times New Roman" w:hAnsi="Times New Roman" w:cs="Times New Roman"/>
          <w:sz w:val="28"/>
          <w:szCs w:val="28"/>
        </w:rPr>
        <w:tab/>
      </w:r>
    </w:p>
    <w:p w14:paraId="2C72B33F" w14:textId="77777777" w:rsidR="005D4A43" w:rsidRPr="005D4A43" w:rsidRDefault="005D4A43" w:rsidP="005D4A43">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Данные практики могут быть предложены на рассмотрение Межведомственной рабочей группы для определения рекомендованных практик, а также для включения в «Белую книгу» проконкурентных практик за 2018 год.</w:t>
      </w:r>
    </w:p>
    <w:p w14:paraId="4753391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представленных отдельными регионами практиках большое внимание уделяется финансовой поддержке бизнеса, осуществляемой из средств регионального (муниципальных) бюджета на конкурсной основе, в том числе в виде грантов. Это касается как сельхозпроизводителей, местной промышленности, так и поддержки социально-ориентированных организаций всех форм собственности. </w:t>
      </w:r>
    </w:p>
    <w:p w14:paraId="5EC168CA" w14:textId="77777777"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РЫНКИ</w:t>
      </w:r>
    </w:p>
    <w:p w14:paraId="3CDDF3E3" w14:textId="77777777" w:rsidR="005D4A43" w:rsidRPr="005D4A43" w:rsidRDefault="005D4A43" w:rsidP="005D4A43">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w:t>
      </w:r>
      <w:r w:rsidRPr="005D4A43">
        <w:rPr>
          <w:rFonts w:ascii="Times New Roman" w:hAnsi="Times New Roman" w:cs="Times New Roman"/>
          <w:b/>
          <w:sz w:val="28"/>
          <w:szCs w:val="28"/>
        </w:rPr>
        <w:tab/>
        <w:t>Дошкольное образование</w:t>
      </w:r>
    </w:p>
    <w:p w14:paraId="29E21186"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Белгородская область </w:t>
      </w:r>
    </w:p>
    <w:p w14:paraId="60C71526"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Гражданам предоставляется субсидия на компенсацию затрат на получение услуг присмотра и ухода за детьми дошкольного возраста у негосударственных поставщиков в размере 3 755 рублей ежемесячно. С апреля 2017 года указанная субсидия доступна частным детским садам при условии установления ими фиксированной родительской платы, не превышающей ее размер в муниципальных детских садах (используют 7 ЧДОУ, ИП).</w:t>
      </w:r>
    </w:p>
    <w:p w14:paraId="508339F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выплачено 65 099,6 тыс. рублей. 2266 детей охвачены негосударственным сектором дошкольного образования, присмотра и ухода, что составляет 3,1% от общего числа воспитанников ДОУ. Всего в Белгородской области действует 71 организация дошкольного образования полного дня. За последние пять лет в негосударственном секторе дошкольного образования создано дополнительно более 1 500 дошкольных мест.</w:t>
      </w:r>
    </w:p>
    <w:p w14:paraId="5554309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численности детей частных дошкольных образовательных организаций в общей численности детей дошкольных образовательных организаций в 2018 году составил 3,1% (в 2017 году 2,9%). Удовлетворенность потребителей качеством услуг и состоянием ценовой конкуренции на рынке дошкольного образования в 2018 году составила 60,7% (в 2017 году 58,6%).</w:t>
      </w:r>
    </w:p>
    <w:p w14:paraId="19D90BF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36ACC6E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Внедрена государственная программа на 2017-2025 годы «Образование Подмосковья». Суть программы в предоставлении субсидий бюджетам муниципальных образований Московской области на государственную поддержку частных дошкольных образовательных организаций в Московской области с целью возмещения расходов на присмотр и уход, содержание имущества и арендную плату за использование помещений. Существенное условие получения субсидии: размер платы для родителей, должен быть не выше размера родительской платы в муниципальных детских садах, за исключением платных образовательных услуг. </w:t>
      </w:r>
    </w:p>
    <w:p w14:paraId="1D57E41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расходы на субсидию составили 446,33 млн. рублей на 7 685 воспитанников в 87 частных ДОО в 26 муниципальных образованиях. (2017 год - размер субсидии составил 363,55 млн. рублей на 6 123 воспитанников). На 31.12.2018 г. в Подмосковье функционируют 106 частных дошкольных образовательных организаций, общее количество воспитанников – 11 808 детей. В Московской области обеспечено 100% доступности дошкольного образования детей в возрасте от 3 до 7 лет, охват услугами дошкольного образования детей в возрасте от 1,5 до 3 лет составляет 98,1%. В частных дошкольных образовательных организациях открыто 24 группы раннего возраста. Начали функционировать 6 новых частных детских садов.</w:t>
      </w:r>
    </w:p>
    <w:p w14:paraId="4FD5FB1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2018 года показатель «удельный вес численности воспитанников частных дошкольных организаций в общей численности воспитанников дошкольных организаций» составил 2,83% (в 2017 году - 2,4%). Удовлетворенность потребителей качеством услуг дошкольного образования и состоянием ценовой конкуренции в 2018 году составила 90,3% (в 2017 году 89,2%)</w:t>
      </w:r>
    </w:p>
    <w:p w14:paraId="5F0F0FD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FDFFE40" w14:textId="77777777" w:rsidR="005D4A43" w:rsidRPr="005D4A43" w:rsidRDefault="005D4A43" w:rsidP="005D4A43">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Рынок услуг социального обслуживания населения</w:t>
      </w:r>
    </w:p>
    <w:p w14:paraId="2F29D83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Мурманская область </w:t>
      </w:r>
    </w:p>
    <w:p w14:paraId="735845DD"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региональный реестр поставщиков социальных услуг наряду с 22 государственными учреждениями входят 8 социально ориентированных некоммерческих организаций, 7 индивидуальных предпринимателей и 3 коммерческие организации. Ежегодно в реестр вступают порядка 5 негосударственных поставщиков.</w:t>
      </w:r>
    </w:p>
    <w:p w14:paraId="1C7D1C9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Проводятся обучающие занятия в «Школе социального бизнеса», консультации и методические часы в Министерствах и подведомственных учреждениях. Проведён отраслевой этап «Поставщики социальных услуг. Повышая эффективность совместной работы» в рамках Социального партнерства Заполярья. Работает автоматизированная информационная система «Электронный социальный регистр населения Мурманской области».</w:t>
      </w:r>
    </w:p>
    <w:p w14:paraId="06BF40C0" w14:textId="04696429"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К концу 2018 года доля частного сектора в </w:t>
      </w:r>
      <w:r w:rsidR="00026454">
        <w:rPr>
          <w:rFonts w:ascii="Times New Roman" w:hAnsi="Times New Roman" w:cs="Times New Roman"/>
          <w:sz w:val="28"/>
          <w:szCs w:val="28"/>
        </w:rPr>
        <w:t>реестре поставщиков достигла 45</w:t>
      </w:r>
      <w:r w:rsidRPr="005D4A43">
        <w:rPr>
          <w:rFonts w:ascii="Times New Roman" w:hAnsi="Times New Roman" w:cs="Times New Roman"/>
          <w:sz w:val="28"/>
          <w:szCs w:val="28"/>
        </w:rPr>
        <w:t>%. С увеличением доли частного сектора в реестре выросла доля граждан, получающих услуги у негосударственных поставщиков, в общем количестве гр</w:t>
      </w:r>
      <w:r w:rsidR="00026454">
        <w:rPr>
          <w:rFonts w:ascii="Times New Roman" w:hAnsi="Times New Roman" w:cs="Times New Roman"/>
          <w:sz w:val="28"/>
          <w:szCs w:val="28"/>
        </w:rPr>
        <w:t>аждан, получающих услуги, с 2,7% в 2017 году до 5,3</w:t>
      </w:r>
      <w:r w:rsidRPr="005D4A43">
        <w:rPr>
          <w:rFonts w:ascii="Times New Roman" w:hAnsi="Times New Roman" w:cs="Times New Roman"/>
          <w:sz w:val="28"/>
          <w:szCs w:val="28"/>
        </w:rPr>
        <w:t>% в 2018 году. Объем средств областного бюджета, предусмотренных на выплату компенсации негосударственным поставщикам социальных услуг, в государственной программе «Социальная поддержка граждан» в 2018 году составил 59 397,5 тыс. руб.</w:t>
      </w:r>
    </w:p>
    <w:p w14:paraId="7223C270" w14:textId="1CD97E3B"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Удельный вес негосударственных учреждений социального обслуживания в общем количестве учреждений социального обслуживания всех форм собственности </w:t>
      </w:r>
      <w:r w:rsidR="00026454">
        <w:rPr>
          <w:rFonts w:ascii="Times New Roman" w:hAnsi="Times New Roman" w:cs="Times New Roman"/>
          <w:sz w:val="28"/>
          <w:szCs w:val="28"/>
        </w:rPr>
        <w:t>в 2018 году 45% (в 2017 году 12</w:t>
      </w:r>
      <w:r w:rsidRPr="005D4A43">
        <w:rPr>
          <w:rFonts w:ascii="Times New Roman" w:hAnsi="Times New Roman" w:cs="Times New Roman"/>
          <w:sz w:val="28"/>
          <w:szCs w:val="28"/>
        </w:rPr>
        <w:t>%), удовлетворенность потребителей качеством социальных услуг, а также состоянием ценовой конкуренции в 2018 году составила 68,89% (в 2017 году 69,29%).</w:t>
      </w:r>
    </w:p>
    <w:p w14:paraId="60E747D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23BBAE0B" w14:textId="62C45B0F" w:rsidR="005D4A43" w:rsidRPr="005D4A43" w:rsidRDefault="00026454"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01.01.2018 </w:t>
      </w:r>
      <w:r w:rsidR="005D4A43" w:rsidRPr="005D4A43">
        <w:rPr>
          <w:rFonts w:ascii="Times New Roman" w:hAnsi="Times New Roman" w:cs="Times New Roman"/>
          <w:sz w:val="28"/>
          <w:szCs w:val="28"/>
        </w:rPr>
        <w:t xml:space="preserve">вступило в силу постановление Правительства автономного округа от 22.12.2017 г. № 559-п «О проекте инноваций в сфере социального обслуживания граждан (уберизация социальных услуг) в Ханты-Мансийском автономном округе – Югре». На основе региональной государственной информационной системы «Портал социальных услуг» (далее – Портал) с 1 января 2018 года реализуется пилотный проект социальных инноваций в сфере социального обслуживания граждан (уберизация социальных услуг). </w:t>
      </w:r>
    </w:p>
    <w:p w14:paraId="7210928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Электронный сервис обеспечивает установление непосредственного контакта гражданина с поставщиками социальных услуг, а также предоставляет негосударственным поставщикам социальных услуг дополнительную возможность размещения информации о своей деятельности и поиске потенциальных получателей социальных услуг с заключением контракта по оказанию услуг. </w:t>
      </w:r>
    </w:p>
    <w:p w14:paraId="00D2C155" w14:textId="1AC33596"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 портале социальных услуг зарегистрировано 117 негосударственных организаций и 1925 граждан. 409 договоров на предоставление социальной услуги зак</w:t>
      </w:r>
      <w:r w:rsidR="00026454">
        <w:rPr>
          <w:rFonts w:ascii="Times New Roman" w:hAnsi="Times New Roman" w:cs="Times New Roman"/>
          <w:sz w:val="28"/>
          <w:szCs w:val="28"/>
        </w:rPr>
        <w:t>лючено через Портал в 2018 году.</w:t>
      </w:r>
    </w:p>
    <w:p w14:paraId="304F7D79"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негосударственных учреждений социального обслуживания в общем количестве учреждений социального обслуживания всех форм собственности в 2018 году составил 69,2% (в 2017 году 65%), удовлетворенность потребителей качеством социальных услуг, а также состоянием ценовой конкуренции в 2018 году составила 43,5% (в 2017 году 52,8%).</w:t>
      </w:r>
    </w:p>
    <w:p w14:paraId="748D4925" w14:textId="77777777" w:rsidR="005D4A43" w:rsidRPr="005D4A43" w:rsidRDefault="005D4A43" w:rsidP="005D4A43">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p>
    <w:p w14:paraId="6B3C1300" w14:textId="77777777" w:rsidR="005D4A43" w:rsidRPr="005D4A43" w:rsidRDefault="005D4A43" w:rsidP="005D4A43">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w:t>
      </w:r>
      <w:r w:rsidRPr="005D4A43">
        <w:rPr>
          <w:rFonts w:ascii="Times New Roman" w:hAnsi="Times New Roman" w:cs="Times New Roman"/>
          <w:b/>
          <w:sz w:val="28"/>
          <w:szCs w:val="28"/>
        </w:rPr>
        <w:tab/>
        <w:t>Рынок услуг в сфере туризма</w:t>
      </w:r>
    </w:p>
    <w:p w14:paraId="7AB1E7A6"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Воронежская область</w:t>
      </w:r>
      <w:r w:rsidRPr="005D4A43">
        <w:rPr>
          <w:rFonts w:ascii="Times New Roman" w:hAnsi="Times New Roman" w:cs="Times New Roman"/>
          <w:b/>
          <w:sz w:val="28"/>
          <w:szCs w:val="28"/>
        </w:rPr>
        <w:t xml:space="preserve"> </w:t>
      </w:r>
    </w:p>
    <w:p w14:paraId="1610C6DD"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 приоритетным направлениям развития туризма отнесена деятельность в сфере социального, детского, сельского, делового, событийного и самодеятельного туризма.</w:t>
      </w:r>
    </w:p>
    <w:p w14:paraId="1CA9D3F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рамках мероприятий, направленных на содействие развитию конкуренции на рынке туристских услуг, формируются и внедряются в практику конкурсные механизмы поддержки предпринимателей – субъектов малого и среднего бизнеса, осуществляющих деятельность по приоритетным направлениям развития туризма.</w:t>
      </w:r>
    </w:p>
    <w:p w14:paraId="3A368A9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регионе работает 253 турагентства. Количество туристических операторов за 2018 год возросло с 9 до 12. Важно отметить, что региональные туристические операторы переориентируются на работу на внутреннем рынке – 6 туристических операторов осуществляют деятельность в сфере международного и внутреннего туризма и 6 туристических операторов только в сфере внутреннего туризма. По количеству региональных туристических операторов Воронежская область занимает лидирующую позицию среди регионов Центрального Черноземья.</w:t>
      </w:r>
    </w:p>
    <w:p w14:paraId="596FC27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международной сети Интернет работает Туристский информационный портал Воронежской области visitvrn.ru. На портале размещается информация об объектах показа Воронежской области, событийных мероприятиях, справочная и иная туристская информация. Ведется новостной раздел. Интегрированы системы бронирования средств размещения. Внедрена система онлайн-заказа экскурсий и туров по Воронежской области. </w:t>
      </w:r>
    </w:p>
    <w:p w14:paraId="2F83E92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настоящее время на портале размещено 617 описаний объектов туристского показа, информация о 218 региональных событийных мероприятиях, 692 новостных материала и 2158 информационных материалов. Кроме того, информация размещена на Национальном туристическом портале Russia.travel, где опубликовано более 500 статей об объектах туристского показа Воронежской области.</w:t>
      </w:r>
    </w:p>
    <w:p w14:paraId="72947786"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 сайт Туристского информационного центра города Воронеж http://туризмворонеж.рф, в настоящее время на нем размещаются информация о городе Воронеже, справочная и туристская, о событийных мероприятиях, объектах индустрии гостеприимства. Информация об объектах туристского показа размещена в мобильных приложениях TopTripTip, izi.TRAVEL. Портал о туризме travel.ru составил рейтинг городов, популярных для путешествий, где город Воронеж занял 12-е место.</w:t>
      </w:r>
    </w:p>
    <w:p w14:paraId="44BA414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представленным данным мониторинга удовлетворенности потребителей качеством услуг и состоянием ценовой конкуренции на туристическом рынке Воронежской области, в 2018 году 86,9% потребителей удовлетворены качеством услуг (в 2017 году 81,1%), 50,2 % потребителей удовлетворены уровнем цен в 2018 году (в 2017 году – 53,5%).</w:t>
      </w:r>
    </w:p>
    <w:p w14:paraId="3866DBF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Санкт-Петербург</w:t>
      </w:r>
    </w:p>
    <w:p w14:paraId="5D1276A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Особое внимание уделяется вопросам развития в Санкт-Петербурге коллективных средств размещения среднего ценового сегмента: хостелов и гостиниц категории «3 звезды». </w:t>
      </w:r>
    </w:p>
    <w:p w14:paraId="285E437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Одним из приоритетных направлений развития гостиничной отрасли Санкт-Петербурга является проект создания плавучих гостиниц. Проект находится в высокой степени готовности: с инвестором заключено 3 договора водопользования для размещения плавучих гостиниц. Проведены аукционы и заключены 3 договора водопользования для размещения плавучего объекта гостиничного обслуживания с инвестором ООО «Город на воде» сроком на 15 лет по трем адресам. В настоящее время инвестором проводятся работы по получению права заключения договора аренды объекта нежилого фонда (участка набережной) для размещения гостиницы. </w:t>
      </w:r>
    </w:p>
    <w:p w14:paraId="434F674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систематической основе проводятся обучающие мероприятия для организаций туристической отрасли Санкт-Петербурга: мастер-классы для экскурсоводов и гидов-переводчиков, для работников профильных туристских организаций (гостиничные предприятия, службы безопасности, турфирмы и пр.), семинары для сотрудников туристской полиции Санкт-Петербурга. </w:t>
      </w:r>
    </w:p>
    <w:p w14:paraId="5838EA79"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Санкт-Петербурге впервые был апробирован уникальный для России механизм субсидирования фактически понесенных затрат социально ориентированных некоммерческих организаций на проведение конгрессно-выставочных мероприятий. В 2018 году субсидии получили 11 социально ориентированных некоммерческих организаций Санкт-Петербурга. Комиссией по обеспечению устойчивого развития экономики и социальной стабильности в Санкт-Петербурге утвержден приоритетный проект Санкт-Петербурга «Развитие конгрессно-выставочной деятельности в Санкт-Петербурге».</w:t>
      </w:r>
    </w:p>
    <w:p w14:paraId="1A88173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ежегодной основе разрабатывается Единый календарь событий Санкт-Петербурга, доступный на официальном туристском портале города VisitPetersburg, a также реализуется ряд событийных мероприятий, которые имеют значимый имиджевый статус для Санкт-Петербурга как центра событийного туризма. В 2018 году были проведены мероприятия разнообразной тематики. Одними из наиболее масштабных являются Фестиваль цветов (посетили более 410 тыс. человек) и Фестиваль света (980 тыс. человек).</w:t>
      </w:r>
    </w:p>
    <w:p w14:paraId="71EEC0F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Уровень конкуренции на рынке услуг в сфере туризма и гостиничного сервиса оценивается представителями бизнеса как высокий (3,76 балла по 5-бальной шкале).</w:t>
      </w:r>
    </w:p>
    <w:p w14:paraId="6F6CA6F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64EC553" w14:textId="77777777"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u w:val="single"/>
        </w:rPr>
      </w:pPr>
      <w:r w:rsidRPr="005D4A43">
        <w:rPr>
          <w:rFonts w:ascii="Times New Roman" w:hAnsi="Times New Roman" w:cs="Times New Roman"/>
          <w:b/>
          <w:sz w:val="28"/>
          <w:szCs w:val="28"/>
          <w:u w:val="single"/>
        </w:rPr>
        <w:t>СИСТЕМНЫЕ МЕРОПРИЯТИЯ</w:t>
      </w:r>
    </w:p>
    <w:p w14:paraId="06F4C86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77B93404" w14:textId="77777777"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 Финансовая поддержка</w:t>
      </w:r>
    </w:p>
    <w:p w14:paraId="170D6F6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Орловская область</w:t>
      </w:r>
    </w:p>
    <w:p w14:paraId="79784059"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апреля 2018 года установлена льгота в отношении движимого имущества организаций, зарегистрированных на территории Орловской области, что позволило избежать повышения налоговой нагрузки на региональные организации, что положительно сказалось на конкурентоспособности выпускаемых ими товаров, работ и услуг.</w:t>
      </w:r>
    </w:p>
    <w:p w14:paraId="1549866D" w14:textId="1439B24D"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оценкам бизнеса уровень конкуренции в</w:t>
      </w:r>
      <w:r w:rsidR="009519ED">
        <w:rPr>
          <w:rFonts w:ascii="Times New Roman" w:hAnsi="Times New Roman" w:cs="Times New Roman"/>
          <w:sz w:val="28"/>
          <w:szCs w:val="28"/>
        </w:rPr>
        <w:t xml:space="preserve"> регионе достаточно высокий: 72</w:t>
      </w:r>
      <w:r w:rsidRPr="005D4A43">
        <w:rPr>
          <w:rFonts w:ascii="Times New Roman" w:hAnsi="Times New Roman" w:cs="Times New Roman"/>
          <w:sz w:val="28"/>
          <w:szCs w:val="28"/>
        </w:rPr>
        <w:t>% опрошенных указали на высокую или очень высокую ко</w:t>
      </w:r>
      <w:r w:rsidR="009519ED">
        <w:rPr>
          <w:rFonts w:ascii="Times New Roman" w:hAnsi="Times New Roman" w:cs="Times New Roman"/>
          <w:sz w:val="28"/>
          <w:szCs w:val="28"/>
        </w:rPr>
        <w:t>нкуренцию, 23</w:t>
      </w:r>
      <w:r w:rsidRPr="005D4A43">
        <w:rPr>
          <w:rFonts w:ascii="Times New Roman" w:hAnsi="Times New Roman" w:cs="Times New Roman"/>
          <w:sz w:val="28"/>
          <w:szCs w:val="28"/>
        </w:rPr>
        <w:t>% отмечают средний уровень конкуренции</w:t>
      </w:r>
      <w:r w:rsidR="009519ED">
        <w:rPr>
          <w:rFonts w:ascii="Times New Roman" w:hAnsi="Times New Roman" w:cs="Times New Roman"/>
          <w:sz w:val="28"/>
          <w:szCs w:val="28"/>
        </w:rPr>
        <w:t>.</w:t>
      </w:r>
    </w:p>
    <w:p w14:paraId="40B6D33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Республика Удмуртия</w:t>
      </w:r>
    </w:p>
    <w:p w14:paraId="40D2F4F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Реализуется региональная подпрограмма по развитию малого и среднего предпринимательства, согласно которой субъектам МСП предоставляются меры финансовой и нефинансовой государственной поддержки:</w:t>
      </w:r>
    </w:p>
    <w:p w14:paraId="780BD8A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возвратная финансовая поддержка в виде льготных микрозаймов в городах Сарапул, Глазов и Воткинск; </w:t>
      </w:r>
    </w:p>
    <w:p w14:paraId="7984733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предоставление кредитных гарантий (Гарантийный фонд содействия кредитованию малого и среднего предпринимательства Удмуртской Республики); </w:t>
      </w:r>
    </w:p>
    <w:p w14:paraId="6944BCF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имущественная поддержка (Республиканский бизнес-инкубатор и Глазовский бизнес-инкубатор); </w:t>
      </w:r>
    </w:p>
    <w:p w14:paraId="0D11AA7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информационно-консультационная и образовательная поддержка (Центр поддержки предпринимательства, Центр поддержки экспорта УР, Региональный 174 центр инжиниринга УР, Центр кластерного развития УР, АУ УР «Республиканский бизнес-инкубатор»). </w:t>
      </w:r>
    </w:p>
    <w:p w14:paraId="79C6730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конце 2018 года создано АНО «Центр развития бизнеса Удмуртской Республики», объединившее организации инфраструктуры, оказывающие консультационную и образовательную поддержку субъектов МСП. </w:t>
      </w:r>
    </w:p>
    <w:p w14:paraId="4D3873F1"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региона работает АО «Корпорация развития Удмуртской Республики» – единый орган управления и содействия в организации и реализации инвестиционных проектов, направленных на повышение социально-экономического развития региона, в том числе инфраструктурных проектов и проектов государственно-частного партнёрства. В настоящее время АО «Корпорация развития Удмуртской Республики» реализует 2 основных направления: </w:t>
      </w:r>
    </w:p>
    <w:p w14:paraId="09C4C3A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«Сделано в Удмуртии» – поддержка и продвижение предпринимателей региона. «Сделано в Удмуртии» станет зарегистрированным товарным знаком. Будет разработан ряд мер господдержки предпринимателей, выпускающих продукцию под этим брендом; </w:t>
      </w:r>
    </w:p>
    <w:p w14:paraId="5C920AF2"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«Инвестируй в Удмуртию» – система «одного окна» для привлечения и сопровождения инвесторов, которая будет способствовать предоставлению высококачественного сервиса по принципу «одного окна» для инвесторов проектов по получению оперативных консультаций по вопросам инвестиционной деятельности, мер государственной поддержки, в том числе предоставляемых налоговых льгот. </w:t>
      </w:r>
    </w:p>
    <w:p w14:paraId="69BAD1B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на территории Удмуртской Республики действуют налоговые льготы и пониженные ставки для субъектов МСП: </w:t>
      </w:r>
    </w:p>
    <w:p w14:paraId="3F0D01B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до 1 января 2021 года действуют «налоговые каникулы» для начинающих предпринимателей, осуществляющих деятельность в производственной, социальной и научной сферах, применяющих упрощенную и патентную системы налогообложения (УСН, ПСН); </w:t>
      </w:r>
    </w:p>
    <w:p w14:paraId="7108DE2A" w14:textId="782AFEFB"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для субъектов МСП, использующих в качестве объекта налогообложения доходы, уменьшенные на величину расходов, при применении УСН («доход-расход»), установлен</w:t>
      </w:r>
      <w:r w:rsidR="00D01C64">
        <w:rPr>
          <w:rFonts w:ascii="Times New Roman" w:hAnsi="Times New Roman" w:cs="Times New Roman"/>
          <w:sz w:val="28"/>
          <w:szCs w:val="28"/>
        </w:rPr>
        <w:t>ы пониженные налоговые ставки 5% и 10</w:t>
      </w:r>
      <w:r w:rsidRPr="005D4A43">
        <w:rPr>
          <w:rFonts w:ascii="Times New Roman" w:hAnsi="Times New Roman" w:cs="Times New Roman"/>
          <w:sz w:val="28"/>
          <w:szCs w:val="28"/>
        </w:rPr>
        <w:t xml:space="preserve">% для приоритетных видов деятельности в отраслях </w:t>
      </w:r>
      <w:r w:rsidR="00D01C64">
        <w:rPr>
          <w:rFonts w:ascii="Times New Roman" w:hAnsi="Times New Roman" w:cs="Times New Roman"/>
          <w:sz w:val="28"/>
          <w:szCs w:val="28"/>
        </w:rPr>
        <w:t xml:space="preserve">– </w:t>
      </w:r>
      <w:r w:rsidRPr="005D4A43">
        <w:rPr>
          <w:rFonts w:ascii="Times New Roman" w:hAnsi="Times New Roman" w:cs="Times New Roman"/>
          <w:sz w:val="28"/>
          <w:szCs w:val="28"/>
        </w:rPr>
        <w:t xml:space="preserve">сельское хозяйство, обрабатывающее производство, строительство, информационные технологии и наука, в социально-культурной сфере. Для резидентов бизнес-инкубаторов и индустриальных промышленных парков также действует пониженная ставка 5%; </w:t>
      </w:r>
    </w:p>
    <w:p w14:paraId="7C3FF30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 городе Ижевске действует льготная ставка по ЕНВД (Единый налог на вмененный доход) – 7,5% вместо возможных 15%. </w:t>
      </w:r>
    </w:p>
    <w:p w14:paraId="3C5B6AD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реализации совместных программ с федеральными институтами развития, такими как АО «Корпорация МСП», АО «МСП Банк», АО «РЭЦ» внедрены МФЦ для бизнеса и ЦОУ на базе банков. В региональных отделениях банков открыто 10 окон предоставления услуг для бизнеса, где предприниматели могут получить 59 различных видов услуг; внедрение портала - Бизнес-навигатор МСП.</w:t>
      </w:r>
    </w:p>
    <w:p w14:paraId="1A1DF04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Примечательно, что согласно данным мониторинга удовлетворенности и оценки конкурентной среды, около 90% респондентов являются представителями малого бизнеса: микро- и малые предприятия с численностью сотрудников до 100 человек – 90,4% (87,0%) и величиной годового объема до 800 млн.руб. – 76,0% (73,2%). В целом состояние конкуренции в Республике в 2018 году оценено как умеренное – 33,5%.</w:t>
      </w:r>
    </w:p>
    <w:p w14:paraId="0998970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Белгородская область</w:t>
      </w:r>
    </w:p>
    <w:p w14:paraId="3DE6FEAC" w14:textId="1767D20F" w:rsidR="005D4A43" w:rsidRPr="005D4A43" w:rsidRDefault="00D01C64"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Реализуется Программа «500/10 </w:t>
      </w:r>
      <w:r w:rsidR="005D4A43" w:rsidRPr="005D4A43">
        <w:rPr>
          <w:rFonts w:ascii="Times New Roman" w:hAnsi="Times New Roman" w:cs="Times New Roman"/>
          <w:sz w:val="28"/>
          <w:szCs w:val="28"/>
        </w:rPr>
        <w:t xml:space="preserve">000», которая предусматривает создание в сельских территориях не менее 500 малых предприятий с ориентировочной численностью занятых 10 000 человек в производственной сфере и сфере услуг. Принято постановление Правительства Белгородской области от 28 декабря 2017 года № 499-пп «О финансовой поддержке субъектов малого и среднего предпринимательства Белгородской области в рамках мероприятия «Программа 500/10 000». </w:t>
      </w:r>
    </w:p>
    <w:p w14:paraId="61C4F47C" w14:textId="04F24AA4"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период реализации Программы в 2018-2020 годах предусмотрено 100 млн</w:t>
      </w:r>
      <w:r w:rsidR="00D01C64">
        <w:rPr>
          <w:rFonts w:ascii="Times New Roman" w:hAnsi="Times New Roman" w:cs="Times New Roman"/>
          <w:sz w:val="28"/>
          <w:szCs w:val="28"/>
        </w:rPr>
        <w:t>.</w:t>
      </w:r>
      <w:r w:rsidRPr="005D4A43">
        <w:rPr>
          <w:rFonts w:ascii="Times New Roman" w:hAnsi="Times New Roman" w:cs="Times New Roman"/>
          <w:sz w:val="28"/>
          <w:szCs w:val="28"/>
        </w:rPr>
        <w:t xml:space="preserve"> рублей из средств областного бюджета. Финансовая поддержка субъектам малого и среднего предпринимательства в рамках указанной Программы оказывается на конкурсной основе в форме предоставления субсидий на возмещение части затрат, связанных с приобретением оборудования в целях создания производства товаров (работ, услуг) в сельской местности</w:t>
      </w:r>
    </w:p>
    <w:p w14:paraId="5BE41761" w14:textId="403929D9"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состоянию на </w:t>
      </w:r>
      <w:r w:rsidR="00D01C64">
        <w:rPr>
          <w:rFonts w:ascii="Times New Roman" w:hAnsi="Times New Roman" w:cs="Times New Roman"/>
          <w:sz w:val="28"/>
          <w:szCs w:val="28"/>
        </w:rPr>
        <w:t>0</w:t>
      </w:r>
      <w:r w:rsidR="00B52D8E">
        <w:rPr>
          <w:rFonts w:ascii="Times New Roman" w:hAnsi="Times New Roman" w:cs="Times New Roman"/>
          <w:sz w:val="28"/>
          <w:szCs w:val="28"/>
        </w:rPr>
        <w:t>1.02.2019</w:t>
      </w:r>
      <w:r w:rsidRPr="005D4A43">
        <w:rPr>
          <w:rFonts w:ascii="Times New Roman" w:hAnsi="Times New Roman" w:cs="Times New Roman"/>
          <w:sz w:val="28"/>
          <w:szCs w:val="28"/>
        </w:rPr>
        <w:t xml:space="preserve"> в области сформирован портфель бизнес-проектов сельских территорий, содержащий 476 проектов с созданием более 3,2 тыс. рабочих мест, объем инвестиций в указанные проекты составит около 9,2 млрд</w:t>
      </w:r>
      <w:r w:rsidR="00B52D8E">
        <w:rPr>
          <w:rFonts w:ascii="Times New Roman" w:hAnsi="Times New Roman" w:cs="Times New Roman"/>
          <w:sz w:val="28"/>
          <w:szCs w:val="28"/>
        </w:rPr>
        <w:t>.</w:t>
      </w:r>
      <w:r w:rsidRPr="005D4A43">
        <w:rPr>
          <w:rFonts w:ascii="Times New Roman" w:hAnsi="Times New Roman" w:cs="Times New Roman"/>
          <w:sz w:val="28"/>
          <w:szCs w:val="28"/>
        </w:rPr>
        <w:t xml:space="preserve"> рублей. Проекты в рамках Программы «500/10 000» инициированы как в сферах промышленного производства, так и оказания услуг населению.</w:t>
      </w:r>
    </w:p>
    <w:p w14:paraId="5861D860" w14:textId="6C549F52" w:rsidR="005D4A43" w:rsidRPr="005D4A43" w:rsidRDefault="00B52D8E"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данным мониторинга</w:t>
      </w:r>
      <w:r w:rsidR="005D4A43" w:rsidRPr="005D4A43">
        <w:rPr>
          <w:rFonts w:ascii="Times New Roman" w:hAnsi="Times New Roman" w:cs="Times New Roman"/>
          <w:sz w:val="28"/>
          <w:szCs w:val="28"/>
        </w:rPr>
        <w:t xml:space="preserve"> все целевые показатели конкуренции, характеризующие выполнение системных мероприятий, направленных на развитие конкурентной среды в Белгородской области, касающиеся малого и среднего бизнеса достигнуты.</w:t>
      </w:r>
    </w:p>
    <w:p w14:paraId="3CB6C98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Оренбургская область</w:t>
      </w:r>
    </w:p>
    <w:p w14:paraId="4B5EBE3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Создан Центр молодежного инновационного творчества в Ясненском городском округе, который, начиная с его открытия в сентябре 2018 года, посетило и прошло обучение около 800 ребят. </w:t>
      </w:r>
    </w:p>
    <w:p w14:paraId="0CB3892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успешно реализуется проект «Скорая помощь предпринимателю». За время его реализации более 342 предпринимателей из 40 городов и районов региона получили ответы на все неотложные вопросы. Проведено более 500 консультаций по различным вопросам ведения предпринимательской деятельности. </w:t>
      </w:r>
    </w:p>
    <w:p w14:paraId="5EA1D38B" w14:textId="0570F6AB"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Оренбургской области проходит конкурс бизнес-проектов. 50 компаний и индивидуальных предпринимателей борются за звание самого успешного, инновационного и передового бизнес-проекта, а жители региона следят за соперничеством и принимают активное участие в конкурсе с помощью телепрограммы «Бизнес-класс», групп в соц</w:t>
      </w:r>
      <w:r w:rsidR="00B52D8E">
        <w:rPr>
          <w:rFonts w:ascii="Times New Roman" w:hAnsi="Times New Roman" w:cs="Times New Roman"/>
          <w:sz w:val="28"/>
          <w:szCs w:val="28"/>
        </w:rPr>
        <w:t xml:space="preserve">иальных </w:t>
      </w:r>
      <w:r w:rsidRPr="005D4A43">
        <w:rPr>
          <w:rFonts w:ascii="Times New Roman" w:hAnsi="Times New Roman" w:cs="Times New Roman"/>
          <w:sz w:val="28"/>
          <w:szCs w:val="28"/>
        </w:rPr>
        <w:t xml:space="preserve">сетях. Победители конкурса получают 10 миллионов рублей на дальнейшее развитие и масштабирование своего бизнес-проекта. </w:t>
      </w:r>
    </w:p>
    <w:p w14:paraId="013D59A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в области внедряется широкая линейка новых льготных продуктов для предпринимателя. Микрозаймы для бизнеса с основным видом деятельности «Обработка», осуществляющих свою предпринимательскую деятельность в моногородах, экспортирующих продукцию, соцпредприниматели могут воспользоваться ставкой в размере от 6,5%. </w:t>
      </w:r>
    </w:p>
    <w:p w14:paraId="29A64E6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ведется работа по созданию единого Центра развития малого и среднего предпринимательства «Мой бизнес», который объединит на своей площадке все институты развития МСП, акцент будет сделан на создание «Точки кипения» и поддержку экспортной деятельности субъектов МСП и бизнеса в моногородах. </w:t>
      </w:r>
    </w:p>
    <w:p w14:paraId="6C1B090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Оценка состояния конкуренции и конкурентной среды субъектами предпринимательской деятельности Оренбургской области, позволила сделать следующие выводы: 41% субъектов предпринимательской деятельности отмечают наличие умеренной и высокой конкуренции.</w:t>
      </w:r>
    </w:p>
    <w:p w14:paraId="64374D8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8A69B7F" w14:textId="77777777"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 Повышение информированности субъектов предпринимательской деятельности</w:t>
      </w:r>
    </w:p>
    <w:p w14:paraId="6AA8345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51ED12A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Разработана рубрика «Государственная поддержка негосударственных (немуниципальных) организаций, осуществляющих деятельность на социально значимых и приоритетных рынках для содействия развитию конкуренции в Тюменской области» (далее - рубрика).</w:t>
      </w:r>
    </w:p>
    <w:p w14:paraId="0EF2303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Рубрика размещена в подразделе «Содействие развитию конкуренции» раздела «Экономика и финансы» Официального портала органов государственной власти Тюменской области.</w:t>
      </w:r>
    </w:p>
    <w:p w14:paraId="7C31999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Информация, которая размещена в рубрике, направлена на повышение информированности субъектов предпринимательской деятельности о видах и формах государственной поддержки в разрезе рынков. Перечень рынков, представленных в рубрике, соответствует утвержденному перечню социально значимых и приоритетных рынков для содействия развитию конкуренции в Тюменской области.</w:t>
      </w:r>
    </w:p>
    <w:p w14:paraId="15DEBC6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Кроме того, на официальном портале органов государственной власти Тюменской области размещены материалы для субъектов предпринимательской деятельности и потребителей товаров, работ, услуг, разработанные Управлением Федеральной антимонопольной службы по Тюменской области, содержащие всю необходимую информацию о работе антимонопольных органов, административному обжалованию в сфере строительства и пр.</w:t>
      </w:r>
    </w:p>
    <w:p w14:paraId="1CEEA73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разделе «Содействие развитию конкуренции» Официального портала органов государственной власти Тюменской области размещены блок-схемы подключения объектов капитального строительства к водопроводным, канализационным, электрическим, газораспределительным, тепловым сетям (описание процесса технологического присоединения).</w:t>
      </w:r>
    </w:p>
    <w:p w14:paraId="0A92B79D"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Республика Коми </w:t>
      </w:r>
    </w:p>
    <w:p w14:paraId="399ABD74"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базе Центра инноваций социальной сферы Республики Коми (далее – ЦИСС) внедрена практика «Осуществление Центром инноваций социальной сферы информационно-аналитической, консультационной и организационной поддержки субъектам социального предпринимательства». </w:t>
      </w:r>
    </w:p>
    <w:p w14:paraId="0062E68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февраля 2018 года Центр работает на одной площадке с другими организациями инфраструктуры поддержки СМСП - Центра поддержки предпринимательства «Шондi».</w:t>
      </w:r>
    </w:p>
    <w:p w14:paraId="6D33A023" w14:textId="7ECA798D"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2018 году была проведена Акселерационная программа для социальных предпринимателей, для участия в которой было подано 35 заявлений из 7 муниципалитетов. Категории участников разделились следующим образом 51% это действующие предприниматели, которые хотят дополнить свой бизнес новыми социальными направлениями</w:t>
      </w:r>
      <w:r w:rsidR="005348AB">
        <w:rPr>
          <w:rFonts w:ascii="Times New Roman" w:hAnsi="Times New Roman" w:cs="Times New Roman"/>
          <w:sz w:val="28"/>
          <w:szCs w:val="28"/>
        </w:rPr>
        <w:t>,</w:t>
      </w:r>
      <w:r w:rsidRPr="005D4A43">
        <w:rPr>
          <w:rFonts w:ascii="Times New Roman" w:hAnsi="Times New Roman" w:cs="Times New Roman"/>
          <w:sz w:val="28"/>
          <w:szCs w:val="28"/>
        </w:rPr>
        <w:t xml:space="preserve"> и 49% это физические лица, заинтересованные в начале осуществления деятельности в области социального предпринимательства. Обучающие мероприятия проводили как федеральные, так и республиканские эксперты - практики.</w:t>
      </w:r>
    </w:p>
    <w:p w14:paraId="709354A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Программа включала в себя проведение 12 семинаров, все мероприятия программы сопровождались онлайн трансляцией, это позволило слушателям из отдаленных муниципалитетов участвовать в интересных мероприятиях без отрыва от своего бизнеса и затрат на транспорт и проживание. </w:t>
      </w:r>
    </w:p>
    <w:p w14:paraId="5F236F2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развития акселерационных программ для социальных предпринимателей в октябре 2018 года было заключено соглашение о сотрудничестве с ООО «Фонд социальных инвестиций».</w:t>
      </w:r>
    </w:p>
    <w:p w14:paraId="6D6BCE9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BE20D4A" w14:textId="77777777"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Развитие механизмов поддержки технического и научно - технического творчества детей и молодежи, обучения их правовой, технологической грамотности и основам цифровой экономики</w:t>
      </w:r>
    </w:p>
    <w:p w14:paraId="0A24A8D4"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B6D716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70A56D7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базе Сургутского государственного университета открыто первое в России малое инновационное предприятие ООО МИП «Центр развития талантов ребенка» на 380 мест, в котором создано новое образовательное пространство с учетом инновационного подхода в организации образовательного сервиса и реализации задач развития талантов и способностей. Центр получил лицензии на два направления: дошкольное образование и медицинская деятельность и решает задачи интеграции основного и дополнительного образования, профессионального педагогического образования под научным управлением со стороны ученого сообщества БУ ВО Ханты-Мансийского автономного округа – Югры «Сургутский государственный университет».</w:t>
      </w:r>
    </w:p>
    <w:p w14:paraId="156451C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4A2354E" w14:textId="77777777"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4. Обучение</w:t>
      </w:r>
    </w:p>
    <w:p w14:paraId="1DE3CE66"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Краснодарский край</w:t>
      </w:r>
    </w:p>
    <w:p w14:paraId="4771E97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целью совершенствования и получения компетенций, необходимых для профессиональной деятельности, повышения профессионального уровня в рамках имеющейся квалификации, в 2018 году организовано дистанционное обучение представителей хозяйствующих субъектов, государственных и муниципальных органов власти Краснодарского края по вопросам развития конкуренции на товарных рынках, в отраслях (сферах) экономики.</w:t>
      </w:r>
    </w:p>
    <w:p w14:paraId="7816158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Проведено 27 мероприятий, общее число участников - 3 768 человек, в том числе муниципальных служащих - 2 947.</w:t>
      </w:r>
    </w:p>
    <w:p w14:paraId="0243D434"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7F30766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Министерством промышленности, торговли и развития предпринимательства Новосибирской области совместно с «Федерацией рестораторов и отельеров Сибири» с октября 2018 года реализовывался бесплатный проект для бизнесменов в сфере общественного питания Новосибирской области «Школа гастрономического бизнеса».</w:t>
      </w:r>
    </w:p>
    <w:p w14:paraId="013A368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80 участников проекта в течение 2-х месяцев прошли 10 практико-ориентированных модулей (80 часов теории и практики) на различных площадках области. В рамках проекта изучены наиболее актуальные аспекты рынка общественного питания – бизнес-моделирование, покупка франшизы, правовые аспекты и открытие ресторана, менеджмент и сервис.</w:t>
      </w:r>
    </w:p>
    <w:p w14:paraId="314A374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07366F2B" w14:textId="77777777"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5. Создание благоприятных условий ведения инвестиционной и предпринимательской деятельности.</w:t>
      </w:r>
    </w:p>
    <w:p w14:paraId="4E53663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7085979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мая 2018 года предприниматели освобождены от получения разрешения на строительство линейных объектов (линий электропередач классом напряжения до 35 кВ, тепловых сетей, транспортирующих водяной пар с рабочим давлением до 1,6 МПа или горячую воду с температурой до 150 °C, газопроводов с проектным рабочим давлением не более 0,6 МПа, водопроводов и водоводов всех видов диаметром до 500 мм, линейных сооружений водоотведения диаметром до 1000 мм).</w:t>
      </w:r>
    </w:p>
    <w:p w14:paraId="5015A68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декабря 2018 года изменения распространены не только на строительство линейных объектов, но и на их реконструкцию. Снято ограничение, касающееся возможности строительства линейных объектов без получения разрешения в границах земельного участка, например, в пределах квартала. </w:t>
      </w:r>
    </w:p>
    <w:p w14:paraId="69A2F3F1" w14:textId="539AE93E"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Кроме того, в регионе установлен порядок снижения цены выкупа земельных участков, находящихся в собственности Омской области, и земельных участков, государственная собственность на которые не разграничена, для собственни</w:t>
      </w:r>
      <w:r w:rsidR="005348AB">
        <w:rPr>
          <w:rFonts w:ascii="Times New Roman" w:hAnsi="Times New Roman" w:cs="Times New Roman"/>
          <w:sz w:val="28"/>
          <w:szCs w:val="28"/>
        </w:rPr>
        <w:t>ков объектов недвижимости до 10</w:t>
      </w:r>
      <w:r w:rsidRPr="005D4A43">
        <w:rPr>
          <w:rFonts w:ascii="Times New Roman" w:hAnsi="Times New Roman" w:cs="Times New Roman"/>
          <w:sz w:val="28"/>
          <w:szCs w:val="28"/>
        </w:rPr>
        <w:t xml:space="preserve">% кадастровой стоимости (реализация порядка предусмотрена с 2019 года). </w:t>
      </w:r>
    </w:p>
    <w:p w14:paraId="2B754F66"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оказания финансовой поддержки промышленным предприятиям, реализующим инвестиционные проекты на территории Омской области, на базе Фонда микрофинансирования субъектов малого и среднего предпринимательства в 2018 году создан Омский фонд развития промышленности (далее – РФРП).</w:t>
      </w:r>
    </w:p>
    <w:p w14:paraId="4E73D6A4"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Постановлением Правительства Омской области от 25 июня 2018 года № 171-п утвержден Порядок определения объема предоставления субсидий из областного бюджета в виде имущественного взноса в Фонд в целях поддержки субъектов деятельности сфере промышленности. </w:t>
      </w:r>
    </w:p>
    <w:p w14:paraId="4CFE4292" w14:textId="15C1DF59"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Предусмотрена возможность кредитования предприятий в объеме от 20 до 100 млн. рублей н</w:t>
      </w:r>
      <w:r w:rsidR="005348AB">
        <w:rPr>
          <w:rFonts w:ascii="Times New Roman" w:hAnsi="Times New Roman" w:cs="Times New Roman"/>
          <w:sz w:val="28"/>
          <w:szCs w:val="28"/>
        </w:rPr>
        <w:t>а срок до 5 лет по ставке 1 – 5</w:t>
      </w:r>
      <w:r w:rsidRPr="005D4A43">
        <w:rPr>
          <w:rFonts w:ascii="Times New Roman" w:hAnsi="Times New Roman" w:cs="Times New Roman"/>
          <w:sz w:val="28"/>
          <w:szCs w:val="28"/>
        </w:rPr>
        <w:t>% в год.</w:t>
      </w:r>
    </w:p>
    <w:p w14:paraId="514CB19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Объем средств, выделенных из областного бюджета для РФРП, составил 40 млн. рублей.</w:t>
      </w:r>
    </w:p>
    <w:p w14:paraId="0645731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15D7B59" w14:textId="77777777"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6. Снижение надзорной нагрузки на бизнес</w:t>
      </w:r>
    </w:p>
    <w:p w14:paraId="6A51C312"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Московская область </w:t>
      </w:r>
    </w:p>
    <w:p w14:paraId="5DB57D2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Главное управление государственного административно-технического надзора Московской области с 2016 года решает важный вопрос - улучшение состояния чистоты и благоустройства без штрафов, последовательно реализует политику вовлечения предпринимателей в наведение чистоты и порядка с одновременным снижением надзорной нагрузки на предприятия малого и среднего бизнеса. </w:t>
      </w:r>
    </w:p>
    <w:p w14:paraId="168F256D"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Госадмтехнадзором Московской области и Общественным советом при Госадмтехнадзоре Московской области был разработан, апробирован и внедрен в повседневную практику новаторский инструмент профилактики и общественного контроля, суть которого в привлечении представителей муниципальной торгово-промышленной палаты к наблюдению за состоянием объектов предпринимательства. В случае нарушения закона Московской области в сфере чистоты и порядка предпринимателю сообщается о действующих обязательных требованиях и об ответственности за их нарушение.</w:t>
      </w:r>
    </w:p>
    <w:p w14:paraId="0C9B7B6D" w14:textId="77777777" w:rsid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Таким образом, для предпринимателя реализуется возможность экономить на штрафах и направлять эти средства на развитие бизнеса, одновременно формируя комфортную и безопасную городскую среду для жителей Подмосковья.</w:t>
      </w:r>
    </w:p>
    <w:p w14:paraId="546D23C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3DABA3F" w14:textId="77777777"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7. Поддержка социально ориентированных некоммерческих организаций</w:t>
      </w:r>
    </w:p>
    <w:p w14:paraId="3927DED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Ульяновская область </w:t>
      </w:r>
    </w:p>
    <w:p w14:paraId="499C199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Ежегодно в рамках государственной программы «Гражданское общество и государственная национальная политика Ульяновской области» среди СО НКО проводится конкурсный отбор на предоставление субсидий из средств областного бюджета. В 2018 и 2019 годах на конкурс запланировано по 12 млн. руб. В 2018 году установлено 35 победителей конкурса. </w:t>
      </w:r>
    </w:p>
    <w:p w14:paraId="048FC1D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Всего по состоянию на февраль 2019 в области зарегистрировано 1737 некоммерческих организаций (2017 год - 1604 организации), из них около 1500 являются социально ориентированными.</w:t>
      </w:r>
    </w:p>
    <w:p w14:paraId="1A0CA0E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Свердловская область </w:t>
      </w:r>
    </w:p>
    <w:p w14:paraId="7185E6E1"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целях стимулирования развития предпринимательства в социальной сфере в Свердловской области создан Центр инноваций социальной сферы (далее – ЦИСС), оказывающий информационно-аналитическую, консультационную и организационную поддержку субъектам социального предпринимательства.</w:t>
      </w:r>
    </w:p>
    <w:p w14:paraId="38F7369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ЦИСС организована деятельность постояннодействующей школы социального предпринимательства, в которой приняли участие 536 человек, защиту проектов прошли 52 человека.</w:t>
      </w:r>
    </w:p>
    <w:p w14:paraId="7EF5BAE1"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августе 2018 года в рамках деятельности ЦИСС начал работу Уральский Институт наставничества для начинающих предпринимателей, целью которого является сопровождение стартапов в течение первого года деятельности, в первую очередь, для выпускников акселератора ЦИСС. В институте постоянно работают 8 наставников (действующие предприниматели со стажем предпринимательской деятельности более10 лет). Всего через институт наставничества прошли 55 человек. В сентябре проведен первый областной слет социальных предпринимателей в котором приняли участие 240 человек.</w:t>
      </w:r>
    </w:p>
    <w:p w14:paraId="340F5841"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Алтайский край </w:t>
      </w:r>
    </w:p>
    <w:p w14:paraId="4BB97BA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Ключевым элементом инфраструктуры поддержки и развития социального предпринимательства в Алтайском крае является Центр инноваций социальной сферы некоммерческой организации «Алтайский фонд развития малого и среднего предпринимательства» (далее – «ЦИСС»).</w:t>
      </w:r>
    </w:p>
    <w:p w14:paraId="25CA48F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протяжении трёх лет ЦИСС оказывает содействие в дополнительном профессиональном образовании субъектов социального предпринимательства. В 2018 году повысили квалификацию и прошли профессиональную переподготовку представители 19 социальных предприятий по различным направлениям деятельности.</w:t>
      </w:r>
    </w:p>
    <w:p w14:paraId="5C5D9FD1" w14:textId="77777777" w:rsid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2014-2018 гг. услугами Центра воспользовались 705 субъектов предпринимательства края, при поддержке ЦИСС реализовано 70 социально-предпринимательских проектов, социальными предпринимателями дополнительно создано 91 рабочее место. В 2018 году консультационная поддержка оказана 597 получателям. Организовано 36 обучающих и просветительских мероприятий в форме семинаров, мастер-классов, тренингов, деловых игр по актуальным для социальных предпринимателей тематикам. В 2018 году бюджетные субсидии получили 17 субъектов социального предпринимательства, реализующие проекты в моногородах, на общую сумму 3650 тыс. рублей.</w:t>
      </w:r>
    </w:p>
    <w:p w14:paraId="2F9724D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0EC8F357" w14:textId="77777777"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8. Внедрение системы мотивации органов местного самоуправления к эффективной работе по содействию развитию конкуренции</w:t>
      </w:r>
    </w:p>
    <w:p w14:paraId="4E2BFEF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Краснодарский край </w:t>
      </w:r>
    </w:p>
    <w:p w14:paraId="08E1F419"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в дополнение к нематериальному поощрению тройки лучших муниципалитетов (награждение Почетной грамотой главы администрации (губернатора) Краснодарского края и Благодарностью главы администрации (губернатора) Краснодарского края) разработана и внедрена новая система мотивации органов местного самоуправления к эффективной работе по содействию развитию конкуренции путем предоставления из краевого бюджета межбюджетных трансфертов в форме дотаций бюджетам муниципальных образований Краснодарского края, занявших первые 5 мест в рейтинге городских округов и муниципальных районов Краснодарского края по привлечению инвестиций и увеличению налогового потенциала муниципальных образований. </w:t>
      </w:r>
    </w:p>
    <w:p w14:paraId="5F5E21C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39436A39"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оценке качества муниципальных «дорожных карт» для расчета рейтинга муниципальных образований 17 муниципальных районов и городских округов Тюменской области получили максимально возможный балл (в 2017 году таких муниципальных образований было лишь 2). У 22 муниципальных образований определены дополнительные рынки для развития конкуренции с учетом территориальной специфики, что нашло отражение в мероприятиях муниципальных «дорожных карт» (в 2017 году дополнительные рынки были у 17 муниципальных образований).</w:t>
      </w:r>
    </w:p>
    <w:p w14:paraId="6A4EE1C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Обновленный порядок оценки муниципальных образований разработан совместно с УФАС России по Тюменской области и включает дополнительные показатели оценки деятельности органов местного самоуправления по содействию развитию конкуренции, а также поощрение лидеров рейтинга Почетной грамотой Губернатора Тюменской области.</w:t>
      </w:r>
    </w:p>
    <w:p w14:paraId="6F3762C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Влияние описанных мероприятий на состояние конкуренции в регионе целесообразно оценить по итогам 2019 года.</w:t>
      </w:r>
    </w:p>
    <w:p w14:paraId="3AD673C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0250F6F" w14:textId="77777777"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Лучшие муниципальные практики по содействию развитию конкуренции и внедрению Стандарта</w:t>
      </w:r>
    </w:p>
    <w:p w14:paraId="38CDE340" w14:textId="77777777"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p>
    <w:p w14:paraId="4D93E47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 xml:space="preserve">1. </w:t>
      </w:r>
      <w:r w:rsidRPr="005D4A43">
        <w:rPr>
          <w:rFonts w:ascii="Times New Roman" w:hAnsi="Times New Roman" w:cs="Times New Roman"/>
          <w:b/>
          <w:i/>
          <w:sz w:val="28"/>
          <w:szCs w:val="28"/>
        </w:rPr>
        <w:t>Республика Башкортостан</w:t>
      </w:r>
      <w:r w:rsidRPr="005D4A43">
        <w:rPr>
          <w:rFonts w:ascii="Times New Roman" w:hAnsi="Times New Roman" w:cs="Times New Roman"/>
          <w:b/>
          <w:sz w:val="28"/>
          <w:szCs w:val="28"/>
        </w:rPr>
        <w:t xml:space="preserve"> </w:t>
      </w:r>
    </w:p>
    <w:p w14:paraId="3DB1923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Решением Совета городского поселения город Мелеуз муниципального района Мелеузовский район Республики Башкортостан от 24 сентября 2018 года № 110 установлена пониженная ставка земельного налога в размере 0,1% для предприятий, реализующих приоритетные инвестиционные проекты Республики Башкортостан, включенных в утверждаемые Правительством Республики Башкортостан комплексные программы экономического и социального развития муниципальных образований Республики Башкортостан на участках, свободных от построек на территории городского поселения город Мелеуз муниципального района Мелеузовский район Республики Башкортостан, в течение трех лет с момента начала осуществления вложений в основные средства.</w:t>
      </w:r>
    </w:p>
    <w:p w14:paraId="6043E72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i/>
          <w:sz w:val="28"/>
          <w:szCs w:val="28"/>
        </w:rPr>
        <w:t>. Московская область</w:t>
      </w:r>
    </w:p>
    <w:p w14:paraId="2808B251"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городском округе Клин Московской области реализуется Муниципальная программа «Предпринимательство городского округа Клин» на 2017-2021 годы.</w:t>
      </w:r>
    </w:p>
    <w:p w14:paraId="70ADA8C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Туристско-информационный центр «Руза заповедная» (Московская область) занял второе место по итогам премии Russian Event Awards 2017, в категории «Муниципальный туристско-информационный центр».</w:t>
      </w:r>
    </w:p>
    <w:p w14:paraId="51302AC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октябре 2018 года Рузский городской округ включен в туристический кластер, как территория с высоким туристическим потенциалом.</w:t>
      </w:r>
    </w:p>
    <w:p w14:paraId="3FE65B3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городской округ посетили более 60 тысяч человек, городские музеи посетили свыше 57 тысяч человек.</w:t>
      </w:r>
    </w:p>
    <w:p w14:paraId="0346A3B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городе Химки Московской области действует «Центр молодежного инновационного творчества «#БиномНьютона», предметом деятельности которого является работа с молодежью различных возрастных категорий (от дошкольников до молодых ученых и предпринимателей) с целью формирования и укрепления у них интереса к научно-техническому творчеству, созиданию, решению нестандартных задач и поиску нетривиальных решений. </w:t>
      </w:r>
    </w:p>
    <w:p w14:paraId="4803E06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долгосрочной перспективе центр планирует решение проблемы дефицита научно-технических кадров на наукоемких предприятиях города Химки, а также увеличение количества создаваемых инновационных проектов и стартапов на территории города Химки.</w:t>
      </w:r>
    </w:p>
    <w:p w14:paraId="57C3997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начал функционировать в полном объеме электронный цифровой муниципальный реестр объектов потребительского рынка и услуг, расположенных на территории Одинцовского муниципального района Московской области, для предоставления открытого доступа к полной информации об объектах потребительского рынка в on-line режиме.</w:t>
      </w:r>
    </w:p>
    <w:p w14:paraId="05E466B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Электронный цифровой муниципальный реестр объектов потребительского рынка и услуг, расположенных на территории Одинцовского муниципального района является уникальной интерактивной картой и размещен в сети Интернет на официальном сайте Администрации Одинцовского муниципального района www.odin.ru.</w:t>
      </w:r>
    </w:p>
    <w:p w14:paraId="2645628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EE2C6E3" w14:textId="77777777"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Цифровизация в сфере содействия развитию конкуренции в субъектах Российской Федерации</w:t>
      </w:r>
    </w:p>
    <w:p w14:paraId="6CF4E27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09A177B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Стратегии развития информационного общества в Российской Федерации на 2017-2030 годы, утвержденной Указом Президента Российской Федерации от 9 мая 2017 г. № 203, обеспечение национальных интересов при развитии информационного общества осуществляется, в том числе путем формирования новой технологической основы для развития экономики и социальной сферы.</w:t>
      </w:r>
    </w:p>
    <w:p w14:paraId="127AFBE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1. Государственные и муниципальные закупки </w:t>
      </w:r>
    </w:p>
    <w:p w14:paraId="131EA4E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Внедрение в субъектах Российской Федерации электронных платформ для осуществления закупок государственными (муниципальными) заказчиками способствует решению следующих задач:</w:t>
      </w:r>
    </w:p>
    <w:p w14:paraId="19A85562"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автоматизации деятельности заказчиков региона при осуществлении закупок товаров, работ и услуг для государственных (муниципальных) нужд; </w:t>
      </w:r>
    </w:p>
    <w:p w14:paraId="69E05DED"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привлечению субъектов МСП к участию закупках; </w:t>
      </w:r>
    </w:p>
    <w:p w14:paraId="5F803852"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уровня конкуренции при осуществлении закупок малого объема, в том числе, за счет расширения географии участников;</w:t>
      </w:r>
    </w:p>
    <w:p w14:paraId="54FD78D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эффективности расходования бюджетных средств;</w:t>
      </w:r>
    </w:p>
    <w:p w14:paraId="1B1245F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прозрачности и открытости закупок;</w:t>
      </w:r>
    </w:p>
    <w:p w14:paraId="27122D5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улучшению конкурентной среды;</w:t>
      </w:r>
    </w:p>
    <w:p w14:paraId="7F61D63D"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использованию технологии юридически значимого электронного документооборота при заключении сделок (повышение оперативности обмена информацией, единое информационное пространство для всех участников сделки); </w:t>
      </w:r>
    </w:p>
    <w:p w14:paraId="6764E37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обеспечению возможности объективной оценки существующего рынка предложений и анализа сведений о выполнении обязательств поставщиками со стороны государственных заказчиков; </w:t>
      </w:r>
    </w:p>
    <w:p w14:paraId="2477F9A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пресечению и предупреждению злоупотреблений при осуществлении закупок малого объема, как со стороны заказчиков, так и со стороны поставщиков; </w:t>
      </w:r>
    </w:p>
    <w:p w14:paraId="29B1E4F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контроль годового объема малых закупок, который не должен превышать 2 миллиона рублей или 5% совокупного годового объема закупок заказчика;</w:t>
      </w:r>
    </w:p>
    <w:p w14:paraId="28AAD63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снижение коррупционных рисков.</w:t>
      </w:r>
    </w:p>
    <w:p w14:paraId="3CE9C691"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Докладе о состоянии конкуренции в Российской Федерации за 2017 год отмечались практики в сфере цифровизации закупок таких субъектов Российской Федерации как Республика Татарстан, Московская область и г. Москва, опыт которых учитывают в своей работе другие субъекты Российской Федерации  (https://fas.gov.ru/documents/658027).</w:t>
      </w:r>
    </w:p>
    <w:p w14:paraId="6F736B6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u w:val="single"/>
        </w:rPr>
      </w:pPr>
      <w:r w:rsidRPr="005D4A43">
        <w:rPr>
          <w:rFonts w:ascii="Times New Roman" w:hAnsi="Times New Roman" w:cs="Times New Roman"/>
          <w:b/>
          <w:sz w:val="28"/>
          <w:szCs w:val="28"/>
          <w:u w:val="single"/>
        </w:rPr>
        <w:t>1.1. Закупки малого объема</w:t>
      </w:r>
    </w:p>
    <w:p w14:paraId="39ED7B75" w14:textId="1630C292"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итогам 2018 года ряд субъектов Российской Федерации считают одними из лучших своих практик создание электронных платформ в целях осуществления закупок малого объема - до 100 тысяч рублей и 400 тысяч рублей соответственно в зависимости от цели закупок согласно пунктам 4 и 5 части 1 статьи 93 </w:t>
      </w:r>
      <w:r w:rsidR="00052B61">
        <w:rPr>
          <w:rFonts w:ascii="Times New Roman" w:hAnsi="Times New Roman" w:cs="Times New Roman"/>
          <w:sz w:val="28"/>
          <w:szCs w:val="28"/>
        </w:rPr>
        <w:t>Закона 44-ФЗ</w:t>
      </w:r>
      <w:r w:rsidRPr="005D4A43">
        <w:rPr>
          <w:rFonts w:ascii="Times New Roman" w:hAnsi="Times New Roman" w:cs="Times New Roman"/>
          <w:sz w:val="28"/>
          <w:szCs w:val="28"/>
        </w:rPr>
        <w:t xml:space="preserve">.  </w:t>
      </w:r>
    </w:p>
    <w:p w14:paraId="66A6145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Кемеровская область</w:t>
      </w:r>
    </w:p>
    <w:p w14:paraId="0C672979"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соответствии с распоряжением коллегии администрации Кемеровской области от 29 августа 2018 г. № 375-р «О некоторых вопросах по обеспечению эффективности осуществления закупок для нужд Кемеровской области» с 01.09.2018 регистрация государственных заказчиков Кемеровской области осуществляется на специализированной электронной платформе.</w:t>
      </w:r>
    </w:p>
    <w:p w14:paraId="6CAEAE9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За период с 01.09.2018 по 20.12.2018 заключено 578 контрактов на общую сумму 33,5 млн. рублей. Обеспечение прозрачности закупок малого объема. Экономия бюджетных средств составила 1,5 млн. рублей. Расширение круга участников - приняло участие 348 поставщиков. </w:t>
      </w:r>
    </w:p>
    <w:p w14:paraId="046CDA6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Награждение Кемеровской области дипломом Премии Рунета в номинации «Онлайн-закупки: бизнес, государство, регионы».</w:t>
      </w:r>
    </w:p>
    <w:p w14:paraId="5F04864D"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4BA117BB" w14:textId="24C59014" w:rsidR="005D4A43" w:rsidRPr="005D4A43" w:rsidRDefault="005D4A43" w:rsidP="00052B61">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b/>
          <w:i/>
          <w:sz w:val="28"/>
          <w:szCs w:val="28"/>
        </w:rPr>
        <w:t xml:space="preserve">Интерактивная карта закупок Новосибирской области </w:t>
      </w:r>
      <w:r w:rsidRPr="005D4A43">
        <w:rPr>
          <w:rFonts w:ascii="Times New Roman" w:hAnsi="Times New Roman" w:cs="Times New Roman"/>
          <w:sz w:val="28"/>
          <w:szCs w:val="28"/>
        </w:rPr>
        <w:t>(</w:t>
      </w:r>
      <w:r w:rsidR="00052B61" w:rsidRPr="00052B61">
        <w:rPr>
          <w:rFonts w:ascii="Times New Roman" w:hAnsi="Times New Roman" w:cs="Times New Roman"/>
          <w:sz w:val="28"/>
          <w:szCs w:val="28"/>
        </w:rPr>
        <w:t>https://zakupki.nso.ru/interaktivnaya-karta-zakupok-novosibirskoj-oblasti/</w:t>
      </w:r>
      <w:r w:rsidR="00052B61">
        <w:rPr>
          <w:rFonts w:ascii="Times New Roman" w:hAnsi="Times New Roman" w:cs="Times New Roman"/>
          <w:sz w:val="28"/>
          <w:szCs w:val="28"/>
        </w:rPr>
        <w:t xml:space="preserve">) </w:t>
      </w:r>
      <w:r w:rsidRPr="005D4A43">
        <w:rPr>
          <w:rFonts w:ascii="Times New Roman" w:hAnsi="Times New Roman" w:cs="Times New Roman"/>
          <w:sz w:val="28"/>
          <w:szCs w:val="28"/>
        </w:rPr>
        <w:t xml:space="preserve">функционирует на базе данных единой информационной системы в сфере закупок (ЕИС) и представляет собой наглядную аналитическую карту Новосибирской области с отображением конкурентных закупок заказчиков, осуществляемых в рамках </w:t>
      </w:r>
      <w:r w:rsidR="00052B61">
        <w:rPr>
          <w:rFonts w:ascii="Times New Roman" w:hAnsi="Times New Roman" w:cs="Times New Roman"/>
          <w:sz w:val="28"/>
          <w:szCs w:val="28"/>
        </w:rPr>
        <w:t>Закона 44-ФЗ</w:t>
      </w:r>
      <w:r w:rsidRPr="005D4A43">
        <w:rPr>
          <w:rFonts w:ascii="Times New Roman" w:hAnsi="Times New Roman" w:cs="Times New Roman"/>
          <w:sz w:val="28"/>
          <w:szCs w:val="28"/>
        </w:rPr>
        <w:t>.</w:t>
      </w:r>
    </w:p>
    <w:p w14:paraId="7E184004" w14:textId="4A350A9C"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Возможность формирования на интерактивной карте закупок наглядных аналитических отчетов в разрезе заказчиков и способов осуществления закупок, отраслей хозяйства, а также предметов закупок (продуктов питания, лекарственных средств, горюче-смазочных материалов, строительных материалов, информационных технологий и другое) способствует повышению открытости и прозрачности закупок в Новосибирской области, также позволяет оценить спрос на ту или иную продукцию (работу, услугу) в рамках каждого конкретного муниципального образования Новосибирской области, что упрощает потенциальным поставщикам (подрядчикам, исполнителям) производить оценку приоритетности закупки исходя из логистических возможностей</w:t>
      </w:r>
      <w:r w:rsidR="00052B61">
        <w:rPr>
          <w:rFonts w:ascii="Times New Roman" w:hAnsi="Times New Roman" w:cs="Times New Roman"/>
          <w:sz w:val="28"/>
          <w:szCs w:val="28"/>
        </w:rPr>
        <w:t>.</w:t>
      </w:r>
    </w:p>
    <w:p w14:paraId="035CC68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Электронный магазин Новосибирской области («портал малых закупок»)</w:t>
      </w:r>
    </w:p>
    <w:p w14:paraId="1939D4AF" w14:textId="099BD9D4"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11 месяцев 2018 года экономия бюджетных средств по «малым закупкам» в электронной форме (при использовании сервиса электронного магазина) в Ново</w:t>
      </w:r>
      <w:r w:rsidR="00732814">
        <w:rPr>
          <w:rFonts w:ascii="Times New Roman" w:hAnsi="Times New Roman" w:cs="Times New Roman"/>
          <w:sz w:val="28"/>
          <w:szCs w:val="28"/>
        </w:rPr>
        <w:t>сибирской области составила 5,2</w:t>
      </w:r>
      <w:r w:rsidRPr="005D4A43">
        <w:rPr>
          <w:rFonts w:ascii="Times New Roman" w:hAnsi="Times New Roman" w:cs="Times New Roman"/>
          <w:sz w:val="28"/>
          <w:szCs w:val="28"/>
        </w:rPr>
        <w:t>%, что в денежном выражении представляет собой сумму в 3</w:t>
      </w:r>
      <w:r w:rsidR="00732814">
        <w:rPr>
          <w:rFonts w:ascii="Times New Roman" w:hAnsi="Times New Roman" w:cs="Times New Roman"/>
          <w:sz w:val="28"/>
          <w:szCs w:val="28"/>
        </w:rPr>
        <w:t>917,47 тыс. рублей (в том числе</w:t>
      </w:r>
      <w:r w:rsidRPr="005D4A43">
        <w:rPr>
          <w:rFonts w:ascii="Times New Roman" w:hAnsi="Times New Roman" w:cs="Times New Roman"/>
          <w:sz w:val="28"/>
          <w:szCs w:val="28"/>
        </w:rPr>
        <w:t xml:space="preserve"> по областным исполнительным органам государственной власти Новосибирской области – 1444,3 тыс. рублей, по органам местного самоуправления Новосибирской области – 2473,17 тыс. рублей).</w:t>
      </w:r>
    </w:p>
    <w:p w14:paraId="6D7CD82C" w14:textId="77777777" w:rsidR="005D4A43" w:rsidRPr="005D4A43" w:rsidRDefault="005D4A43" w:rsidP="005D4A43">
      <w:pPr>
        <w:pBdr>
          <w:bottom w:val="single" w:sz="4" w:space="29" w:color="FFFFFF"/>
        </w:pBdr>
        <w:tabs>
          <w:tab w:val="left" w:pos="5954"/>
        </w:tabs>
        <w:spacing w:after="0" w:line="240" w:lineRule="auto"/>
        <w:contextualSpacing/>
        <w:jc w:val="both"/>
        <w:rPr>
          <w:rFonts w:ascii="Times New Roman" w:hAnsi="Times New Roman" w:cs="Times New Roman"/>
          <w:b/>
          <w:sz w:val="28"/>
          <w:szCs w:val="28"/>
        </w:rPr>
      </w:pPr>
    </w:p>
    <w:p w14:paraId="697E11C2"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247C3065" w14:textId="7F0D88BA"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первом квартале 2018 года на территории Омской области обеспечено внедрение сервиса </w:t>
      </w:r>
      <w:r w:rsidR="00732814">
        <w:rPr>
          <w:rFonts w:ascii="Times New Roman" w:hAnsi="Times New Roman" w:cs="Times New Roman"/>
          <w:sz w:val="28"/>
          <w:szCs w:val="28"/>
        </w:rPr>
        <w:t>«</w:t>
      </w:r>
      <w:r w:rsidRPr="005D4A43">
        <w:rPr>
          <w:rFonts w:ascii="Times New Roman" w:hAnsi="Times New Roman" w:cs="Times New Roman"/>
          <w:sz w:val="28"/>
          <w:szCs w:val="28"/>
        </w:rPr>
        <w:t>Электронный магазин Омской области</w:t>
      </w:r>
      <w:r w:rsidR="00732814">
        <w:rPr>
          <w:rFonts w:ascii="Times New Roman" w:hAnsi="Times New Roman" w:cs="Times New Roman"/>
          <w:sz w:val="28"/>
          <w:szCs w:val="28"/>
        </w:rPr>
        <w:t>».</w:t>
      </w:r>
      <w:r w:rsidRPr="005D4A43">
        <w:rPr>
          <w:rFonts w:ascii="Times New Roman" w:hAnsi="Times New Roman" w:cs="Times New Roman"/>
          <w:sz w:val="28"/>
          <w:szCs w:val="28"/>
        </w:rPr>
        <w:t xml:space="preserve"> Сервис интегрирован с государственной информационной системой Омской области в сфере закупок. </w:t>
      </w:r>
    </w:p>
    <w:p w14:paraId="4B596244" w14:textId="28E54A30"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1 апреля по 31 декабря 2018 года государственными заказчиками Омской области с использованием </w:t>
      </w:r>
      <w:r w:rsidR="00732814">
        <w:rPr>
          <w:rFonts w:ascii="Times New Roman" w:hAnsi="Times New Roman" w:cs="Times New Roman"/>
          <w:sz w:val="28"/>
          <w:szCs w:val="28"/>
        </w:rPr>
        <w:t>«</w:t>
      </w:r>
      <w:r w:rsidRPr="005D4A43">
        <w:rPr>
          <w:rFonts w:ascii="Times New Roman" w:hAnsi="Times New Roman" w:cs="Times New Roman"/>
          <w:sz w:val="28"/>
          <w:szCs w:val="28"/>
        </w:rPr>
        <w:t>Электронного магазина</w:t>
      </w:r>
      <w:r w:rsidR="00732814">
        <w:rPr>
          <w:rFonts w:ascii="Times New Roman" w:hAnsi="Times New Roman" w:cs="Times New Roman"/>
          <w:sz w:val="28"/>
          <w:szCs w:val="28"/>
        </w:rPr>
        <w:t>»</w:t>
      </w:r>
      <w:r w:rsidRPr="005D4A43">
        <w:rPr>
          <w:rFonts w:ascii="Times New Roman" w:hAnsi="Times New Roman" w:cs="Times New Roman"/>
          <w:sz w:val="28"/>
          <w:szCs w:val="28"/>
        </w:rPr>
        <w:t xml:space="preserve"> размещено 623 извещения, по которым заключено 445 договоров на сумму 13 989,1 тыс. рублей, п</w:t>
      </w:r>
      <w:r w:rsidR="00732814">
        <w:rPr>
          <w:rFonts w:ascii="Times New Roman" w:hAnsi="Times New Roman" w:cs="Times New Roman"/>
          <w:sz w:val="28"/>
          <w:szCs w:val="28"/>
        </w:rPr>
        <w:t>роцент снижения цены составил 4</w:t>
      </w:r>
      <w:r w:rsidRPr="005D4A43">
        <w:rPr>
          <w:rFonts w:ascii="Times New Roman" w:hAnsi="Times New Roman" w:cs="Times New Roman"/>
          <w:sz w:val="28"/>
          <w:szCs w:val="28"/>
        </w:rPr>
        <w:t>% (сэкономлено 577,5 тыс. рублей).</w:t>
      </w:r>
    </w:p>
    <w:p w14:paraId="3F1BA0C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Смоленская область </w:t>
      </w:r>
    </w:p>
    <w:p w14:paraId="21F480A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декабре 2017 года на базе региональной автоматизированной информационной системы управления закупками Смоленской области был создан модуль «Малые закупки» (далее – модуль). </w:t>
      </w:r>
    </w:p>
    <w:p w14:paraId="3BF7AE7A" w14:textId="0293E686"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результате внедрения модуля в 2018 году прошло свыше 9 тыс. закупок на сумму свыше 323 млн. руб</w:t>
      </w:r>
      <w:r w:rsidR="00732814">
        <w:rPr>
          <w:rFonts w:ascii="Times New Roman" w:hAnsi="Times New Roman" w:cs="Times New Roman"/>
          <w:sz w:val="28"/>
          <w:szCs w:val="28"/>
        </w:rPr>
        <w:t>., экономия составила свыше</w:t>
      </w:r>
      <w:r w:rsidRPr="005D4A43">
        <w:rPr>
          <w:rFonts w:ascii="Times New Roman" w:hAnsi="Times New Roman" w:cs="Times New Roman"/>
          <w:sz w:val="28"/>
          <w:szCs w:val="28"/>
        </w:rPr>
        <w:t xml:space="preserve"> 44 млн. руб.</w:t>
      </w:r>
    </w:p>
    <w:p w14:paraId="27ED602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Экономический эффект от внедрения данного модуля: экономия бюджетных средств путем выбора наилучшего поставщика для каждой малой закупки составила свыше 38 млн. руб.</w:t>
      </w:r>
    </w:p>
    <w:p w14:paraId="588F80B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Ставропольский край</w:t>
      </w:r>
    </w:p>
    <w:p w14:paraId="144A4C5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01.01.2018 все государственные заказчики Ставропольского края осуществляют закупки малого объема от 10 тыс. рублей и выше посредством использования отобранной электронной системы для автоматизации закупок малого объема (www.market.otc.ru).</w:t>
      </w:r>
    </w:p>
    <w:p w14:paraId="0160821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на указанном ресурсе размещено 20,6 тыс. закупок, общая сумма начальных (максимальных) цен контрактов составила 1,8 млрд. рублей, экономия составила 46 млн. рублей.</w:t>
      </w:r>
    </w:p>
    <w:p w14:paraId="6E6BCBA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Тамбовская область  </w:t>
      </w:r>
    </w:p>
    <w:p w14:paraId="3870A5F4"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государственную региональную информационную систему в сфере закупок товаров, работ, услуг для обеспечения нужд Тамбовской области (ГИС ЗАКУПКИ) внедрен модуль закупок малого объема «Магазин малых закупок» (15% всего объема государственного и муниципального заказа Тамбовской области), позволяющий:</w:t>
      </w:r>
    </w:p>
    <w:p w14:paraId="549B5064"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обеспечивать интеграцию ГИС ЗАКУПКИ с Порталом поставщиков города Москвы (в рамках соглашения администрации Тамбовской области с Правительством Москвы);</w:t>
      </w:r>
    </w:p>
    <w:p w14:paraId="6567E27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использовать региональный «Магазин малых закупок» бесплатно как для заказчиков, так и для поставщиков;</w:t>
      </w:r>
    </w:p>
    <w:p w14:paraId="5D68F7A1"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все юридически значимые действия осуществляться с использованием ЭЦП (электронный документооборот). </w:t>
      </w:r>
    </w:p>
    <w:p w14:paraId="1EF0BEF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Бесшовная интеграция с «Порталом поставщиков» раскрывает для заказчиков новые возможности: теперь при размещении своей потребности в товарах, работах или услугах, они могут выбрать либо региональный портал, либо «Портал поставщиков», либо оба ресурса сразу. Это позволит повысить конкуренцию и увеличить экономию бюджетных средств при проведении закупок малого объема.</w:t>
      </w:r>
    </w:p>
    <w:p w14:paraId="14DBF882"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Ярославская область</w:t>
      </w:r>
    </w:p>
    <w:p w14:paraId="55D94BB9"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декабре 2018 года введена в эксплуатацию система «Сервис оповещения поставщиков об опубликованных закупках «YAR INFORM госзакупки», которая является модулем государственной информационной системы «Государственные закупки Ярославской области» (http://zakupki.yarregion.ru).</w:t>
      </w:r>
    </w:p>
    <w:p w14:paraId="0C3AD06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759AAE0" w14:textId="77777777" w:rsidR="005D4A43" w:rsidRPr="00732814"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732814">
        <w:rPr>
          <w:rFonts w:ascii="Times New Roman" w:hAnsi="Times New Roman" w:cs="Times New Roman"/>
          <w:b/>
          <w:sz w:val="28"/>
          <w:szCs w:val="28"/>
        </w:rPr>
        <w:t>1.2. Мероприятия по «выращиванию» субъектов малого и среднего предпринимательства (МСП) до поставщиков крупных региональных заказчиков.</w:t>
      </w:r>
    </w:p>
    <w:p w14:paraId="55FD3AB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Удмуртская Республика</w:t>
      </w:r>
    </w:p>
    <w:p w14:paraId="6EC1D15F" w14:textId="7E217F4D"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Удмуртская Республика вошла в число пилотных регионов, внедряющих мероприятия по «выращиванию» </w:t>
      </w:r>
      <w:r w:rsidR="00732814">
        <w:rPr>
          <w:rFonts w:ascii="Times New Roman" w:hAnsi="Times New Roman" w:cs="Times New Roman"/>
          <w:sz w:val="28"/>
          <w:szCs w:val="28"/>
        </w:rPr>
        <w:t>субъектов МСП</w:t>
      </w:r>
      <w:r w:rsidRPr="005D4A43">
        <w:rPr>
          <w:rFonts w:ascii="Times New Roman" w:hAnsi="Times New Roman" w:cs="Times New Roman"/>
          <w:sz w:val="28"/>
          <w:szCs w:val="28"/>
        </w:rPr>
        <w:t xml:space="preserve"> до поставщиков крупных региональных заказчиков. </w:t>
      </w:r>
    </w:p>
    <w:p w14:paraId="1C8A1C61" w14:textId="1BA06810"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участия в программе по «выращиванию» предусматривается проведение отбора субъектов МСП по результатам квалификационной оценки с учетом наличия товаров, работ, услуг, производимых субъектом МСП, в рекомендованном реестре приоритетных товаров, р</w:t>
      </w:r>
      <w:r w:rsidR="00732814">
        <w:rPr>
          <w:rFonts w:ascii="Times New Roman" w:hAnsi="Times New Roman" w:cs="Times New Roman"/>
          <w:sz w:val="28"/>
          <w:szCs w:val="28"/>
        </w:rPr>
        <w:t>абот, услуг - https://rci18.ru.</w:t>
      </w:r>
    </w:p>
    <w:p w14:paraId="796F7A3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Реестр формируется по рекомендации АО «Корпорация МСП» ежегодно с учетом предложений заказчиков в рамках текущей потребности, предусмотренной в планах закупки товаров, работ, услуг, в планах закупки инновационной продукции, высокотехнологичной продукции, лекарственных средств и предложений заказчиков о потенциальном осуществлении закупок у субъектов МСП. </w:t>
      </w:r>
    </w:p>
    <w:p w14:paraId="44B1A7E4"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Мероприятия по «выращиванию» будут реализовываться в соответствии с индивидуальными картами развития (ИКР) субъектов МСП в течение 1,5 лет после утверждения. </w:t>
      </w:r>
    </w:p>
    <w:p w14:paraId="6E82A9F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популяризации предпринимательства планируется реализовать в республике комплексные программы по вовлечению в предпринимательскую деятельность и содействию созданию собственного бизнеса для разных целевых групп (самозанятых, школьников, молодежи, студентов, женщин, безработных). Намечена разработка и внедрение в школьные программы курсов по основам предпринимательства. Ожидается, что в будущем это повлечет за собой значительный рост количества предпринимателей. За 6 лет реализации участие в проекте популяризации примут более 26 тыс. человек, количество обученных основам ведения бизнеса составит не менее 4 тыс. человек, количество вновь созданных субъектов МСП - не менее 2 тыс. единиц.</w:t>
      </w:r>
    </w:p>
    <w:p w14:paraId="25BF8EA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Хабаровский край</w:t>
      </w:r>
    </w:p>
    <w:p w14:paraId="40CF4998" w14:textId="33639516"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края осуществляется реализация мероприятий пилотного проекта АО </w:t>
      </w:r>
      <w:r w:rsidR="00732814">
        <w:rPr>
          <w:rFonts w:ascii="Times New Roman" w:hAnsi="Times New Roman" w:cs="Times New Roman"/>
          <w:sz w:val="28"/>
          <w:szCs w:val="28"/>
        </w:rPr>
        <w:t>«</w:t>
      </w:r>
      <w:r w:rsidRPr="005D4A43">
        <w:rPr>
          <w:rFonts w:ascii="Times New Roman" w:hAnsi="Times New Roman" w:cs="Times New Roman"/>
          <w:sz w:val="28"/>
          <w:szCs w:val="28"/>
        </w:rPr>
        <w:t>Корпорация МСП</w:t>
      </w:r>
      <w:r w:rsidR="00732814">
        <w:rPr>
          <w:rFonts w:ascii="Times New Roman" w:hAnsi="Times New Roman" w:cs="Times New Roman"/>
          <w:sz w:val="28"/>
          <w:szCs w:val="28"/>
        </w:rPr>
        <w:t>»</w:t>
      </w:r>
      <w:r w:rsidRPr="005D4A43">
        <w:rPr>
          <w:rFonts w:ascii="Times New Roman" w:hAnsi="Times New Roman" w:cs="Times New Roman"/>
          <w:sz w:val="28"/>
          <w:szCs w:val="28"/>
        </w:rPr>
        <w:t xml:space="preserve"> по </w:t>
      </w:r>
      <w:r w:rsidR="00732814">
        <w:rPr>
          <w:rFonts w:ascii="Times New Roman" w:hAnsi="Times New Roman" w:cs="Times New Roman"/>
          <w:sz w:val="28"/>
          <w:szCs w:val="28"/>
        </w:rPr>
        <w:t>«</w:t>
      </w:r>
      <w:r w:rsidRPr="005D4A43">
        <w:rPr>
          <w:rFonts w:ascii="Times New Roman" w:hAnsi="Times New Roman" w:cs="Times New Roman"/>
          <w:sz w:val="28"/>
          <w:szCs w:val="28"/>
        </w:rPr>
        <w:t>выращиванию</w:t>
      </w:r>
      <w:r w:rsidR="00732814">
        <w:rPr>
          <w:rFonts w:ascii="Times New Roman" w:hAnsi="Times New Roman" w:cs="Times New Roman"/>
          <w:sz w:val="28"/>
          <w:szCs w:val="28"/>
        </w:rPr>
        <w:t>»</w:t>
      </w:r>
      <w:r w:rsidRPr="005D4A43">
        <w:rPr>
          <w:rFonts w:ascii="Times New Roman" w:hAnsi="Times New Roman" w:cs="Times New Roman"/>
          <w:sz w:val="28"/>
          <w:szCs w:val="28"/>
        </w:rPr>
        <w:t xml:space="preserve"> поставщиков при осуществлении закупок товаров, работ, услуг крупнейшими заказчиками. За 2018 год крупнейшими заказчиками осуществлено закупок у субъектов МСП края на сумму более 22</w:t>
      </w:r>
      <w:r w:rsidR="00732814">
        <w:rPr>
          <w:rFonts w:ascii="Times New Roman" w:hAnsi="Times New Roman" w:cs="Times New Roman"/>
          <w:sz w:val="28"/>
          <w:szCs w:val="28"/>
        </w:rPr>
        <w:t xml:space="preserve"> млрд. рублей, что больше на 80</w:t>
      </w:r>
      <w:r w:rsidRPr="005D4A43">
        <w:rPr>
          <w:rFonts w:ascii="Times New Roman" w:hAnsi="Times New Roman" w:cs="Times New Roman"/>
          <w:sz w:val="28"/>
          <w:szCs w:val="28"/>
        </w:rPr>
        <w:t>% объема таких закупок в 2017 году (12,1 млрд. рублей). По данному показателю в 2018 году Хабаровский край вышел на 1-е место в Дальневосточном федеральном округе.</w:t>
      </w:r>
    </w:p>
    <w:p w14:paraId="6B47324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25606A0B" w14:textId="77777777" w:rsidR="005D4A43" w:rsidRPr="005D4A43" w:rsidRDefault="005D4A43" w:rsidP="005D4A43">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Централизация и цифровизация земельно-имущественных торгов</w:t>
      </w:r>
    </w:p>
    <w:p w14:paraId="7ED0EDE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3043A2D1"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Организация на Единой торговой площадке Московской области по единым стандартам и правилам проведения земельно-имущественных торгов. Формирование «единой точки доступа» для потенциальных инвесторов. </w:t>
      </w:r>
    </w:p>
    <w:p w14:paraId="2DC9F4F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Создание подсистемы Автоматизированной реализации имущественных прав Единой автоматизированной системы управления закупками Московской области (АРИП ЕАСУЗ).</w:t>
      </w:r>
    </w:p>
    <w:p w14:paraId="37C81ED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опубликовано 1 943 лота по земельно-имущественным торгам. Завершено процедур по 1 898 лотам, из них реализовано 1 199 лотов (реализация 63,2%). Превышение стартовых цен на торгах составило 36,9 %. Среднее количество участников на торгах 3,8 чел./ на лот.</w:t>
      </w:r>
    </w:p>
    <w:p w14:paraId="13542042"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этом 100 % торгов опубликовано на официальном сайте Российской Федерации в сети Интернет для размещения информации о проведении торгов (www.torgi.gov.ru) и на Едином портале торгов Московской области (www.torgi.mosreg.ru).</w:t>
      </w:r>
    </w:p>
    <w:p w14:paraId="1D664B0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Виды торгов, переведенных в электронную форму:</w:t>
      </w:r>
    </w:p>
    <w:p w14:paraId="78586D0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аренда/продажа недвижимости;</w:t>
      </w:r>
    </w:p>
    <w:p w14:paraId="735CB06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купля-продажа лесных насаждений;</w:t>
      </w:r>
    </w:p>
    <w:p w14:paraId="45E8B5F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приобретение права на заключение договора водопользования в части использования акватории водного объекта;</w:t>
      </w:r>
    </w:p>
    <w:p w14:paraId="0B98938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право пользования участков недр местного значения.</w:t>
      </w:r>
    </w:p>
    <w:p w14:paraId="776065A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более 97% торгов по аренде/продаже недвижимости объявлены в электронной форме.</w:t>
      </w:r>
    </w:p>
    <w:p w14:paraId="4827A52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Российской Федерации опубликовано в электронной форме:</w:t>
      </w:r>
    </w:p>
    <w:p w14:paraId="33F8D1DE" w14:textId="77777777" w:rsidR="005D4A43" w:rsidRPr="005D4A43" w:rsidRDefault="005D4A43" w:rsidP="005D4A43">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водопользованию 12 лотов на сумму 4,2 млн. рублей,</w:t>
      </w:r>
    </w:p>
    <w:p w14:paraId="6B980AA9" w14:textId="77777777" w:rsidR="005D4A43" w:rsidRPr="005D4A43" w:rsidRDefault="005D4A43" w:rsidP="005D4A43">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недропользованию 2 лота на сумму 22.2 млн. рублей.</w:t>
      </w:r>
    </w:p>
    <w:p w14:paraId="42DDED81"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Из них реализовано 8 лотов по водопользованию по итоговой цене 6,2 млн. рублей, превышение стартовых цен на торгах 4 млн. рублей (174,8%).</w:t>
      </w:r>
    </w:p>
    <w:p w14:paraId="56ED4E4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Хабаровский край </w:t>
      </w:r>
    </w:p>
    <w:p w14:paraId="68E18AA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Запущены электронные сервисы для застройщика, позволяющие в электронном виде получить градостроительный план земельного участка, разрешение на строительство. Через сеть МФЦ края обеспечена возможность получения электронной цифровой подписи для предоставления услуг в сфере строительства и подключения к инженерным сетям в электронном виде.</w:t>
      </w:r>
    </w:p>
    <w:p w14:paraId="2F922395" w14:textId="6E7D6E78"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Уже сегодня предприниматель, не выходя из дома, может получить более 60 услуг в сфере земельных отношений, строительства, лицензирования и промышленности. Для повышения эффективности этой работы при Совете по предпринимательству и улучшению инвестиционного климата создана проектная группа </w:t>
      </w:r>
      <w:r w:rsidR="00F23541">
        <w:rPr>
          <w:rFonts w:ascii="Times New Roman" w:hAnsi="Times New Roman" w:cs="Times New Roman"/>
          <w:sz w:val="28"/>
          <w:szCs w:val="28"/>
        </w:rPr>
        <w:t>«</w:t>
      </w:r>
      <w:r w:rsidRPr="005D4A43">
        <w:rPr>
          <w:rFonts w:ascii="Times New Roman" w:hAnsi="Times New Roman" w:cs="Times New Roman"/>
          <w:sz w:val="28"/>
          <w:szCs w:val="28"/>
        </w:rPr>
        <w:t>Цифровая трансформация экономики региона</w:t>
      </w:r>
      <w:r w:rsidR="00F23541">
        <w:rPr>
          <w:rFonts w:ascii="Times New Roman" w:hAnsi="Times New Roman" w:cs="Times New Roman"/>
          <w:sz w:val="28"/>
          <w:szCs w:val="28"/>
        </w:rPr>
        <w:t>»</w:t>
      </w:r>
      <w:r w:rsidRPr="005D4A43">
        <w:rPr>
          <w:rFonts w:ascii="Times New Roman" w:hAnsi="Times New Roman" w:cs="Times New Roman"/>
          <w:sz w:val="28"/>
          <w:szCs w:val="28"/>
        </w:rPr>
        <w:t>. В нее вошли операторы связи, инновационные предприниматели, органы власти и стартап разработчики.</w:t>
      </w:r>
    </w:p>
    <w:p w14:paraId="146BD3F6" w14:textId="6CE04E6C"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обеспечения наглядности информации о возможностях подключения к инженерным сетям на земельных участках, предполагаемых под строительство администрацией города Хабаровск создан геопортал</w:t>
      </w:r>
      <w:r w:rsidR="00F23541">
        <w:rPr>
          <w:rFonts w:ascii="Times New Roman" w:hAnsi="Times New Roman" w:cs="Times New Roman"/>
          <w:sz w:val="28"/>
          <w:szCs w:val="28"/>
        </w:rPr>
        <w:t xml:space="preserve"> </w:t>
      </w:r>
      <w:r w:rsidRPr="005D4A43">
        <w:rPr>
          <w:rFonts w:ascii="Times New Roman" w:hAnsi="Times New Roman" w:cs="Times New Roman"/>
          <w:sz w:val="28"/>
          <w:szCs w:val="28"/>
        </w:rPr>
        <w:t xml:space="preserve">(http://geoportal.khabarovskadm.ru/khabarovsk/?defaultLayers=H1,H2,H3,Hb_1_18,Hb_1_17&amp;x=4000&amp;y=15000&amp;scale=7&amp;selectedObjects=), на котором размещена информация об участках, предлагаемых под строительство, а во </w:t>
      </w:r>
      <w:r w:rsidR="00F23541">
        <w:rPr>
          <w:rFonts w:ascii="Times New Roman" w:hAnsi="Times New Roman" w:cs="Times New Roman"/>
          <w:sz w:val="28"/>
          <w:szCs w:val="28"/>
        </w:rPr>
        <w:t>«</w:t>
      </w:r>
      <w:r w:rsidRPr="005D4A43">
        <w:rPr>
          <w:rFonts w:ascii="Times New Roman" w:hAnsi="Times New Roman" w:cs="Times New Roman"/>
          <w:sz w:val="28"/>
          <w:szCs w:val="28"/>
        </w:rPr>
        <w:t>всплывающих окнах</w:t>
      </w:r>
      <w:r w:rsidR="00F23541">
        <w:rPr>
          <w:rFonts w:ascii="Times New Roman" w:hAnsi="Times New Roman" w:cs="Times New Roman"/>
          <w:sz w:val="28"/>
          <w:szCs w:val="28"/>
        </w:rPr>
        <w:t>»</w:t>
      </w:r>
      <w:r w:rsidRPr="005D4A43">
        <w:rPr>
          <w:rFonts w:ascii="Times New Roman" w:hAnsi="Times New Roman" w:cs="Times New Roman"/>
          <w:sz w:val="28"/>
          <w:szCs w:val="28"/>
        </w:rPr>
        <w:t xml:space="preserve"> содержатся полные сведения об участке и возможностях технологического подключения. Информационная система обеспечения градостроительной деятельности (ИСОГД) автоматически формирует сведения о земельном участке. Информация о расположении инженерных сетей и сведения о сетедержателях размещается в Единой городской автоматизированной системе инженерных коммуникаций (ЕГАСИК).</w:t>
      </w:r>
    </w:p>
    <w:p w14:paraId="07AF4D2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6B2E8669" w14:textId="10B2B375" w:rsidR="005D4A43" w:rsidRPr="005D4A43" w:rsidRDefault="005D4A43" w:rsidP="005D4A43">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Повышение прозрачности деятельности субъектов есте</w:t>
      </w:r>
      <w:r w:rsidR="00F23541">
        <w:rPr>
          <w:rFonts w:ascii="Times New Roman" w:hAnsi="Times New Roman" w:cs="Times New Roman"/>
          <w:b/>
          <w:sz w:val="28"/>
          <w:szCs w:val="28"/>
        </w:rPr>
        <w:t>ственных монополий в субъекте Российской Федерации</w:t>
      </w:r>
    </w:p>
    <w:p w14:paraId="72E7566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p>
    <w:p w14:paraId="2FEB0C7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Новосибирская область </w:t>
      </w:r>
    </w:p>
    <w:p w14:paraId="674A9AC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Инвестиционной карте Новосибирской области наглядно представлена информация о свободных резервах трансформаторной мощности с указанием ориентировочного места подключения (технологического присоединения) к сетям территориальных сетевых организаций 110 - 35 кВ и ориентировочное место подключения к (технологическое присоединение) к сетям газораспределительных станций (http://maps.nso.ru/CoGIS/Investment).</w:t>
      </w:r>
    </w:p>
    <w:p w14:paraId="3420CB2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состоянию на 01.01.2019 на Инвестиционной карте Новосибирской области размещена информация о текущем состоянии следующих объектов:</w:t>
      </w:r>
    </w:p>
    <w:p w14:paraId="691EE24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центры электропитания высокого напряжения РЭС – 332, из них: центры питания без свободной мощности – 183, центры питания со свободной мощностью – 149;</w:t>
      </w:r>
    </w:p>
    <w:p w14:paraId="60DC67D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центры электропитания высокого напряжения РЖД – 63, из них мощность отсутствует в 7 центрах питания; </w:t>
      </w:r>
    </w:p>
    <w:p w14:paraId="02892C22"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ориентировочные места подключения (технологическое присоединение) к сетям газораспределительных станций – 30. </w:t>
      </w:r>
    </w:p>
    <w:p w14:paraId="636EB33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центру питания представлена следующая информация: класс напряжения, количество и мощность установленных трансформаторов, объемы свободной мощности и др.</w:t>
      </w:r>
    </w:p>
    <w:p w14:paraId="28DE6542"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ориентировочному месту подключения к сетям газораспределительных станций указаны сведения о проектной производительности и загрузке ГРС.</w:t>
      </w:r>
    </w:p>
    <w:p w14:paraId="76DF4D6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Посещаемость инвестиционной карты за 7 месяцев 2018 года (июнь- декабрь) составила 2985 посетителей.  </w:t>
      </w:r>
    </w:p>
    <w:p w14:paraId="6FA91346"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45560BC" w14:textId="77777777" w:rsidR="005D4A43" w:rsidRPr="005D4A43" w:rsidRDefault="005D4A43" w:rsidP="005D4A43">
      <w:pPr>
        <w:pBdr>
          <w:bottom w:val="single" w:sz="4" w:space="29" w:color="FFFFFF"/>
        </w:pBdr>
        <w:tabs>
          <w:tab w:val="left" w:pos="0"/>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4.</w:t>
      </w:r>
      <w:r w:rsidRPr="005D4A43">
        <w:rPr>
          <w:rFonts w:ascii="Times New Roman" w:hAnsi="Times New Roman" w:cs="Times New Roman"/>
          <w:b/>
          <w:sz w:val="28"/>
          <w:szCs w:val="28"/>
        </w:rPr>
        <w:tab/>
        <w:t>Повышение инвестиционной привлекательности</w:t>
      </w:r>
    </w:p>
    <w:p w14:paraId="1A6CF35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Липецкая область</w:t>
      </w:r>
    </w:p>
    <w:p w14:paraId="60BF87A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областном центре был успешно запущен онлайн-сервис «Инвестиционная карта города Липецка» (http://msp-city48.ru/invest/explore/), направленный на привлечение инвестиций непосредственно в муниципальное образование.</w:t>
      </w:r>
    </w:p>
    <w:p w14:paraId="2EC2E21D"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Предложения субъектов Российской Федерации по повышению эффективности содействию развитию конкуренции в регионах</w:t>
      </w:r>
    </w:p>
    <w:p w14:paraId="056935F9"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1. Создание Единого Информационного Портала «Развитие конкуренции».  </w:t>
      </w:r>
    </w:p>
    <w:p w14:paraId="3048573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2. Разработка обобщенных форм (методических рекомендаций, программного продукта) для проведения регионами мониторингов и оценки состояния конкурентной среды на товарных рынках регионов.</w:t>
      </w:r>
    </w:p>
    <w:p w14:paraId="6246B6F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3. Проведение на постоянной основе обучающих семинаров для регионов по вопросам реализации положений Стандарта, в том числе относительно процедуры выработки мер, направленных на снижение рисков нарушения антимонопольного законодательства, механизмов контроля за функционированием комплаенса. </w:t>
      </w:r>
    </w:p>
    <w:p w14:paraId="4DE50CD9"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4. Оптимизация структуры регионального доклада.</w:t>
      </w:r>
    </w:p>
    <w:p w14:paraId="672ABDBE"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5. Проработка Росказначейством вопроса о формировании и размещении на сайте zakupki.gov.ru агрегированной информации об объемах закупок, планируемых к размещению в соответствующем году на территории субъекта Российской Федерации, в том числе по видам деятельности (кодам ОКДП), всего и отдельным показателям по субъектам малого предпринимательства. </w:t>
      </w:r>
    </w:p>
    <w:p w14:paraId="6DBE04DA"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6. Разработка рекомендаций для регионов в целях обеспечения единых подходов по созданию и реализации механизмов общественного контроля за деятельностью субъектов естественных монополий. </w:t>
      </w:r>
    </w:p>
    <w:p w14:paraId="2DCD0F70"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7. В качестве проблемы, связанной с применением положений Стандарта, отдельными регионами до настоящего времени отмечаются затруднения в проведении мониторинга деятельности хозяйствующих субъектов Российской Федерации с долей участия региона или муниципального образования 50% и более, предусмотренного подпунктом «д» пункта 42 Стандарта. Вместе с тем в соответствии с пунктом VIII протокола Межведомственной рабочей группы от 13.11.2017 № 13-ДО5 дано разъяснение по данному вопросу https://fas.gov.ru/pages/vazhnaya-informacziya/standart-razvitiya-konkurenczii/protokolyi-mezhvedomstvennoj-rabochej-gruppyi. </w:t>
      </w:r>
    </w:p>
    <w:p w14:paraId="2ED6196D"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29B3C89" w14:textId="77777777" w:rsidR="00F23541" w:rsidRDefault="00F23541"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p>
    <w:p w14:paraId="42D6A12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Субъектами Российской Федерации отмечается, что в ходе работы по внедрению составляющих Стандарта развития конкуренции основные сложности связаны с недостаточностью информационной базы для проведения анализа конкурентной среды, а также с отсутствием на федеральном уровне единых методических подходов к реализации требований Стандарта на уровне регионов.</w:t>
      </w:r>
    </w:p>
    <w:p w14:paraId="3EF269C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Комплексное исследование региональных рынков, проводимое в рамках мониторинга, предусмотренного Стандартом, осуществляется для целей:</w:t>
      </w:r>
    </w:p>
    <w:p w14:paraId="74D0F219" w14:textId="086E33FB"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1. Выявления административных барьеров рынка, иных ограничений и разработки мероприятий региональных «дорожных карт»</w:t>
      </w:r>
      <w:r w:rsidR="00F23541">
        <w:rPr>
          <w:rFonts w:ascii="Times New Roman" w:hAnsi="Times New Roman" w:cs="Times New Roman"/>
          <w:sz w:val="28"/>
          <w:szCs w:val="28"/>
        </w:rPr>
        <w:t>;</w:t>
      </w:r>
    </w:p>
    <w:p w14:paraId="0EE49E20" w14:textId="06CCE05B"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2. Межрегионального сравнения состояния конкурентной среды на конкретном рынке</w:t>
      </w:r>
      <w:r w:rsidR="00F23541">
        <w:rPr>
          <w:rFonts w:ascii="Times New Roman" w:hAnsi="Times New Roman" w:cs="Times New Roman"/>
          <w:sz w:val="28"/>
          <w:szCs w:val="28"/>
        </w:rPr>
        <w:t>.</w:t>
      </w:r>
    </w:p>
    <w:p w14:paraId="7392DA9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результатам 2018 года ФАС России разработаны и направлены в регионы формы для заполнения в целях осуществления межрегионального сравнения состояния конкурентной среды на рынках субъекта Российской Федерации. Обобщение данных, представленных регионами позволили провести корреляцию динамики следующих показателей:</w:t>
      </w:r>
    </w:p>
    <w:p w14:paraId="63D97A39"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доли присутствия организаций частной формы собственности на рынке товаров, работ и услуг на территории субъектов Российской Федерации;</w:t>
      </w:r>
    </w:p>
    <w:p w14:paraId="2932B7B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удовлетворенности потребителей качеством товаров, работ и услуг на рынке.</w:t>
      </w:r>
    </w:p>
    <w:p w14:paraId="19BFE87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Корреляция указанных показателей может стать действенным инструментом для регионов в части определения направлений деятельности по содействию развитию конкуренции в субъектах Российской Федерации (при условии репрезентативности и достоверности опросных данных). </w:t>
      </w:r>
    </w:p>
    <w:p w14:paraId="7245DB0B"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Анализ региональных докладов показал, что количество респондентов в разных регионах при проведении опросной части мониторинга может существенно отличаться. Так, в 2018 году количество респондентов в субъектах Российской Федерации составляло (выборочно):</w:t>
      </w:r>
    </w:p>
    <w:p w14:paraId="7CF12F93"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Краснодарский край – от 4270 до 77 769;</w:t>
      </w:r>
    </w:p>
    <w:p w14:paraId="4BBB20E6"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Хабаровский край – от 732 до 44451;</w:t>
      </w:r>
    </w:p>
    <w:p w14:paraId="64E9F331"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Воронежская область –  от 4732 до 6904;</w:t>
      </w:r>
    </w:p>
    <w:p w14:paraId="7E237E42"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Республика Удмуртия – 2435;</w:t>
      </w:r>
    </w:p>
    <w:p w14:paraId="32AF938D"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Республика Хакасия – от 167 до 559;</w:t>
      </w:r>
    </w:p>
    <w:p w14:paraId="14BC5F84"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Республика Северная Осетия (Алания) – 175;</w:t>
      </w:r>
    </w:p>
    <w:p w14:paraId="19A915E2"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Республика Татарстан – от 50 до 84;</w:t>
      </w:r>
    </w:p>
    <w:p w14:paraId="06B94B28"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Сахалин - от 5 до 10.</w:t>
      </w:r>
    </w:p>
    <w:p w14:paraId="0D84FF06"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Вместе с тем в Рекомендациях по составлению выборки респондентов для проведения опросов в субъектах Российской Федерации  (подготовлены Аналитическим центром при Правительстве Российской Федерации при взаимодействии с экспертами Всемирного банка)  отмечается, что ввиду сложности обеспечения опроса большого количества жителей и представителей бизнеса, по опыту ранее проведенных опросов субъектов Российской Федерации численность опрошенных потребителей в регионе может составлять не менее 1000 человек, представителей бизнеса — от 300 респондентов.</w:t>
      </w:r>
    </w:p>
    <w:p w14:paraId="42383337" w14:textId="13E0A0E3"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Разброс значений числа респондентов по одному и тому же субъекту Российской Федерации может б</w:t>
      </w:r>
      <w:r w:rsidR="00F23541">
        <w:rPr>
          <w:rFonts w:ascii="Times New Roman" w:hAnsi="Times New Roman" w:cs="Times New Roman"/>
          <w:sz w:val="28"/>
          <w:szCs w:val="28"/>
        </w:rPr>
        <w:t>ыть связан, в том числе</w:t>
      </w:r>
      <w:r w:rsidRPr="005D4A43">
        <w:rPr>
          <w:rFonts w:ascii="Times New Roman" w:hAnsi="Times New Roman" w:cs="Times New Roman"/>
          <w:sz w:val="28"/>
          <w:szCs w:val="28"/>
        </w:rPr>
        <w:t xml:space="preserve"> с особенностями рынка, на котором осуществляется опрос. Так, потребителей рынка услуг психолого-педагогического сопровождения детей с ограниченными возможностями здоровья значительно меньше числа потребителей рынка услуг дошкольного образования.</w:t>
      </w:r>
    </w:p>
    <w:p w14:paraId="01119B01"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Отслеживание корреляции динамики увеличения (уменьшения) доли частных организаций на рынке услуг и удовлетворенности потребителей услугами могло бы выявить оптимальное соотношение государственных (муниципальных) и частных организаций на рынке. </w:t>
      </w:r>
    </w:p>
    <w:p w14:paraId="1B74168F"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Вместе с тем существует ряд факторов, снижающих репрезентативность проводимых в регионах опросов.  </w:t>
      </w:r>
    </w:p>
    <w:p w14:paraId="4F923155"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Так, количество опрашиваемых в субъектах Российской Федерации колеблется от 75000 (Краснодарский край) до 5 человек (Сахалинская область). </w:t>
      </w:r>
    </w:p>
    <w:p w14:paraId="367B76DD"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Кроме того, в отдельных субъектах Российской Федерации наблюдаются стабильно низкие показатели удовлетворённости по большинству рынков, что может свидетельствовать о неудовлетворенности населения в целом ситуацией в социально-экономической сфере региона.</w:t>
      </w:r>
    </w:p>
    <w:p w14:paraId="398BCA83" w14:textId="77777777" w:rsid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Для каждого региона существует оптимальная доля организаций частной формы собственности на том или ином рынке. Необоснованно высокий уровень организаций частной формы собственности, как и необоснованно низкий, на отдельных рынках может привезти к снижению удовлетворенности потребителей на рынке. </w:t>
      </w:r>
    </w:p>
    <w:p w14:paraId="08271D46" w14:textId="77777777" w:rsidR="0000731E" w:rsidRPr="005D4A43" w:rsidRDefault="0000731E"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2E4CF58" w14:textId="77777777" w:rsidR="005D4A43" w:rsidRPr="0000731E" w:rsidRDefault="005D4A43" w:rsidP="0000731E">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00731E">
        <w:rPr>
          <w:rFonts w:ascii="Times New Roman" w:hAnsi="Times New Roman" w:cs="Times New Roman"/>
          <w:b/>
          <w:sz w:val="28"/>
          <w:szCs w:val="28"/>
        </w:rPr>
        <w:t>Содействие ФАС России внедрению Стандарта развития конкуренции в субъектах Российской Федерации</w:t>
      </w:r>
    </w:p>
    <w:p w14:paraId="5EF32EF2"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Публичной декларацией целей и задач ФАС России в 2018 году предусмотрена задача «Активное содействие внедрению Стандарта развития конкуренции в субъектах Российской Федерации и муниципальных образованиях в целях реализации принципов государственной политики по развитию конкуренции». </w:t>
      </w:r>
    </w:p>
    <w:p w14:paraId="325CDAC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проведены следующие семинары, совещания и другие мероприятия для органов государственной власти субъектов Российской Федерации и органов местного самоуправления по вопросам развития конкуренции в регионах:</w:t>
      </w:r>
    </w:p>
    <w:p w14:paraId="2F4298A1" w14:textId="77777777" w:rsidR="005D4A43" w:rsidRPr="005D4A43" w:rsidRDefault="005D4A43" w:rsidP="005D4A43">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20-21 марта на площадке Московского УФАС России c участием центрального аппарата ФАС России и территориальных органов ФАС России состоялся семинар-совещание по теме «Практика и проблемы внедрения Стандарта развития конкуренции в субъектах Российской Федерации»;</w:t>
      </w:r>
    </w:p>
    <w:p w14:paraId="28E62E22" w14:textId="77777777" w:rsidR="005D4A43" w:rsidRPr="005D4A43" w:rsidRDefault="005D4A43" w:rsidP="005D4A43">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3-4 апреля в г. Казань (Республика Татарстан) на площадке Учебно-методического центра ФАС России состоялся семинар-совещание о ходе внедрения Стандарта развития конкуренции в субъектах Российской Федерации с участием Минэкономразвития России, центрального аппарата и территориальных органов ФАС России, органов исполнительной власти субъектов Российской Федерации, представителей муниципалитетов; </w:t>
      </w:r>
    </w:p>
    <w:p w14:paraId="2184996F" w14:textId="77777777" w:rsidR="005D4A43" w:rsidRPr="005D4A43" w:rsidRDefault="005D4A43" w:rsidP="005D4A43">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4-5 июня на площадке Санкт-Петербургского УФАС России состоялась научно-практическая конференция, в которой выступили сотрудники центрального аппарата ФАС России с докладами на темы: «Внедрение Стандарта развития конкуренции в 2017 году. Итоги. Задачи», «Обобщение и анализ сведений о достижении целевых показателей региональных дорожных карт: актуальность и проблемы»;</w:t>
      </w:r>
    </w:p>
    <w:p w14:paraId="76FEEAF2" w14:textId="77777777" w:rsidR="005D4A43" w:rsidRPr="005D4A43" w:rsidRDefault="005D4A43" w:rsidP="005D4A43">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во втором полугодие 2018 года состоялся ряд совещаний с Минэкономразвития России и АСИ по вопросам изменения Стандарта развития конкуренции и ключевых показателей;</w:t>
      </w:r>
    </w:p>
    <w:p w14:paraId="2C884BE3" w14:textId="77777777" w:rsidR="005D4A43" w:rsidRPr="005D4A43" w:rsidRDefault="005D4A43" w:rsidP="005D4A43">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10 сентября: совещания в Минтруде России и Минэкономразвития России;</w:t>
      </w:r>
    </w:p>
    <w:p w14:paraId="03D4149E" w14:textId="77777777" w:rsidR="005D4A43" w:rsidRPr="005D4A43" w:rsidRDefault="005D4A43" w:rsidP="005D4A43">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27 сентября 2018 года в г. Сочи в рамках «Недели конкуренции в России» проведена Всероссийская научно-практическая конференция «Стратегия развития конкуренции в России: опыт регионов»; организаторы: Федеральная антимонопольная служба России, Министерство экономики Краснодарского края и ФГБОУ ВО «Сочинский государственный университет»; </w:t>
      </w:r>
    </w:p>
    <w:p w14:paraId="7A279A02" w14:textId="77777777" w:rsidR="005D4A43" w:rsidRPr="005D4A43" w:rsidRDefault="005D4A43" w:rsidP="005D4A43">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6-7 декабря 2018 проведена IV Международная научно-практическая конференция «Антимонопольная политика: наука, практика, образование» (организаторы: инновационный центр «Сколково», «Гиперкуб»; ФАС России соорганизатор).</w:t>
      </w:r>
    </w:p>
    <w:p w14:paraId="5C4C29CC"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27 июня в Минэкономразвития России состоялось заседание Межведомственной рабочей группы по вопросам реализации положений Стандарта развития конкуренции в субъектах Российской Федерации. Одним из основных вопросов повестки заседания было обсуждение предложений по внесению изменений в Стандарт развития конкуренции в субъектах Российской Федерации в соответствии с пунктом 1 «а» перечня поручений Президента Российской Федерации по итогам заседания Государственного совета Российской Федерации от 15.05.2018 № Пр-817ГС.</w:t>
      </w:r>
    </w:p>
    <w:p w14:paraId="70EC66AD"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Согласно поручению руководителя ФАС России И.Ю. Артемьева от 30.05.2018 № 01-017-ИА/пр были организованы и проведены в 2-3 кварталах 2018 года совещания с высшими должностными лицами (руководителями высших исполнительных органов государственной власти) субъектов Российской Федерации по вопросам утверждения ключевых показателей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382BE672"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ФАС России подготовлен проект новой редакции Стандарта развития конкуренции в субъектах Российской Федерации, включающий ключевые показатели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073476F7" w14:textId="77777777" w:rsidR="005D4A43" w:rsidRP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Лучшие практики по внедрению Стандарта развития конкуренции в субъектах Российской Федерации включены в «белую книгу» проконкурентных региональных практик за 2017 год, размещенную 27.07.2018 на официальном сайте ФАС России в информационно-телекоммуникационной сети «Интернет» «Главная страница» / «Открытое ведомство» / «Белая и черные книги» (https://fas.gov.ru/pages/vazhnaya-informacziya/otkryitoe-vedomstvo/belaya-i-chernaya-knigi.html), что позволяет обеспечить дальнейшую «обратную связь».</w:t>
      </w:r>
    </w:p>
    <w:p w14:paraId="4BD80075" w14:textId="47E82318" w:rsidR="005D4A43" w:rsidRDefault="005D4A43" w:rsidP="005D4A43">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Публичная декларация целей и задач ФАС России на 2019 год также включает в себя активное содействие обеспечению реализации Стандарта развития конкуренции в субъектах Российской Федерации, которое будет осуществляться в 2019 году в рамках обеспечения реализации Национального плана развития конкуренции в Российской Федерации на 2018-2020 годы.</w:t>
      </w:r>
    </w:p>
    <w:p w14:paraId="6EF8D9CD" w14:textId="2532BE6D" w:rsidR="00A47DF4"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
    <w:p w14:paraId="5BC8795E" w14:textId="3BAC194D" w:rsidR="00A47DF4" w:rsidRPr="00615542" w:rsidRDefault="00A47DF4" w:rsidP="00EF64DA">
      <w:pPr>
        <w:pStyle w:val="2"/>
      </w:pPr>
      <w:bookmarkStart w:id="236" w:name="_Toc7447959"/>
      <w:r w:rsidRPr="00615542">
        <w:t>Конкурентная политика в национальных целях и стратегических задачах развития Российской Федерации</w:t>
      </w:r>
      <w:bookmarkEnd w:id="236"/>
    </w:p>
    <w:p w14:paraId="34E4FA91" w14:textId="77777777" w:rsidR="00A47DF4" w:rsidRPr="00615542" w:rsidRDefault="00A47DF4" w:rsidP="00A47DF4">
      <w:pPr>
        <w:ind w:firstLine="851"/>
      </w:pPr>
    </w:p>
    <w:p w14:paraId="4F6D6A56" w14:textId="77777777" w:rsidR="00A47DF4" w:rsidRDefault="00A47DF4" w:rsidP="00A47DF4">
      <w:pPr>
        <w:spacing w:after="0" w:line="240" w:lineRule="auto"/>
        <w:ind w:firstLine="851"/>
        <w:jc w:val="both"/>
        <w:rPr>
          <w:rFonts w:ascii="Times New Roman" w:hAnsi="Times New Roman" w:cs="Times New Roman"/>
          <w:sz w:val="28"/>
          <w:szCs w:val="28"/>
        </w:rPr>
      </w:pPr>
      <w:r w:rsidRPr="00D44C40">
        <w:rPr>
          <w:rFonts w:ascii="Times New Roman" w:hAnsi="Times New Roman" w:cs="Times New Roman"/>
          <w:sz w:val="28"/>
          <w:szCs w:val="28"/>
        </w:rPr>
        <w:t>Указом Президента Российской Федерации от 7 мая 2018 года № 204 были определены национальные цели развития Российской Федерации на период до 2024 года.</w:t>
      </w:r>
    </w:p>
    <w:p w14:paraId="33954108" w14:textId="77777777" w:rsidR="00A47DF4" w:rsidRDefault="00A47DF4" w:rsidP="00A47DF4">
      <w:pPr>
        <w:spacing w:after="0" w:line="240" w:lineRule="auto"/>
        <w:ind w:firstLine="851"/>
        <w:jc w:val="both"/>
        <w:rPr>
          <w:rFonts w:ascii="Times New Roman" w:hAnsi="Times New Roman" w:cs="Times New Roman"/>
          <w:sz w:val="28"/>
          <w:szCs w:val="28"/>
        </w:rPr>
      </w:pPr>
      <w:r w:rsidRPr="00D44C40">
        <w:rPr>
          <w:rFonts w:ascii="Times New Roman" w:hAnsi="Times New Roman" w:cs="Times New Roman"/>
          <w:sz w:val="28"/>
          <w:szCs w:val="28"/>
        </w:rPr>
        <w:t>В соответствии с национальными целями Правительством Российской Федерации разработаны 12 национальных проектов, паспорта которых были в декабре 2018 года утверждены Президиумом Совета при Президенте Российской Федерации по стратегическому р</w:t>
      </w:r>
      <w:r>
        <w:rPr>
          <w:rFonts w:ascii="Times New Roman" w:hAnsi="Times New Roman" w:cs="Times New Roman"/>
          <w:sz w:val="28"/>
          <w:szCs w:val="28"/>
        </w:rPr>
        <w:t>азвитию и национальным проектам:</w:t>
      </w:r>
      <w:r w:rsidRPr="00D44C40">
        <w:rPr>
          <w:rFonts w:ascii="Times New Roman" w:hAnsi="Times New Roman" w:cs="Times New Roman"/>
          <w:sz w:val="28"/>
          <w:szCs w:val="28"/>
        </w:rPr>
        <w:t xml:space="preserve"> </w:t>
      </w:r>
      <w:r w:rsidRPr="00811AC0">
        <w:rPr>
          <w:rFonts w:ascii="Times New Roman" w:hAnsi="Times New Roman" w:cs="Times New Roman"/>
          <w:sz w:val="28"/>
          <w:szCs w:val="28"/>
        </w:rPr>
        <w:t>«Здравоохранение», «Образование», «Демография», «Культура», «Безопасные и качественные автомобильные дороги», «Жильё и городская среда», «Экология», «Наука», «Малое и среднее предпринимательство и поддержка индивидуальной предпринимательской инициативы», «Цифровая экономика», «Производительность труда и поддержка занятости», «Межд</w:t>
      </w:r>
      <w:r>
        <w:rPr>
          <w:rFonts w:ascii="Times New Roman" w:hAnsi="Times New Roman" w:cs="Times New Roman"/>
          <w:sz w:val="28"/>
          <w:szCs w:val="28"/>
        </w:rPr>
        <w:t xml:space="preserve">ународная кооперация и экспорт», </w:t>
      </w:r>
      <w:r w:rsidRPr="00D44C40">
        <w:rPr>
          <w:rFonts w:ascii="Times New Roman" w:hAnsi="Times New Roman" w:cs="Times New Roman"/>
          <w:sz w:val="28"/>
          <w:szCs w:val="28"/>
        </w:rPr>
        <w:t>а также Комплексный план модернизации и расширения магистральной инфраструктуры на период до 2024 года (утв. распоряжением Правительства от 30.09.2018 № 2101-р).</w:t>
      </w:r>
    </w:p>
    <w:p w14:paraId="7FEC96EF" w14:textId="4CE955D1" w:rsidR="00A47DF4" w:rsidRDefault="00A47DF4" w:rsidP="00A47DF4">
      <w:pPr>
        <w:spacing w:after="0" w:line="240" w:lineRule="auto"/>
        <w:ind w:firstLine="851"/>
        <w:jc w:val="both"/>
        <w:rPr>
          <w:rFonts w:ascii="Times New Roman" w:hAnsi="Times New Roman" w:cs="Times New Roman"/>
          <w:sz w:val="28"/>
          <w:szCs w:val="28"/>
        </w:rPr>
      </w:pPr>
      <w:r w:rsidRPr="00766744">
        <w:rPr>
          <w:rFonts w:ascii="Times New Roman" w:hAnsi="Times New Roman" w:cs="Times New Roman"/>
          <w:sz w:val="28"/>
          <w:szCs w:val="28"/>
        </w:rPr>
        <w:t>Основной их целью является улучшение социальной и экономической ситуации в Р</w:t>
      </w:r>
      <w:r w:rsidR="0000731E">
        <w:rPr>
          <w:rFonts w:ascii="Times New Roman" w:hAnsi="Times New Roman" w:cs="Times New Roman"/>
          <w:sz w:val="28"/>
          <w:szCs w:val="28"/>
        </w:rPr>
        <w:t xml:space="preserve">оссийской </w:t>
      </w:r>
      <w:r w:rsidRPr="00766744">
        <w:rPr>
          <w:rFonts w:ascii="Times New Roman" w:hAnsi="Times New Roman" w:cs="Times New Roman"/>
          <w:sz w:val="28"/>
          <w:szCs w:val="28"/>
        </w:rPr>
        <w:t>Ф</w:t>
      </w:r>
      <w:r w:rsidR="0000731E">
        <w:rPr>
          <w:rFonts w:ascii="Times New Roman" w:hAnsi="Times New Roman" w:cs="Times New Roman"/>
          <w:sz w:val="28"/>
          <w:szCs w:val="28"/>
        </w:rPr>
        <w:t>едерации</w:t>
      </w:r>
      <w:r w:rsidRPr="00766744">
        <w:rPr>
          <w:rFonts w:ascii="Times New Roman" w:hAnsi="Times New Roman" w:cs="Times New Roman"/>
          <w:sz w:val="28"/>
          <w:szCs w:val="28"/>
        </w:rPr>
        <w:t>, а также повышение качества жизни, комфортных условий и возможностей реализации себя для всех граждан страны.</w:t>
      </w:r>
    </w:p>
    <w:p w14:paraId="32675685" w14:textId="77777777" w:rsidR="00A47DF4" w:rsidRDefault="00A47DF4" w:rsidP="00A47DF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E73D6A" wp14:editId="052BCBE0">
            <wp:extent cx="5940425" cy="3887756"/>
            <wp:effectExtent l="0" t="0" r="3175" b="0"/>
            <wp:docPr id="2" name="Рисунок 2" descr="C:\Users\Ibrohim Jurayev\Pictures\byudzhet-nacionalynyh-projekt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ohim Jurayev\Pictures\byudzhet-nacionalynyh-projektov-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887756"/>
                    </a:xfrm>
                    <a:prstGeom prst="rect">
                      <a:avLst/>
                    </a:prstGeom>
                    <a:noFill/>
                    <a:ln>
                      <a:noFill/>
                    </a:ln>
                  </pic:spPr>
                </pic:pic>
              </a:graphicData>
            </a:graphic>
          </wp:inline>
        </w:drawing>
      </w:r>
    </w:p>
    <w:p w14:paraId="416F045B" w14:textId="77777777" w:rsidR="00A47DF4" w:rsidRDefault="00A47DF4" w:rsidP="00A47DF4">
      <w:pPr>
        <w:spacing w:after="0" w:line="240" w:lineRule="auto"/>
        <w:jc w:val="both"/>
        <w:rPr>
          <w:rFonts w:ascii="Times New Roman" w:hAnsi="Times New Roman" w:cs="Times New Roman"/>
          <w:sz w:val="28"/>
          <w:szCs w:val="28"/>
        </w:rPr>
      </w:pPr>
    </w:p>
    <w:p w14:paraId="5B07014E" w14:textId="77777777" w:rsidR="00A47DF4" w:rsidRDefault="00A47DF4" w:rsidP="00A47DF4">
      <w:pPr>
        <w:spacing w:after="0" w:line="240" w:lineRule="auto"/>
        <w:ind w:firstLine="851"/>
        <w:jc w:val="both"/>
        <w:rPr>
          <w:rFonts w:ascii="Times New Roman" w:hAnsi="Times New Roman" w:cs="Times New Roman"/>
          <w:sz w:val="28"/>
          <w:szCs w:val="28"/>
        </w:rPr>
      </w:pPr>
      <w:r w:rsidRPr="00D02159">
        <w:rPr>
          <w:rFonts w:ascii="Times New Roman" w:hAnsi="Times New Roman" w:cs="Times New Roman"/>
          <w:sz w:val="28"/>
          <w:szCs w:val="28"/>
        </w:rPr>
        <w:t>В целях противостояния глобальным экономическим вызовам и достижения национальных целей и стратегических задач развития Российской Федерации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36C9FCE8" w14:textId="1A9DCC1A" w:rsidR="00A47DF4" w:rsidRPr="0017796A" w:rsidRDefault="00A47DF4" w:rsidP="00A47DF4">
      <w:pPr>
        <w:spacing w:after="0" w:line="240" w:lineRule="auto"/>
        <w:ind w:firstLine="851"/>
        <w:jc w:val="both"/>
        <w:rPr>
          <w:rFonts w:ascii="Times New Roman" w:hAnsi="Times New Roman" w:cs="Times New Roman"/>
          <w:sz w:val="28"/>
          <w:szCs w:val="28"/>
        </w:rPr>
      </w:pPr>
      <w:r w:rsidRPr="0017796A">
        <w:rPr>
          <w:rFonts w:ascii="Times New Roman" w:hAnsi="Times New Roman" w:cs="Times New Roman"/>
          <w:sz w:val="28"/>
          <w:szCs w:val="28"/>
        </w:rPr>
        <w:t>Национальный план развития конкуренции на 2018 – 2020 годы, утвержденный Указом № 618, и Национальные проекты, разработанные во исполнение Указа Президента Российской Федерации от 07.05.2018 № 204 «О национальных целях и стратегических задачах развития Российской Фед</w:t>
      </w:r>
      <w:r>
        <w:rPr>
          <w:rFonts w:ascii="Times New Roman" w:hAnsi="Times New Roman" w:cs="Times New Roman"/>
          <w:sz w:val="28"/>
          <w:szCs w:val="28"/>
        </w:rPr>
        <w:t>ерации на период до 2024 года»</w:t>
      </w:r>
      <w:r w:rsidR="0000731E">
        <w:rPr>
          <w:rFonts w:ascii="Times New Roman" w:hAnsi="Times New Roman" w:cs="Times New Roman"/>
          <w:sz w:val="28"/>
          <w:szCs w:val="28"/>
        </w:rPr>
        <w:t>,</w:t>
      </w:r>
      <w:r>
        <w:rPr>
          <w:rFonts w:ascii="Times New Roman" w:hAnsi="Times New Roman" w:cs="Times New Roman"/>
          <w:sz w:val="28"/>
          <w:szCs w:val="28"/>
        </w:rPr>
        <w:t xml:space="preserve"> </w:t>
      </w:r>
      <w:r w:rsidRPr="0017796A">
        <w:rPr>
          <w:rFonts w:ascii="Times New Roman" w:hAnsi="Times New Roman" w:cs="Times New Roman"/>
          <w:sz w:val="28"/>
          <w:szCs w:val="28"/>
        </w:rPr>
        <w:t>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7DF81583" w14:textId="77777777" w:rsidR="00A47DF4" w:rsidRPr="0017796A" w:rsidRDefault="00A47DF4" w:rsidP="00A47DF4">
      <w:pPr>
        <w:spacing w:after="0" w:line="240" w:lineRule="auto"/>
        <w:ind w:firstLine="851"/>
        <w:jc w:val="both"/>
        <w:rPr>
          <w:rFonts w:ascii="Times New Roman" w:hAnsi="Times New Roman" w:cs="Times New Roman"/>
          <w:sz w:val="28"/>
          <w:szCs w:val="28"/>
        </w:rPr>
      </w:pPr>
      <w:r w:rsidRPr="0017796A">
        <w:rPr>
          <w:rFonts w:ascii="Times New Roman" w:hAnsi="Times New Roman" w:cs="Times New Roman"/>
          <w:sz w:val="28"/>
          <w:szCs w:val="28"/>
        </w:rPr>
        <w:t>Однако, анализ документов, связанных с реализацией Национальных проектов и Национального плана развития конкуренции показал, что предусмотренные в них мероприятия не согласованы между собой.</w:t>
      </w:r>
    </w:p>
    <w:p w14:paraId="315E3C80" w14:textId="77777777" w:rsidR="00A47DF4" w:rsidRPr="0017796A" w:rsidRDefault="00A47DF4" w:rsidP="00A47DF4">
      <w:pPr>
        <w:spacing w:after="0" w:line="240" w:lineRule="auto"/>
        <w:ind w:firstLine="851"/>
        <w:jc w:val="both"/>
        <w:rPr>
          <w:rFonts w:ascii="Times New Roman" w:hAnsi="Times New Roman" w:cs="Times New Roman"/>
          <w:sz w:val="28"/>
          <w:szCs w:val="28"/>
        </w:rPr>
      </w:pPr>
      <w:r w:rsidRPr="0017796A">
        <w:rPr>
          <w:rFonts w:ascii="Times New Roman" w:hAnsi="Times New Roman" w:cs="Times New Roman"/>
          <w:sz w:val="28"/>
          <w:szCs w:val="28"/>
        </w:rPr>
        <w:t>Ряд мероприятий Национальных проектов, связанных с существенными бюджетными расходами, не предусматривают конкурентных механизмов привлечения к их выполнению хозяйствующих субъектов, что может в процессе реализации приводить к ограничению конкуренции.</w:t>
      </w:r>
    </w:p>
    <w:p w14:paraId="0743C25C" w14:textId="77777777" w:rsidR="00A47DF4" w:rsidRPr="0017796A" w:rsidRDefault="00A47DF4" w:rsidP="00A47DF4">
      <w:pPr>
        <w:spacing w:after="0" w:line="240" w:lineRule="auto"/>
        <w:ind w:firstLine="851"/>
        <w:jc w:val="both"/>
        <w:rPr>
          <w:rFonts w:ascii="Times New Roman" w:hAnsi="Times New Roman" w:cs="Times New Roman"/>
          <w:sz w:val="28"/>
          <w:szCs w:val="28"/>
        </w:rPr>
      </w:pPr>
      <w:r w:rsidRPr="0017796A">
        <w:rPr>
          <w:rFonts w:ascii="Times New Roman" w:hAnsi="Times New Roman" w:cs="Times New Roman"/>
          <w:sz w:val="28"/>
          <w:szCs w:val="28"/>
        </w:rPr>
        <w:t>При этом ФАС России, осуществляющий по поручению Правительства Российской Федерации координацию исполнения мероприятий Национального плана развития конкуренции, практически не привлечен к участию в определении комплекса мероприятий Национальных проектов.</w:t>
      </w:r>
    </w:p>
    <w:p w14:paraId="4D83FE51" w14:textId="77777777" w:rsidR="00A47DF4" w:rsidRPr="0017796A"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w:t>
      </w:r>
      <w:r w:rsidRPr="0017796A">
        <w:rPr>
          <w:rFonts w:ascii="Times New Roman" w:hAnsi="Times New Roman" w:cs="Times New Roman"/>
          <w:sz w:val="28"/>
          <w:szCs w:val="28"/>
        </w:rPr>
        <w:t>то может привести к тому, что в рамках Национальных проектов будут реализовываться мероприятия, не учитывающими цели, задачи и основополагающие принципы экономической политики, основанной на развитии конкуренции.</w:t>
      </w:r>
    </w:p>
    <w:p w14:paraId="5BC03A6C" w14:textId="77777777" w:rsidR="00A47DF4" w:rsidRPr="0017796A"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w:t>
      </w:r>
      <w:r w:rsidRPr="0017796A">
        <w:rPr>
          <w:rFonts w:ascii="Times New Roman" w:hAnsi="Times New Roman" w:cs="Times New Roman"/>
          <w:sz w:val="28"/>
          <w:szCs w:val="28"/>
        </w:rPr>
        <w:t>еопределенность в вопросе ответственности исполнителей мероприятий Национального плана развития конкуренции за дости</w:t>
      </w:r>
      <w:r>
        <w:rPr>
          <w:rFonts w:ascii="Times New Roman" w:hAnsi="Times New Roman" w:cs="Times New Roman"/>
          <w:sz w:val="28"/>
          <w:szCs w:val="28"/>
        </w:rPr>
        <w:t xml:space="preserve">жение установленных показателей также </w:t>
      </w:r>
      <w:r w:rsidRPr="0017796A">
        <w:rPr>
          <w:rFonts w:ascii="Times New Roman" w:hAnsi="Times New Roman" w:cs="Times New Roman"/>
          <w:sz w:val="28"/>
          <w:szCs w:val="28"/>
        </w:rPr>
        <w:t xml:space="preserve">может </w:t>
      </w:r>
      <w:r>
        <w:rPr>
          <w:rFonts w:ascii="Times New Roman" w:hAnsi="Times New Roman" w:cs="Times New Roman"/>
          <w:sz w:val="28"/>
          <w:szCs w:val="28"/>
        </w:rPr>
        <w:t>э</w:t>
      </w:r>
      <w:r w:rsidRPr="0017796A">
        <w:rPr>
          <w:rFonts w:ascii="Times New Roman" w:hAnsi="Times New Roman" w:cs="Times New Roman"/>
          <w:sz w:val="28"/>
          <w:szCs w:val="28"/>
        </w:rPr>
        <w:t>тому способствовать</w:t>
      </w:r>
      <w:r>
        <w:rPr>
          <w:rFonts w:ascii="Times New Roman" w:hAnsi="Times New Roman" w:cs="Times New Roman"/>
          <w:sz w:val="28"/>
          <w:szCs w:val="28"/>
        </w:rPr>
        <w:t>.</w:t>
      </w:r>
      <w:r w:rsidRPr="0017796A">
        <w:rPr>
          <w:rFonts w:ascii="Times New Roman" w:hAnsi="Times New Roman" w:cs="Times New Roman"/>
          <w:sz w:val="28"/>
          <w:szCs w:val="28"/>
        </w:rPr>
        <w:t xml:space="preserve"> </w:t>
      </w:r>
    </w:p>
    <w:p w14:paraId="788E28A2" w14:textId="77777777" w:rsidR="00A47DF4" w:rsidRPr="0017796A"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Кроме того,</w:t>
      </w:r>
      <w:r w:rsidRPr="0017796A">
        <w:rPr>
          <w:rFonts w:ascii="Times New Roman" w:hAnsi="Times New Roman" w:cs="Times New Roman"/>
          <w:sz w:val="28"/>
          <w:szCs w:val="28"/>
        </w:rPr>
        <w:t xml:space="preserve"> </w:t>
      </w:r>
      <w:r>
        <w:rPr>
          <w:rFonts w:ascii="Times New Roman" w:hAnsi="Times New Roman" w:cs="Times New Roman"/>
          <w:sz w:val="28"/>
          <w:szCs w:val="28"/>
        </w:rPr>
        <w:t>мероприятия</w:t>
      </w:r>
      <w:r w:rsidRPr="0017796A">
        <w:rPr>
          <w:rFonts w:ascii="Times New Roman" w:hAnsi="Times New Roman" w:cs="Times New Roman"/>
          <w:sz w:val="28"/>
          <w:szCs w:val="28"/>
        </w:rPr>
        <w:t xml:space="preserve"> Национального плана развития конкуренции и Национальных проектов</w:t>
      </w:r>
      <w:r>
        <w:rPr>
          <w:rFonts w:ascii="Times New Roman" w:hAnsi="Times New Roman" w:cs="Times New Roman"/>
          <w:sz w:val="28"/>
          <w:szCs w:val="28"/>
        </w:rPr>
        <w:t xml:space="preserve"> имеют </w:t>
      </w:r>
      <w:r w:rsidRPr="0017796A">
        <w:rPr>
          <w:rFonts w:ascii="Times New Roman" w:hAnsi="Times New Roman" w:cs="Times New Roman"/>
          <w:sz w:val="28"/>
          <w:szCs w:val="28"/>
        </w:rPr>
        <w:t>разные сроки исполнения</w:t>
      </w:r>
      <w:r>
        <w:rPr>
          <w:rFonts w:ascii="Times New Roman" w:hAnsi="Times New Roman" w:cs="Times New Roman"/>
          <w:sz w:val="28"/>
          <w:szCs w:val="28"/>
        </w:rPr>
        <w:t xml:space="preserve"> </w:t>
      </w:r>
      <w:r w:rsidRPr="0017796A">
        <w:rPr>
          <w:rFonts w:ascii="Times New Roman" w:hAnsi="Times New Roman" w:cs="Times New Roman"/>
          <w:sz w:val="28"/>
          <w:szCs w:val="28"/>
        </w:rPr>
        <w:t>(до 2</w:t>
      </w:r>
      <w:r>
        <w:rPr>
          <w:rFonts w:ascii="Times New Roman" w:hAnsi="Times New Roman" w:cs="Times New Roman"/>
          <w:sz w:val="28"/>
          <w:szCs w:val="28"/>
        </w:rPr>
        <w:t>020 года и</w:t>
      </w:r>
      <w:r w:rsidRPr="00145050">
        <w:rPr>
          <w:rFonts w:ascii="Times New Roman" w:hAnsi="Times New Roman" w:cs="Times New Roman"/>
          <w:sz w:val="28"/>
          <w:szCs w:val="28"/>
        </w:rPr>
        <w:t xml:space="preserve"> </w:t>
      </w:r>
      <w:r w:rsidRPr="0017796A">
        <w:rPr>
          <w:rFonts w:ascii="Times New Roman" w:hAnsi="Times New Roman" w:cs="Times New Roman"/>
          <w:sz w:val="28"/>
          <w:szCs w:val="28"/>
        </w:rPr>
        <w:t>до 2024 года</w:t>
      </w:r>
      <w:r>
        <w:rPr>
          <w:rFonts w:ascii="Times New Roman" w:hAnsi="Times New Roman" w:cs="Times New Roman"/>
          <w:sz w:val="28"/>
          <w:szCs w:val="28"/>
        </w:rPr>
        <w:t xml:space="preserve"> соответственно</w:t>
      </w:r>
      <w:r w:rsidRPr="0017796A">
        <w:rPr>
          <w:rFonts w:ascii="Times New Roman" w:hAnsi="Times New Roman" w:cs="Times New Roman"/>
          <w:sz w:val="28"/>
          <w:szCs w:val="28"/>
        </w:rPr>
        <w:t>)</w:t>
      </w:r>
      <w:r>
        <w:rPr>
          <w:rFonts w:ascii="Times New Roman" w:hAnsi="Times New Roman" w:cs="Times New Roman"/>
          <w:sz w:val="28"/>
          <w:szCs w:val="28"/>
        </w:rPr>
        <w:t>.</w:t>
      </w:r>
    </w:p>
    <w:p w14:paraId="00B9C22C" w14:textId="77777777" w:rsidR="00A47DF4" w:rsidRDefault="00A47DF4" w:rsidP="00A47DF4">
      <w:pPr>
        <w:spacing w:after="0" w:line="240" w:lineRule="auto"/>
        <w:ind w:firstLine="851"/>
        <w:jc w:val="both"/>
        <w:rPr>
          <w:rFonts w:ascii="Times New Roman" w:hAnsi="Times New Roman" w:cs="Times New Roman"/>
          <w:sz w:val="28"/>
          <w:szCs w:val="28"/>
        </w:rPr>
      </w:pPr>
      <w:r w:rsidRPr="0017796A">
        <w:rPr>
          <w:rFonts w:ascii="Times New Roman" w:hAnsi="Times New Roman" w:cs="Times New Roman"/>
          <w:sz w:val="28"/>
          <w:szCs w:val="28"/>
        </w:rPr>
        <w:t>В результате под угрозой недостижения оказываются не только цели политики по развитию конкуренции, но и национальные цели и стратегические задачи развития Российской Федерации.</w:t>
      </w:r>
    </w:p>
    <w:p w14:paraId="715AB413" w14:textId="77777777" w:rsidR="00A47DF4" w:rsidRPr="00D02159"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связи с изложенным, п</w:t>
      </w:r>
      <w:r w:rsidRPr="00D02159">
        <w:rPr>
          <w:rFonts w:ascii="Times New Roman" w:hAnsi="Times New Roman" w:cs="Times New Roman"/>
          <w:sz w:val="28"/>
          <w:szCs w:val="28"/>
        </w:rPr>
        <w:t>ри реализации каждого национального проекта необходимо предусмотреть следующее:</w:t>
      </w:r>
    </w:p>
    <w:p w14:paraId="3FBB2F8B" w14:textId="02427CA6" w:rsidR="00A47DF4" w:rsidRPr="00D02159" w:rsidRDefault="00A47DF4" w:rsidP="00A47DF4">
      <w:pPr>
        <w:spacing w:after="0" w:line="240" w:lineRule="auto"/>
        <w:ind w:firstLine="851"/>
        <w:jc w:val="both"/>
        <w:rPr>
          <w:rFonts w:ascii="Times New Roman" w:hAnsi="Times New Roman" w:cs="Times New Roman"/>
          <w:sz w:val="28"/>
          <w:szCs w:val="28"/>
        </w:rPr>
      </w:pPr>
      <w:r w:rsidRPr="00D02159">
        <w:rPr>
          <w:rFonts w:ascii="Times New Roman" w:hAnsi="Times New Roman" w:cs="Times New Roman"/>
          <w:sz w:val="28"/>
          <w:szCs w:val="28"/>
        </w:rPr>
        <w:t xml:space="preserve"> </w:t>
      </w:r>
      <w:r>
        <w:rPr>
          <w:rFonts w:ascii="Times New Roman" w:hAnsi="Times New Roman" w:cs="Times New Roman"/>
          <w:sz w:val="28"/>
          <w:szCs w:val="28"/>
        </w:rPr>
        <w:t>- о</w:t>
      </w:r>
      <w:r w:rsidRPr="00D02159">
        <w:rPr>
          <w:rFonts w:ascii="Times New Roman" w:hAnsi="Times New Roman" w:cs="Times New Roman"/>
          <w:sz w:val="28"/>
          <w:szCs w:val="28"/>
        </w:rPr>
        <w:t>пределение дополнительных целевых показателей национальных проектов, учитыв</w:t>
      </w:r>
      <w:r w:rsidR="0000731E">
        <w:rPr>
          <w:rFonts w:ascii="Times New Roman" w:hAnsi="Times New Roman" w:cs="Times New Roman"/>
          <w:sz w:val="28"/>
          <w:szCs w:val="28"/>
        </w:rPr>
        <w:t>ающих цели развития конкуренции;</w:t>
      </w:r>
    </w:p>
    <w:p w14:paraId="0B1BC96E" w14:textId="6BDB47E5" w:rsidR="00A47DF4" w:rsidRPr="00D02159"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п</w:t>
      </w:r>
      <w:r w:rsidRPr="00D02159">
        <w:rPr>
          <w:rFonts w:ascii="Times New Roman" w:hAnsi="Times New Roman" w:cs="Times New Roman"/>
          <w:sz w:val="28"/>
          <w:szCs w:val="28"/>
        </w:rPr>
        <w:t>ланирование значений целевых показателей национальных проектов, учитывающих цели развития конкуренции, по годам реализации</w:t>
      </w:r>
      <w:r w:rsidR="0000731E">
        <w:rPr>
          <w:rFonts w:ascii="Times New Roman" w:hAnsi="Times New Roman" w:cs="Times New Roman"/>
          <w:sz w:val="28"/>
          <w:szCs w:val="28"/>
        </w:rPr>
        <w:t>;</w:t>
      </w:r>
    </w:p>
    <w:p w14:paraId="440B43F2" w14:textId="0D583B79" w:rsidR="00A47DF4" w:rsidRPr="00D02159"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w:t>
      </w:r>
      <w:r w:rsidRPr="00D02159">
        <w:rPr>
          <w:rFonts w:ascii="Times New Roman" w:hAnsi="Times New Roman" w:cs="Times New Roman"/>
          <w:sz w:val="28"/>
          <w:szCs w:val="28"/>
        </w:rPr>
        <w:t>ланирование мероприятий национального проекта, учитывающих цели развития конкуренции</w:t>
      </w:r>
      <w:r w:rsidR="0000731E">
        <w:rPr>
          <w:rFonts w:ascii="Times New Roman" w:hAnsi="Times New Roman" w:cs="Times New Roman"/>
          <w:sz w:val="28"/>
          <w:szCs w:val="28"/>
        </w:rPr>
        <w:t>;</w:t>
      </w:r>
    </w:p>
    <w:p w14:paraId="7F3A8396" w14:textId="77777777" w:rsidR="00A47DF4" w:rsidRPr="00D02159"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в</w:t>
      </w:r>
      <w:r w:rsidRPr="00D02159">
        <w:rPr>
          <w:rFonts w:ascii="Times New Roman" w:hAnsi="Times New Roman" w:cs="Times New Roman"/>
          <w:sz w:val="28"/>
          <w:szCs w:val="28"/>
        </w:rPr>
        <w:t>ключение в региональные проекты субъектов Российской Федерации, направленные на реализацию национальных проектов, соответствующих целей и показателей, которые учитывают цели развития конкуренции.</w:t>
      </w:r>
    </w:p>
    <w:p w14:paraId="02D7082F" w14:textId="77777777" w:rsidR="00A47DF4" w:rsidRPr="00D02159"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о</w:t>
      </w:r>
      <w:r w:rsidRPr="00D02159">
        <w:rPr>
          <w:rFonts w:ascii="Times New Roman" w:hAnsi="Times New Roman" w:cs="Times New Roman"/>
          <w:sz w:val="28"/>
          <w:szCs w:val="28"/>
        </w:rPr>
        <w:t>пределение персональной ответственности за достижение целей, целевых показателей, выполнение мероприятий национального проекта, учитывающих цели развития конкуренции.</w:t>
      </w:r>
    </w:p>
    <w:p w14:paraId="0E619BC3" w14:textId="77777777" w:rsidR="00A47DF4" w:rsidRPr="00D02159"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Кроме того, необходимо п</w:t>
      </w:r>
      <w:r w:rsidRPr="00D02159">
        <w:rPr>
          <w:rFonts w:ascii="Times New Roman" w:hAnsi="Times New Roman" w:cs="Times New Roman"/>
          <w:sz w:val="28"/>
          <w:szCs w:val="28"/>
        </w:rPr>
        <w:t>редусмотреть возможность координации действий по достижению целей, целевых показателей, выполнению мероприятий национальных проектов, учитывающих цели развития конкуренции, руководителей и администраторов национальных проектов, региональных проектных офисов, координирующих реализацию национальных проектов в субъектах Российской Федерации, с ФАС России.</w:t>
      </w:r>
    </w:p>
    <w:p w14:paraId="51A15385" w14:textId="77777777" w:rsidR="00A47DF4" w:rsidRDefault="00A47DF4" w:rsidP="00A47D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Также для обеспечения интеграции мероприятий Национального плана по развитию конкуренции необходимо в</w:t>
      </w:r>
      <w:r w:rsidRPr="00D02159">
        <w:rPr>
          <w:rFonts w:ascii="Times New Roman" w:hAnsi="Times New Roman" w:cs="Times New Roman"/>
          <w:sz w:val="28"/>
          <w:szCs w:val="28"/>
        </w:rPr>
        <w:t>ключ</w:t>
      </w:r>
      <w:r>
        <w:rPr>
          <w:rFonts w:ascii="Times New Roman" w:hAnsi="Times New Roman" w:cs="Times New Roman"/>
          <w:sz w:val="28"/>
          <w:szCs w:val="28"/>
        </w:rPr>
        <w:t>ить</w:t>
      </w:r>
      <w:r w:rsidRPr="00D02159">
        <w:rPr>
          <w:rFonts w:ascii="Times New Roman" w:hAnsi="Times New Roman" w:cs="Times New Roman"/>
          <w:sz w:val="28"/>
          <w:szCs w:val="28"/>
        </w:rPr>
        <w:t xml:space="preserve">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350DF154" w14:textId="77777777" w:rsidR="00A47DF4" w:rsidRPr="00B3397E" w:rsidRDefault="00A47DF4" w:rsidP="00A47DF4">
      <w:pPr>
        <w:spacing w:after="0" w:line="240" w:lineRule="auto"/>
        <w:ind w:firstLine="851"/>
        <w:jc w:val="both"/>
        <w:rPr>
          <w:rFonts w:ascii="Times New Roman" w:hAnsi="Times New Roman" w:cs="Times New Roman"/>
          <w:sz w:val="28"/>
          <w:szCs w:val="28"/>
        </w:rPr>
      </w:pPr>
      <w:r w:rsidRPr="00B3397E">
        <w:rPr>
          <w:rFonts w:ascii="Times New Roman" w:hAnsi="Times New Roman" w:cs="Times New Roman"/>
          <w:sz w:val="28"/>
          <w:szCs w:val="28"/>
        </w:rPr>
        <w:t>Конкурентная политика и совершенствование антимонопольного законодательства должны учитывать обозначенные социально–экономические тенденции и быть ориентированы на достижение национальных целей развития, закрепленных в Указе Президента Российской Федерации от 07.05.2018 № 204.</w:t>
      </w:r>
    </w:p>
    <w:p w14:paraId="72EFFF73" w14:textId="0CEE4AA8" w:rsidR="00A47DF4" w:rsidRDefault="00A47DF4" w:rsidP="00A47DF4">
      <w:pPr>
        <w:spacing w:after="0" w:line="240" w:lineRule="auto"/>
        <w:ind w:firstLine="851"/>
        <w:jc w:val="both"/>
        <w:rPr>
          <w:rFonts w:ascii="Times New Roman" w:hAnsi="Times New Roman" w:cs="Times New Roman"/>
          <w:sz w:val="28"/>
          <w:szCs w:val="28"/>
        </w:rPr>
      </w:pPr>
      <w:r w:rsidRPr="00B3397E">
        <w:rPr>
          <w:rFonts w:ascii="Times New Roman" w:hAnsi="Times New Roman" w:cs="Times New Roman"/>
          <w:sz w:val="28"/>
          <w:szCs w:val="28"/>
        </w:rPr>
        <w:t>В основу эффективной реализации 12 национальных проектов и комплексного плана модернизации и расширения магистральной инфраструктуры должны быть заложены основные принципы, определенные в Указе Президента Российской Федерации № 618.</w:t>
      </w:r>
    </w:p>
    <w:p w14:paraId="7C27DA1B" w14:textId="77777777" w:rsidR="00A47DF4" w:rsidRDefault="00A47DF4" w:rsidP="00A47DF4">
      <w:pPr>
        <w:spacing w:after="0" w:line="240" w:lineRule="auto"/>
        <w:ind w:firstLine="851"/>
        <w:jc w:val="both"/>
        <w:rPr>
          <w:rFonts w:ascii="Times New Roman" w:hAnsi="Times New Roman" w:cs="Times New Roman"/>
          <w:sz w:val="28"/>
          <w:szCs w:val="28"/>
        </w:rPr>
      </w:pPr>
    </w:p>
    <w:p w14:paraId="02823983" w14:textId="77777777" w:rsidR="00883C8E" w:rsidRDefault="00883C8E" w:rsidP="00883C8E">
      <w:pPr>
        <w:autoSpaceDE w:val="0"/>
        <w:autoSpaceDN w:val="0"/>
        <w:adjustRightInd w:val="0"/>
        <w:spacing w:after="0" w:line="360" w:lineRule="auto"/>
        <w:jc w:val="both"/>
        <w:rPr>
          <w:rFonts w:ascii="Times New Roman" w:hAnsi="Times New Roman" w:cs="Times New Roman"/>
          <w:b/>
        </w:rPr>
      </w:pPr>
    </w:p>
    <w:p w14:paraId="1659FCF6" w14:textId="77777777" w:rsidR="00575869" w:rsidRDefault="00575869" w:rsidP="00883C8E">
      <w:pPr>
        <w:autoSpaceDE w:val="0"/>
        <w:autoSpaceDN w:val="0"/>
        <w:adjustRightInd w:val="0"/>
        <w:spacing w:after="0" w:line="360" w:lineRule="auto"/>
        <w:jc w:val="both"/>
        <w:rPr>
          <w:rFonts w:ascii="Times New Roman" w:hAnsi="Times New Roman" w:cs="Times New Roman"/>
          <w:b/>
        </w:rPr>
      </w:pPr>
    </w:p>
    <w:p w14:paraId="154A3559" w14:textId="2CB2BD43" w:rsidR="00116032" w:rsidRDefault="00116032">
      <w:pPr>
        <w:rPr>
          <w:rFonts w:ascii="Times New Roman" w:hAnsi="Times New Roman" w:cs="Times New Roman"/>
          <w:b/>
        </w:rPr>
      </w:pPr>
      <w:r>
        <w:rPr>
          <w:rFonts w:ascii="Times New Roman" w:hAnsi="Times New Roman" w:cs="Times New Roman"/>
          <w:b/>
        </w:rPr>
        <w:br w:type="page"/>
      </w:r>
    </w:p>
    <w:p w14:paraId="50B5C2CF" w14:textId="5FE8A9F2" w:rsidR="00883C8E" w:rsidRDefault="00883C8E" w:rsidP="00F6030C">
      <w:pPr>
        <w:pStyle w:val="1"/>
        <w:numPr>
          <w:ilvl w:val="0"/>
          <w:numId w:val="62"/>
        </w:numPr>
      </w:pPr>
      <w:bookmarkStart w:id="237" w:name="_Toc7447960"/>
      <w:r w:rsidRPr="00FD751F">
        <w:t>ОСНОВНЫЕ ПРОБЛЕМЫ, ТЕНДЕНЦИИ И ПРЕДЛОЖЕНИЯ ПО РАЗВИТИЮ КОНКУРЕНЦИИ В ОТДЕЛЬНЫХ ОТРАСЛЯХ</w:t>
      </w:r>
      <w:bookmarkEnd w:id="237"/>
      <w:r w:rsidRPr="00FD751F">
        <w:t xml:space="preserve"> </w:t>
      </w:r>
    </w:p>
    <w:p w14:paraId="4B665687" w14:textId="77777777" w:rsidR="009C397F" w:rsidRPr="000A3817" w:rsidRDefault="009C397F" w:rsidP="000A3817">
      <w:pPr>
        <w:keepNext/>
        <w:keepLines/>
        <w:spacing w:before="40" w:after="0"/>
        <w:outlineLvl w:val="1"/>
        <w:rPr>
          <w:rFonts w:ascii="Times New Roman" w:eastAsiaTheme="majorEastAsia" w:hAnsi="Times New Roman" w:cs="Times New Roman"/>
          <w:b/>
          <w:vanish/>
          <w:sz w:val="28"/>
          <w:szCs w:val="26"/>
        </w:rPr>
      </w:pPr>
      <w:bookmarkStart w:id="238" w:name="_Toc1061878"/>
      <w:bookmarkStart w:id="239" w:name="_Toc1061994"/>
      <w:bookmarkStart w:id="240" w:name="_Toc1062116"/>
      <w:bookmarkStart w:id="241" w:name="_Toc1062229"/>
      <w:bookmarkStart w:id="242" w:name="_Toc2589725"/>
      <w:bookmarkStart w:id="243" w:name="_Toc2589858"/>
      <w:bookmarkStart w:id="244" w:name="_Toc2589997"/>
      <w:bookmarkStart w:id="245" w:name="_Toc3393191"/>
      <w:bookmarkStart w:id="246" w:name="_Toc3399200"/>
      <w:bookmarkStart w:id="247" w:name="_Toc3399350"/>
      <w:bookmarkStart w:id="248" w:name="_Toc3399495"/>
      <w:bookmarkStart w:id="249" w:name="_Toc3399687"/>
      <w:bookmarkStart w:id="250" w:name="_Toc3399831"/>
      <w:bookmarkStart w:id="251" w:name="_Toc3399975"/>
      <w:bookmarkStart w:id="252" w:name="_Toc3400294"/>
      <w:bookmarkStart w:id="253" w:name="_Toc3400419"/>
      <w:bookmarkStart w:id="254" w:name="_Toc3400539"/>
      <w:bookmarkStart w:id="255" w:name="_Toc3557013"/>
      <w:bookmarkStart w:id="256" w:name="_Toc3559218"/>
      <w:bookmarkStart w:id="257" w:name="_Toc3914430"/>
      <w:bookmarkStart w:id="258" w:name="_Toc3914552"/>
      <w:bookmarkStart w:id="259" w:name="_Toc3915538"/>
      <w:bookmarkStart w:id="260" w:name="_Toc3916145"/>
      <w:bookmarkStart w:id="261" w:name="_Toc3917055"/>
      <w:bookmarkStart w:id="262" w:name="_Toc3917705"/>
      <w:bookmarkStart w:id="263" w:name="_Toc3988461"/>
      <w:bookmarkStart w:id="264" w:name="_Toc3989470"/>
      <w:bookmarkStart w:id="265" w:name="_Toc3990114"/>
      <w:bookmarkStart w:id="266" w:name="_Toc3991690"/>
      <w:bookmarkStart w:id="267" w:name="_Toc3992595"/>
      <w:bookmarkStart w:id="268" w:name="_Toc4000362"/>
      <w:bookmarkStart w:id="269" w:name="_Toc4426359"/>
      <w:bookmarkStart w:id="270" w:name="_Toc4426488"/>
      <w:bookmarkStart w:id="271" w:name="_Toc4426673"/>
      <w:bookmarkStart w:id="272" w:name="_Toc4426802"/>
      <w:bookmarkStart w:id="273" w:name="_Toc4428400"/>
      <w:bookmarkStart w:id="274" w:name="_Toc4429831"/>
      <w:bookmarkStart w:id="275" w:name="_Toc4429960"/>
      <w:bookmarkStart w:id="276" w:name="_Toc4430086"/>
      <w:bookmarkStart w:id="277" w:name="_Toc4430211"/>
      <w:bookmarkStart w:id="278" w:name="_Toc4430334"/>
      <w:bookmarkStart w:id="279" w:name="_Toc4430456"/>
      <w:bookmarkStart w:id="280" w:name="_Toc4430577"/>
      <w:bookmarkStart w:id="281" w:name="_Toc4431373"/>
      <w:bookmarkStart w:id="282" w:name="_Toc4431492"/>
      <w:bookmarkStart w:id="283" w:name="_Toc4431613"/>
      <w:bookmarkStart w:id="284" w:name="_Toc4431734"/>
      <w:bookmarkStart w:id="285" w:name="_Toc4433433"/>
      <w:bookmarkStart w:id="286" w:name="_Toc4433695"/>
      <w:bookmarkStart w:id="287" w:name="_Toc4433816"/>
      <w:bookmarkStart w:id="288" w:name="_Toc4434364"/>
      <w:bookmarkStart w:id="289" w:name="_Toc4436209"/>
      <w:bookmarkStart w:id="290" w:name="_Toc4436331"/>
      <w:bookmarkStart w:id="291" w:name="_Toc4436452"/>
      <w:bookmarkStart w:id="292" w:name="_Toc4436720"/>
      <w:bookmarkStart w:id="293" w:name="_Toc4436888"/>
      <w:bookmarkStart w:id="294" w:name="_Toc4437114"/>
      <w:bookmarkStart w:id="295" w:name="_Toc4437349"/>
      <w:bookmarkStart w:id="296" w:name="_Toc4438111"/>
      <w:bookmarkStart w:id="297" w:name="_Toc4438356"/>
      <w:bookmarkStart w:id="298" w:name="_Toc4438475"/>
      <w:bookmarkStart w:id="299" w:name="_Toc4438594"/>
      <w:bookmarkStart w:id="300" w:name="_Toc4491347"/>
      <w:bookmarkStart w:id="301" w:name="_Toc4492908"/>
      <w:bookmarkStart w:id="302" w:name="_Toc4588539"/>
      <w:bookmarkStart w:id="303" w:name="_Toc4592892"/>
      <w:bookmarkStart w:id="304" w:name="_Toc4593017"/>
      <w:bookmarkStart w:id="305" w:name="_Toc4596191"/>
      <w:bookmarkStart w:id="306" w:name="_Toc4596307"/>
      <w:bookmarkStart w:id="307" w:name="_Toc4601177"/>
      <w:bookmarkStart w:id="308" w:name="_Toc4601464"/>
      <w:bookmarkStart w:id="309" w:name="_Toc4604042"/>
      <w:bookmarkStart w:id="310" w:name="_Toc4604157"/>
      <w:bookmarkStart w:id="311" w:name="_Toc4605287"/>
      <w:bookmarkStart w:id="312" w:name="_Toc4660176"/>
      <w:bookmarkStart w:id="313" w:name="_Toc4660291"/>
      <w:bookmarkStart w:id="314" w:name="_Toc4683279"/>
      <w:bookmarkStart w:id="315" w:name="_Toc4683395"/>
      <w:bookmarkStart w:id="316" w:name="_Toc4684384"/>
      <w:bookmarkStart w:id="317" w:name="_Toc1061879"/>
      <w:bookmarkStart w:id="318" w:name="_Toc1061995"/>
      <w:bookmarkStart w:id="319" w:name="_Toc1062117"/>
      <w:bookmarkStart w:id="320" w:name="_Toc1062230"/>
      <w:bookmarkStart w:id="321" w:name="_Toc2589726"/>
      <w:bookmarkStart w:id="322" w:name="_Toc2589859"/>
      <w:bookmarkStart w:id="323" w:name="_Toc2589998"/>
      <w:bookmarkStart w:id="324" w:name="_Toc3393192"/>
      <w:bookmarkStart w:id="325" w:name="_Toc3399201"/>
      <w:bookmarkStart w:id="326" w:name="_Toc3399351"/>
      <w:bookmarkStart w:id="327" w:name="_Toc3399496"/>
      <w:bookmarkStart w:id="328" w:name="_Toc3399688"/>
      <w:bookmarkStart w:id="329" w:name="_Toc3399832"/>
      <w:bookmarkStart w:id="330" w:name="_Toc3399976"/>
      <w:bookmarkStart w:id="331" w:name="_Toc3400295"/>
      <w:bookmarkStart w:id="332" w:name="_Toc3400420"/>
      <w:bookmarkStart w:id="333" w:name="_Toc3400540"/>
      <w:bookmarkStart w:id="334" w:name="_Toc3557014"/>
      <w:bookmarkStart w:id="335" w:name="_Toc3559219"/>
      <w:bookmarkStart w:id="336" w:name="_Toc3914431"/>
      <w:bookmarkStart w:id="337" w:name="_Toc3914553"/>
      <w:bookmarkStart w:id="338" w:name="_Toc3915539"/>
      <w:bookmarkStart w:id="339" w:name="_Toc3916146"/>
      <w:bookmarkStart w:id="340" w:name="_Toc3917056"/>
      <w:bookmarkStart w:id="341" w:name="_Toc3917706"/>
      <w:bookmarkStart w:id="342" w:name="_Toc3988462"/>
      <w:bookmarkStart w:id="343" w:name="_Toc3989471"/>
      <w:bookmarkStart w:id="344" w:name="_Toc3990115"/>
      <w:bookmarkStart w:id="345" w:name="_Toc3991691"/>
      <w:bookmarkStart w:id="346" w:name="_Toc3992596"/>
      <w:bookmarkStart w:id="347" w:name="_Toc4000363"/>
      <w:bookmarkStart w:id="348" w:name="_Toc4426360"/>
      <w:bookmarkStart w:id="349" w:name="_Toc4426489"/>
      <w:bookmarkStart w:id="350" w:name="_Toc4426674"/>
      <w:bookmarkStart w:id="351" w:name="_Toc4426803"/>
      <w:bookmarkStart w:id="352" w:name="_Toc4428401"/>
      <w:bookmarkStart w:id="353" w:name="_Toc4429832"/>
      <w:bookmarkStart w:id="354" w:name="_Toc4429961"/>
      <w:bookmarkStart w:id="355" w:name="_Toc4430087"/>
      <w:bookmarkStart w:id="356" w:name="_Toc4430212"/>
      <w:bookmarkStart w:id="357" w:name="_Toc4430335"/>
      <w:bookmarkStart w:id="358" w:name="_Toc4430457"/>
      <w:bookmarkStart w:id="359" w:name="_Toc4430578"/>
      <w:bookmarkStart w:id="360" w:name="_Toc4431374"/>
      <w:bookmarkStart w:id="361" w:name="_Toc4431493"/>
      <w:bookmarkStart w:id="362" w:name="_Toc4431614"/>
      <w:bookmarkStart w:id="363" w:name="_Toc4431735"/>
      <w:bookmarkStart w:id="364" w:name="_Toc4433434"/>
      <w:bookmarkStart w:id="365" w:name="_Toc4433696"/>
      <w:bookmarkStart w:id="366" w:name="_Toc4433817"/>
      <w:bookmarkStart w:id="367" w:name="_Toc4434365"/>
      <w:bookmarkStart w:id="368" w:name="_Toc4436210"/>
      <w:bookmarkStart w:id="369" w:name="_Toc4436332"/>
      <w:bookmarkStart w:id="370" w:name="_Toc4436453"/>
      <w:bookmarkStart w:id="371" w:name="_Toc4436721"/>
      <w:bookmarkStart w:id="372" w:name="_Toc4436889"/>
      <w:bookmarkStart w:id="373" w:name="_Toc4437115"/>
      <w:bookmarkStart w:id="374" w:name="_Toc4437350"/>
      <w:bookmarkStart w:id="375" w:name="_Toc4438112"/>
      <w:bookmarkStart w:id="376" w:name="_Toc4438357"/>
      <w:bookmarkStart w:id="377" w:name="_Toc4438476"/>
      <w:bookmarkStart w:id="378" w:name="_Toc4438595"/>
      <w:bookmarkStart w:id="379" w:name="_Toc4491348"/>
      <w:bookmarkStart w:id="380" w:name="_Toc4492909"/>
      <w:bookmarkStart w:id="381" w:name="_Toc4588540"/>
      <w:bookmarkStart w:id="382" w:name="_Toc4592893"/>
      <w:bookmarkStart w:id="383" w:name="_Toc4593018"/>
      <w:bookmarkStart w:id="384" w:name="_Toc4596192"/>
      <w:bookmarkStart w:id="385" w:name="_Toc4596308"/>
      <w:bookmarkStart w:id="386" w:name="_Toc4601178"/>
      <w:bookmarkStart w:id="387" w:name="_Toc4601465"/>
      <w:bookmarkStart w:id="388" w:name="_Toc4604043"/>
      <w:bookmarkStart w:id="389" w:name="_Toc4604158"/>
      <w:bookmarkStart w:id="390" w:name="_Toc4605288"/>
      <w:bookmarkStart w:id="391" w:name="_Toc4660177"/>
      <w:bookmarkStart w:id="392" w:name="_Toc4660292"/>
      <w:bookmarkStart w:id="393" w:name="_Toc4683280"/>
      <w:bookmarkStart w:id="394" w:name="_Toc4683396"/>
      <w:bookmarkStart w:id="395" w:name="_Toc4684385"/>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3765D7D2" w14:textId="77777777" w:rsidR="00E61748" w:rsidRPr="00E61748" w:rsidRDefault="00E61748" w:rsidP="00F6030C">
      <w:pPr>
        <w:pStyle w:val="a5"/>
        <w:keepNext/>
        <w:keepLines/>
        <w:numPr>
          <w:ilvl w:val="0"/>
          <w:numId w:val="59"/>
        </w:numPr>
        <w:spacing w:after="0"/>
        <w:contextualSpacing w:val="0"/>
        <w:jc w:val="both"/>
        <w:outlineLvl w:val="1"/>
        <w:rPr>
          <w:rFonts w:ascii="Times New Roman" w:eastAsia="Times New Roman" w:hAnsi="Times New Roman" w:cs="Times New Roman"/>
          <w:b/>
          <w:vanish/>
          <w:sz w:val="28"/>
          <w:szCs w:val="28"/>
          <w:lang w:eastAsia="ru-RU"/>
        </w:rPr>
      </w:pPr>
      <w:bookmarkStart w:id="396" w:name="_Toc7189764"/>
      <w:bookmarkStart w:id="397" w:name="_Toc7189994"/>
      <w:bookmarkStart w:id="398" w:name="_Toc7190348"/>
      <w:bookmarkStart w:id="399" w:name="_Toc7190797"/>
      <w:bookmarkStart w:id="400" w:name="_Toc7191531"/>
      <w:bookmarkStart w:id="401" w:name="_Toc7447156"/>
      <w:bookmarkStart w:id="402" w:name="_Toc7447961"/>
      <w:bookmarkEnd w:id="396"/>
      <w:bookmarkEnd w:id="397"/>
      <w:bookmarkEnd w:id="398"/>
      <w:bookmarkEnd w:id="399"/>
      <w:bookmarkEnd w:id="400"/>
      <w:bookmarkEnd w:id="401"/>
      <w:bookmarkEnd w:id="402"/>
    </w:p>
    <w:p w14:paraId="30124E63" w14:textId="2DF1FC39" w:rsidR="00F11D4C" w:rsidRDefault="00883C8E" w:rsidP="00EF64DA">
      <w:pPr>
        <w:pStyle w:val="2"/>
      </w:pPr>
      <w:bookmarkStart w:id="403" w:name="_Toc7447962"/>
      <w:r w:rsidRPr="00FD751F">
        <w:t>В сфере здравоохранения</w:t>
      </w:r>
      <w:bookmarkStart w:id="404" w:name="_Toc1061881"/>
      <w:bookmarkStart w:id="405" w:name="_Toc1061997"/>
      <w:bookmarkStart w:id="406" w:name="_Toc1062119"/>
      <w:bookmarkStart w:id="407" w:name="_Toc1062232"/>
      <w:bookmarkStart w:id="408" w:name="_Toc2589728"/>
      <w:bookmarkStart w:id="409" w:name="_Toc2589861"/>
      <w:bookmarkStart w:id="410" w:name="_Toc2590000"/>
      <w:bookmarkStart w:id="411" w:name="_Toc3393194"/>
      <w:bookmarkStart w:id="412" w:name="_Toc3399203"/>
      <w:bookmarkStart w:id="413" w:name="_Toc3399353"/>
      <w:bookmarkStart w:id="414" w:name="_Toc3399498"/>
      <w:bookmarkStart w:id="415" w:name="_Toc3399690"/>
      <w:bookmarkStart w:id="416" w:name="_Toc3399834"/>
      <w:bookmarkStart w:id="417" w:name="_Toc3399978"/>
      <w:bookmarkStart w:id="418" w:name="_Toc3400297"/>
      <w:bookmarkStart w:id="419" w:name="_Toc3400422"/>
      <w:bookmarkStart w:id="420" w:name="_Toc3400542"/>
      <w:bookmarkStart w:id="421" w:name="_Toc3557016"/>
      <w:bookmarkStart w:id="422" w:name="_Toc3559221"/>
      <w:bookmarkStart w:id="423" w:name="_Toc3914433"/>
      <w:bookmarkStart w:id="424" w:name="_Toc3914555"/>
      <w:bookmarkStart w:id="425" w:name="_Toc3915541"/>
      <w:bookmarkStart w:id="426" w:name="_Toc3916148"/>
      <w:bookmarkStart w:id="427" w:name="_Toc3917058"/>
      <w:bookmarkStart w:id="428" w:name="_Toc3917708"/>
      <w:bookmarkStart w:id="429" w:name="_Toc3988464"/>
      <w:bookmarkStart w:id="430" w:name="_Toc3989473"/>
      <w:bookmarkStart w:id="431" w:name="_Toc3990117"/>
      <w:bookmarkStart w:id="432" w:name="_Toc3991693"/>
      <w:bookmarkStart w:id="433" w:name="_Toc3992598"/>
      <w:bookmarkStart w:id="434" w:name="_Toc4000365"/>
      <w:bookmarkStart w:id="435" w:name="_Toc4426362"/>
      <w:bookmarkStart w:id="436" w:name="_Toc4426491"/>
      <w:bookmarkStart w:id="437" w:name="_Toc4426676"/>
      <w:bookmarkStart w:id="438" w:name="_Toc4426805"/>
      <w:bookmarkStart w:id="439" w:name="_Toc4428403"/>
      <w:bookmarkStart w:id="440" w:name="_Toc4429834"/>
      <w:bookmarkStart w:id="441" w:name="_Toc4429963"/>
      <w:bookmarkStart w:id="442" w:name="_Toc4430089"/>
      <w:bookmarkStart w:id="443" w:name="_Toc4430214"/>
      <w:bookmarkStart w:id="444" w:name="_Toc4430337"/>
      <w:bookmarkStart w:id="445" w:name="_Toc4430459"/>
      <w:bookmarkStart w:id="446" w:name="_Toc4430580"/>
      <w:bookmarkStart w:id="447" w:name="_Toc4431376"/>
      <w:bookmarkStart w:id="448" w:name="_Toc4431495"/>
      <w:bookmarkStart w:id="449" w:name="_Toc4431616"/>
      <w:bookmarkStart w:id="450" w:name="_Toc4431737"/>
      <w:bookmarkStart w:id="451" w:name="_Toc4433436"/>
      <w:bookmarkStart w:id="452" w:name="_Toc4433698"/>
      <w:bookmarkStart w:id="453" w:name="_Toc4433819"/>
      <w:bookmarkStart w:id="454" w:name="_Toc4434367"/>
      <w:bookmarkStart w:id="455" w:name="_Toc4436212"/>
      <w:bookmarkStart w:id="456" w:name="_Toc4436334"/>
      <w:bookmarkStart w:id="457" w:name="_Toc4436455"/>
      <w:bookmarkStart w:id="458" w:name="_Toc4436723"/>
      <w:bookmarkStart w:id="459" w:name="_Toc4436891"/>
      <w:bookmarkStart w:id="460" w:name="_Toc4437117"/>
      <w:bookmarkStart w:id="461" w:name="_Toc4437352"/>
      <w:bookmarkStart w:id="462" w:name="_Toc4438114"/>
      <w:bookmarkStart w:id="463" w:name="_Toc4438359"/>
      <w:bookmarkStart w:id="464" w:name="_Toc4438478"/>
      <w:bookmarkStart w:id="465" w:name="_Toc4438597"/>
      <w:bookmarkStart w:id="466" w:name="_Toc4491350"/>
      <w:bookmarkStart w:id="467" w:name="_Toc4492911"/>
      <w:bookmarkStart w:id="468" w:name="_Toc4588542"/>
      <w:bookmarkStart w:id="469" w:name="_Toc4592895"/>
      <w:bookmarkStart w:id="470" w:name="_Toc4593020"/>
      <w:bookmarkStart w:id="471" w:name="_Toc4596194"/>
      <w:bookmarkStart w:id="472" w:name="_Toc4596310"/>
      <w:bookmarkStart w:id="473" w:name="_Toc4601180"/>
      <w:bookmarkStart w:id="474" w:name="_Toc4601467"/>
      <w:bookmarkStart w:id="475" w:name="_Toc4604045"/>
      <w:bookmarkStart w:id="476" w:name="_Toc4604160"/>
      <w:bookmarkStart w:id="477" w:name="_Toc4605290"/>
      <w:bookmarkStart w:id="478" w:name="_Toc4660179"/>
      <w:bookmarkStart w:id="479" w:name="_Toc4660294"/>
      <w:bookmarkStart w:id="480" w:name="_Toc4683282"/>
      <w:bookmarkStart w:id="481" w:name="_Toc4683398"/>
      <w:bookmarkStart w:id="482" w:name="_Toc4684387"/>
      <w:bookmarkStart w:id="483" w:name="_Toc1061882"/>
      <w:bookmarkStart w:id="484" w:name="_Toc1061998"/>
      <w:bookmarkStart w:id="485" w:name="_Toc1062120"/>
      <w:bookmarkStart w:id="486" w:name="_Toc1062233"/>
      <w:bookmarkStart w:id="487" w:name="_Toc2589729"/>
      <w:bookmarkStart w:id="488" w:name="_Toc2589862"/>
      <w:bookmarkStart w:id="489" w:name="_Toc2590001"/>
      <w:bookmarkStart w:id="490" w:name="_Toc3393195"/>
      <w:bookmarkStart w:id="491" w:name="_Toc3399204"/>
      <w:bookmarkStart w:id="492" w:name="_Toc3399354"/>
      <w:bookmarkStart w:id="493" w:name="_Toc3399499"/>
      <w:bookmarkStart w:id="494" w:name="_Toc3399691"/>
      <w:bookmarkStart w:id="495" w:name="_Toc3399835"/>
      <w:bookmarkStart w:id="496" w:name="_Toc3399979"/>
      <w:bookmarkStart w:id="497" w:name="_Toc3400298"/>
      <w:bookmarkStart w:id="498" w:name="_Toc3400423"/>
      <w:bookmarkStart w:id="499" w:name="_Toc3400543"/>
      <w:bookmarkStart w:id="500" w:name="_Toc3557017"/>
      <w:bookmarkStart w:id="501" w:name="_Toc3559222"/>
      <w:bookmarkStart w:id="502" w:name="_Toc3914434"/>
      <w:bookmarkStart w:id="503" w:name="_Toc3914556"/>
      <w:bookmarkStart w:id="504" w:name="_Toc3915542"/>
      <w:bookmarkStart w:id="505" w:name="_Toc3916149"/>
      <w:bookmarkStart w:id="506" w:name="_Toc3917059"/>
      <w:bookmarkStart w:id="507" w:name="_Toc3917709"/>
      <w:bookmarkStart w:id="508" w:name="_Toc3988465"/>
      <w:bookmarkStart w:id="509" w:name="_Toc3989474"/>
      <w:bookmarkStart w:id="510" w:name="_Toc3990118"/>
      <w:bookmarkStart w:id="511" w:name="_Toc3991694"/>
      <w:bookmarkStart w:id="512" w:name="_Toc3992599"/>
      <w:bookmarkStart w:id="513" w:name="_Toc4000366"/>
      <w:bookmarkStart w:id="514" w:name="_Toc4426363"/>
      <w:bookmarkStart w:id="515" w:name="_Toc4426492"/>
      <w:bookmarkStart w:id="516" w:name="_Toc4426677"/>
      <w:bookmarkStart w:id="517" w:name="_Toc4426806"/>
      <w:bookmarkStart w:id="518" w:name="_Toc4428404"/>
      <w:bookmarkStart w:id="519" w:name="_Toc4429835"/>
      <w:bookmarkStart w:id="520" w:name="_Toc4429964"/>
      <w:bookmarkStart w:id="521" w:name="_Toc4430090"/>
      <w:bookmarkStart w:id="522" w:name="_Toc4430215"/>
      <w:bookmarkStart w:id="523" w:name="_Toc4430338"/>
      <w:bookmarkStart w:id="524" w:name="_Toc4430460"/>
      <w:bookmarkStart w:id="525" w:name="_Toc4430581"/>
      <w:bookmarkStart w:id="526" w:name="_Toc4431377"/>
      <w:bookmarkStart w:id="527" w:name="_Toc4431496"/>
      <w:bookmarkStart w:id="528" w:name="_Toc4431617"/>
      <w:bookmarkStart w:id="529" w:name="_Toc4431738"/>
      <w:bookmarkStart w:id="530" w:name="_Toc4433437"/>
      <w:bookmarkStart w:id="531" w:name="_Toc4433699"/>
      <w:bookmarkStart w:id="532" w:name="_Toc4433820"/>
      <w:bookmarkStart w:id="533" w:name="_Toc4434368"/>
      <w:bookmarkStart w:id="534" w:name="_Toc4436213"/>
      <w:bookmarkStart w:id="535" w:name="_Toc4436335"/>
      <w:bookmarkStart w:id="536" w:name="_Toc4436456"/>
      <w:bookmarkStart w:id="537" w:name="_Toc4436724"/>
      <w:bookmarkStart w:id="538" w:name="_Toc4436892"/>
      <w:bookmarkStart w:id="539" w:name="_Toc4437118"/>
      <w:bookmarkStart w:id="540" w:name="_Toc4437353"/>
      <w:bookmarkStart w:id="541" w:name="_Toc4438115"/>
      <w:bookmarkStart w:id="542" w:name="_Toc4438360"/>
      <w:bookmarkStart w:id="543" w:name="_Toc4438479"/>
      <w:bookmarkStart w:id="544" w:name="_Toc4438598"/>
      <w:bookmarkStart w:id="545" w:name="_Toc4491351"/>
      <w:bookmarkStart w:id="546" w:name="_Toc4492912"/>
      <w:bookmarkStart w:id="547" w:name="_Toc4588543"/>
      <w:bookmarkStart w:id="548" w:name="_Toc4592896"/>
      <w:bookmarkStart w:id="549" w:name="_Toc4593021"/>
      <w:bookmarkStart w:id="550" w:name="_Toc4596195"/>
      <w:bookmarkStart w:id="551" w:name="_Toc4596311"/>
      <w:bookmarkStart w:id="552" w:name="_Toc4601181"/>
      <w:bookmarkStart w:id="553" w:name="_Toc4601468"/>
      <w:bookmarkStart w:id="554" w:name="_Toc4604046"/>
      <w:bookmarkStart w:id="555" w:name="_Toc4604161"/>
      <w:bookmarkStart w:id="556" w:name="_Toc4605291"/>
      <w:bookmarkStart w:id="557" w:name="_Toc4660180"/>
      <w:bookmarkStart w:id="558" w:name="_Toc4660295"/>
      <w:bookmarkStart w:id="559" w:name="_Toc4683283"/>
      <w:bookmarkStart w:id="560" w:name="_Toc4683399"/>
      <w:bookmarkStart w:id="561" w:name="_Toc4684388"/>
      <w:bookmarkStart w:id="562" w:name="_Toc1061883"/>
      <w:bookmarkStart w:id="563" w:name="_Toc1061999"/>
      <w:bookmarkStart w:id="564" w:name="_Toc1062121"/>
      <w:bookmarkStart w:id="565" w:name="_Toc1062234"/>
      <w:bookmarkStart w:id="566" w:name="_Toc2589730"/>
      <w:bookmarkStart w:id="567" w:name="_Toc2589863"/>
      <w:bookmarkStart w:id="568" w:name="_Toc2590002"/>
      <w:bookmarkStart w:id="569" w:name="_Toc3393196"/>
      <w:bookmarkStart w:id="570" w:name="_Toc3399205"/>
      <w:bookmarkStart w:id="571" w:name="_Toc3399355"/>
      <w:bookmarkStart w:id="572" w:name="_Toc3399500"/>
      <w:bookmarkStart w:id="573" w:name="_Toc3399692"/>
      <w:bookmarkStart w:id="574" w:name="_Toc3399836"/>
      <w:bookmarkStart w:id="575" w:name="_Toc3399980"/>
      <w:bookmarkStart w:id="576" w:name="_Toc3400299"/>
      <w:bookmarkStart w:id="577" w:name="_Toc3400424"/>
      <w:bookmarkStart w:id="578" w:name="_Toc3400544"/>
      <w:bookmarkStart w:id="579" w:name="_Toc3557018"/>
      <w:bookmarkStart w:id="580" w:name="_Toc3559223"/>
      <w:bookmarkStart w:id="581" w:name="_Toc3914435"/>
      <w:bookmarkStart w:id="582" w:name="_Toc3914557"/>
      <w:bookmarkStart w:id="583" w:name="_Toc3915543"/>
      <w:bookmarkStart w:id="584" w:name="_Toc3916150"/>
      <w:bookmarkStart w:id="585" w:name="_Toc3917060"/>
      <w:bookmarkStart w:id="586" w:name="_Toc3917710"/>
      <w:bookmarkStart w:id="587" w:name="_Toc3988466"/>
      <w:bookmarkStart w:id="588" w:name="_Toc3989475"/>
      <w:bookmarkStart w:id="589" w:name="_Toc3990119"/>
      <w:bookmarkStart w:id="590" w:name="_Toc3991695"/>
      <w:bookmarkStart w:id="591" w:name="_Toc3992600"/>
      <w:bookmarkStart w:id="592" w:name="_Toc4000367"/>
      <w:bookmarkStart w:id="593" w:name="_Toc4426364"/>
      <w:bookmarkStart w:id="594" w:name="_Toc4426493"/>
      <w:bookmarkStart w:id="595" w:name="_Toc4426678"/>
      <w:bookmarkStart w:id="596" w:name="_Toc4426807"/>
      <w:bookmarkStart w:id="597" w:name="_Toc4428405"/>
      <w:bookmarkStart w:id="598" w:name="_Toc4429836"/>
      <w:bookmarkStart w:id="599" w:name="_Toc4429965"/>
      <w:bookmarkStart w:id="600" w:name="_Toc4430091"/>
      <w:bookmarkStart w:id="601" w:name="_Toc4430216"/>
      <w:bookmarkStart w:id="602" w:name="_Toc4430339"/>
      <w:bookmarkStart w:id="603" w:name="_Toc4430461"/>
      <w:bookmarkStart w:id="604" w:name="_Toc4430582"/>
      <w:bookmarkStart w:id="605" w:name="_Toc4431378"/>
      <w:bookmarkStart w:id="606" w:name="_Toc4431497"/>
      <w:bookmarkStart w:id="607" w:name="_Toc4431618"/>
      <w:bookmarkStart w:id="608" w:name="_Toc4431739"/>
      <w:bookmarkStart w:id="609" w:name="_Toc4433438"/>
      <w:bookmarkStart w:id="610" w:name="_Toc4433700"/>
      <w:bookmarkStart w:id="611" w:name="_Toc4433821"/>
      <w:bookmarkStart w:id="612" w:name="_Toc4434369"/>
      <w:bookmarkStart w:id="613" w:name="_Toc4436214"/>
      <w:bookmarkStart w:id="614" w:name="_Toc4436336"/>
      <w:bookmarkStart w:id="615" w:name="_Toc4436457"/>
      <w:bookmarkStart w:id="616" w:name="_Toc4436725"/>
      <w:bookmarkStart w:id="617" w:name="_Toc4436893"/>
      <w:bookmarkStart w:id="618" w:name="_Toc4437119"/>
      <w:bookmarkStart w:id="619" w:name="_Toc4437354"/>
      <w:bookmarkStart w:id="620" w:name="_Toc4438116"/>
      <w:bookmarkStart w:id="621" w:name="_Toc4438361"/>
      <w:bookmarkStart w:id="622" w:name="_Toc4438480"/>
      <w:bookmarkStart w:id="623" w:name="_Toc4438599"/>
      <w:bookmarkStart w:id="624" w:name="_Toc4491352"/>
      <w:bookmarkStart w:id="625" w:name="_Toc4492913"/>
      <w:bookmarkStart w:id="626" w:name="_Toc4588544"/>
      <w:bookmarkStart w:id="627" w:name="_Toc4592897"/>
      <w:bookmarkStart w:id="628" w:name="_Toc4593022"/>
      <w:bookmarkStart w:id="629" w:name="_Toc4596196"/>
      <w:bookmarkStart w:id="630" w:name="_Toc4596312"/>
      <w:bookmarkStart w:id="631" w:name="_Toc4601182"/>
      <w:bookmarkStart w:id="632" w:name="_Toc4601469"/>
      <w:bookmarkStart w:id="633" w:name="_Toc4604047"/>
      <w:bookmarkStart w:id="634" w:name="_Toc4604162"/>
      <w:bookmarkStart w:id="635" w:name="_Toc4605292"/>
      <w:bookmarkStart w:id="636" w:name="_Toc4660181"/>
      <w:bookmarkStart w:id="637" w:name="_Toc4660296"/>
      <w:bookmarkStart w:id="638" w:name="_Toc4683284"/>
      <w:bookmarkStart w:id="639" w:name="_Toc4683400"/>
      <w:bookmarkStart w:id="640" w:name="_Toc4684389"/>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403"/>
    </w:p>
    <w:p w14:paraId="503FB8AA" w14:textId="77777777" w:rsidR="00DA3F05" w:rsidRPr="00DA3F05" w:rsidRDefault="00DA3F05" w:rsidP="00DA3F05">
      <w:pPr>
        <w:pStyle w:val="a5"/>
        <w:keepNext/>
        <w:keepLines/>
        <w:numPr>
          <w:ilvl w:val="0"/>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641" w:name="_Toc7191533"/>
      <w:bookmarkStart w:id="642" w:name="_Toc7447158"/>
      <w:bookmarkStart w:id="643" w:name="_Toc7447963"/>
      <w:bookmarkEnd w:id="641"/>
      <w:bookmarkEnd w:id="642"/>
      <w:bookmarkEnd w:id="643"/>
    </w:p>
    <w:p w14:paraId="7DA319DA" w14:textId="77777777" w:rsidR="00DA3F05" w:rsidRPr="00DA3F05" w:rsidRDefault="00DA3F05" w:rsidP="00DA3F05">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644" w:name="_Toc7191534"/>
      <w:bookmarkStart w:id="645" w:name="_Toc7447159"/>
      <w:bookmarkStart w:id="646" w:name="_Toc7447964"/>
      <w:bookmarkEnd w:id="644"/>
      <w:bookmarkEnd w:id="645"/>
      <w:bookmarkEnd w:id="646"/>
    </w:p>
    <w:p w14:paraId="03C6B39F" w14:textId="379C2E25" w:rsidR="009D44F9" w:rsidRPr="00320BF3" w:rsidRDefault="009D44F9" w:rsidP="00DA3F05">
      <w:pPr>
        <w:pStyle w:val="3"/>
      </w:pPr>
      <w:bookmarkStart w:id="647" w:name="_Toc7447965"/>
      <w:r w:rsidRPr="00320BF3">
        <w:t>Состояние конкуренции: тенденции и проблемы</w:t>
      </w:r>
      <w:bookmarkEnd w:id="647"/>
    </w:p>
    <w:p w14:paraId="78E5913B" w14:textId="3A07914D"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Согласно Национальному плану развития конкуренции в Российской Федерации на 2018 - 2020 годы, утвержденному Указом Президента Российской Федерации № 618, ожидаемыми результатами развития конкуренции </w:t>
      </w:r>
      <w:r w:rsidRPr="00320BF3">
        <w:rPr>
          <w:rFonts w:ascii="Times New Roman" w:eastAsia="Times New Roman" w:hAnsi="Times New Roman" w:cs="Times New Roman"/>
          <w:bCs/>
          <w:sz w:val="28"/>
          <w:szCs w:val="28"/>
        </w:rPr>
        <w:t>в сфере здравоохранения</w:t>
      </w:r>
      <w:r w:rsidRPr="00320BF3">
        <w:rPr>
          <w:rFonts w:ascii="Times New Roman" w:eastAsia="Times New Roman" w:hAnsi="Times New Roman" w:cs="Times New Roman"/>
          <w:sz w:val="28"/>
          <w:szCs w:val="28"/>
        </w:rPr>
        <w:t xml:space="preserve"> являются:</w:t>
      </w:r>
    </w:p>
    <w:p w14:paraId="1A0186A9"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4797CF8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снижение цен на лекарственные препараты для медицинского применения и медицинские изделия, улучшение их доступности для граждан;</w:t>
      </w:r>
    </w:p>
    <w:p w14:paraId="2601F2A5"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p>
    <w:p w14:paraId="33C6740A" w14:textId="186C2AC6" w:rsidR="009D44F9" w:rsidRPr="00320BF3" w:rsidRDefault="009D44F9" w:rsidP="009D44F9">
      <w:pPr>
        <w:pStyle w:val="ab"/>
        <w:spacing w:before="0" w:beforeAutospacing="0" w:after="0"/>
        <w:ind w:firstLine="703"/>
        <w:jc w:val="both"/>
        <w:rPr>
          <w:color w:val="00000A"/>
          <w:sz w:val="28"/>
          <w:szCs w:val="28"/>
        </w:rPr>
      </w:pPr>
      <w:r w:rsidRPr="00320BF3">
        <w:rPr>
          <w:color w:val="00000A"/>
          <w:sz w:val="28"/>
          <w:szCs w:val="28"/>
        </w:rPr>
        <w:t>Федеральной антимонопольной службой в 2018 году продолжена работа над основными существующими проблемами в сфере здравоохранения, оказывающими существенное влияние на конкуренцию, такими как</w:t>
      </w:r>
      <w:r w:rsidR="00A4305A">
        <w:rPr>
          <w:color w:val="00000A"/>
          <w:sz w:val="28"/>
          <w:szCs w:val="28"/>
        </w:rPr>
        <w:t>:</w:t>
      </w:r>
      <w:r w:rsidRPr="00320BF3">
        <w:rPr>
          <w:color w:val="00000A"/>
          <w:sz w:val="28"/>
          <w:szCs w:val="28"/>
        </w:rPr>
        <w:t xml:space="preserve"> вопросы взаимозаменяемости лекарственных препаратов и медицинских изделий, совместная работа с иными федеральными органами исполнительной власти над формированием </w:t>
      </w:r>
      <w:r w:rsidRPr="00320BF3">
        <w:rPr>
          <w:color w:val="000000"/>
          <w:sz w:val="28"/>
          <w:szCs w:val="28"/>
        </w:rPr>
        <w:t>положений каталога товаров, работ, услуг для обеспечения государственных и муниципальных нужд в рамках созданной рабочей группы при Министерстве финансов Российской Федерации с привлечением заинтересованных федеральных органов исполнительной власти</w:t>
      </w:r>
      <w:r w:rsidRPr="00320BF3">
        <w:rPr>
          <w:color w:val="00000A"/>
          <w:sz w:val="28"/>
          <w:szCs w:val="28"/>
        </w:rPr>
        <w:t>, распределение объемов оказания медицинской помощи в рамках программы обязательного медицинского страхования между медицинскими организациями.</w:t>
      </w:r>
    </w:p>
    <w:p w14:paraId="5F5E8424"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Стратегически важным документом, определяющим направления по обеспечению развития конкуренции на рынках лекарственных препаратов, медицинских изделий и предоставления медицинских услуг, выступает План мероприятий («дорожная карта») «Развитие конкуренции в здравоохранении», утвержденный распоряжением Правительства Российской Федерации от 12 января 2018 года № 9-р.</w:t>
      </w:r>
    </w:p>
    <w:p w14:paraId="4800311E" w14:textId="22FB43B3" w:rsidR="009D44F9" w:rsidRPr="00320BF3" w:rsidRDefault="009D44F9" w:rsidP="009D44F9">
      <w:pPr>
        <w:spacing w:after="0" w:line="240" w:lineRule="auto"/>
        <w:ind w:firstLine="720"/>
        <w:jc w:val="both"/>
        <w:rPr>
          <w:rFonts w:ascii="Times New Roman" w:hAnsi="Times New Roman" w:cs="Times New Roman"/>
          <w:sz w:val="28"/>
          <w:szCs w:val="28"/>
        </w:rPr>
      </w:pPr>
      <w:r w:rsidRPr="00320BF3">
        <w:rPr>
          <w:rFonts w:ascii="Times New Roman" w:hAnsi="Times New Roman" w:cs="Times New Roman"/>
          <w:sz w:val="28"/>
          <w:szCs w:val="28"/>
        </w:rPr>
        <w:t>Указанный акт Правительства разрабатывалс</w:t>
      </w:r>
      <w:r w:rsidR="00A4305A">
        <w:rPr>
          <w:rFonts w:ascii="Times New Roman" w:hAnsi="Times New Roman" w:cs="Times New Roman"/>
          <w:sz w:val="28"/>
          <w:szCs w:val="28"/>
        </w:rPr>
        <w:t xml:space="preserve">я на протяжении нескольких лет. «Дорожная карта» </w:t>
      </w:r>
      <w:r w:rsidRPr="00320BF3">
        <w:rPr>
          <w:rFonts w:ascii="Times New Roman" w:hAnsi="Times New Roman" w:cs="Times New Roman"/>
          <w:sz w:val="28"/>
          <w:szCs w:val="28"/>
        </w:rPr>
        <w:t>содержит ключевые мероприятия для развития конкуренции в сфере здравоохранения. Документ предусматривает меры по развитию конкуренции на рынках лекарственных препаратов, медицинских изделий, медицинских услуг, а также биологически активных добавок на ближайшие 4 года.</w:t>
      </w:r>
    </w:p>
    <w:p w14:paraId="4A693625" w14:textId="77777777" w:rsidR="009D44F9" w:rsidRPr="00320BF3" w:rsidRDefault="009D44F9" w:rsidP="009D44F9">
      <w:pPr>
        <w:spacing w:after="0" w:line="240" w:lineRule="auto"/>
        <w:ind w:firstLine="720"/>
        <w:jc w:val="both"/>
        <w:rPr>
          <w:rFonts w:ascii="Times New Roman" w:hAnsi="Times New Roman" w:cs="Times New Roman"/>
          <w:sz w:val="28"/>
          <w:szCs w:val="28"/>
        </w:rPr>
      </w:pPr>
      <w:r w:rsidRPr="00320BF3">
        <w:rPr>
          <w:rFonts w:ascii="Times New Roman" w:hAnsi="Times New Roman" w:cs="Times New Roman"/>
          <w:sz w:val="28"/>
          <w:szCs w:val="28"/>
        </w:rPr>
        <w:t>«Дорожная карта» рассчитана на период до 2021 года и предусматривает 47 мероприятий по развитию конкуренции в ключевых направлениях сферы здравоохранения. Среди них:</w:t>
      </w:r>
    </w:p>
    <w:p w14:paraId="414F1903" w14:textId="77777777" w:rsidR="009D44F9" w:rsidRPr="00320BF3" w:rsidRDefault="009D44F9" w:rsidP="00F6030C">
      <w:pPr>
        <w:numPr>
          <w:ilvl w:val="0"/>
          <w:numId w:val="46"/>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совершенствование процедур государственной регистрации лекарственных препаратов и биологически активных добавок;</w:t>
      </w:r>
    </w:p>
    <w:p w14:paraId="127F4D54" w14:textId="77777777" w:rsidR="009D44F9" w:rsidRPr="00320BF3" w:rsidRDefault="009D44F9" w:rsidP="00F6030C">
      <w:pPr>
        <w:numPr>
          <w:ilvl w:val="0"/>
          <w:numId w:val="46"/>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изменение механизма регулирования цен на лекарственные препараты, включенные в перечень жизненно необходимых и важнейших лекарственных препаратов (далее – ЖНВЛП, перечень ЖНВЛП);</w:t>
      </w:r>
    </w:p>
    <w:p w14:paraId="38C63CB3" w14:textId="4D5DC72E" w:rsidR="009D44F9" w:rsidRPr="00320BF3" w:rsidRDefault="009D44F9" w:rsidP="00F6030C">
      <w:pPr>
        <w:numPr>
          <w:ilvl w:val="0"/>
          <w:numId w:val="46"/>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 xml:space="preserve">обеспечение функционирования института взаимозаменяемости лекарственных препаратов и </w:t>
      </w:r>
      <w:r w:rsidR="00A4305A" w:rsidRPr="00320BF3">
        <w:rPr>
          <w:rFonts w:ascii="Times New Roman" w:hAnsi="Times New Roman" w:cs="Times New Roman"/>
          <w:sz w:val="28"/>
          <w:szCs w:val="28"/>
        </w:rPr>
        <w:t>мед</w:t>
      </w:r>
      <w:r w:rsidR="00A4305A">
        <w:rPr>
          <w:rFonts w:ascii="Times New Roman" w:hAnsi="Times New Roman" w:cs="Times New Roman"/>
          <w:sz w:val="28"/>
          <w:szCs w:val="28"/>
        </w:rPr>
        <w:t>ицински</w:t>
      </w:r>
      <w:r w:rsidR="00680241">
        <w:rPr>
          <w:rFonts w:ascii="Times New Roman" w:hAnsi="Times New Roman" w:cs="Times New Roman"/>
          <w:sz w:val="28"/>
          <w:szCs w:val="28"/>
        </w:rPr>
        <w:t>х</w:t>
      </w:r>
      <w:r w:rsidR="00A4305A">
        <w:rPr>
          <w:rFonts w:ascii="Times New Roman" w:hAnsi="Times New Roman" w:cs="Times New Roman"/>
          <w:sz w:val="28"/>
          <w:szCs w:val="28"/>
        </w:rPr>
        <w:t xml:space="preserve"> </w:t>
      </w:r>
      <w:r w:rsidRPr="00320BF3">
        <w:rPr>
          <w:rFonts w:ascii="Times New Roman" w:hAnsi="Times New Roman" w:cs="Times New Roman"/>
          <w:sz w:val="28"/>
          <w:szCs w:val="28"/>
        </w:rPr>
        <w:t>изделий;</w:t>
      </w:r>
    </w:p>
    <w:p w14:paraId="281366CF" w14:textId="6ABE4665" w:rsidR="009D44F9" w:rsidRPr="00320BF3" w:rsidRDefault="009D44F9" w:rsidP="00F6030C">
      <w:pPr>
        <w:numPr>
          <w:ilvl w:val="0"/>
          <w:numId w:val="46"/>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 xml:space="preserve">совершенствование законодательства в сфере закупок лекарств и </w:t>
      </w:r>
      <w:r w:rsidR="00680241" w:rsidRPr="00320BF3">
        <w:rPr>
          <w:rFonts w:ascii="Times New Roman" w:hAnsi="Times New Roman" w:cs="Times New Roman"/>
          <w:sz w:val="28"/>
          <w:szCs w:val="28"/>
        </w:rPr>
        <w:t>мед</w:t>
      </w:r>
      <w:r w:rsidR="00680241">
        <w:rPr>
          <w:rFonts w:ascii="Times New Roman" w:hAnsi="Times New Roman" w:cs="Times New Roman"/>
          <w:sz w:val="28"/>
          <w:szCs w:val="28"/>
        </w:rPr>
        <w:t>ицинских</w:t>
      </w:r>
      <w:r w:rsidR="00680241" w:rsidRPr="00320BF3">
        <w:rPr>
          <w:rFonts w:ascii="Times New Roman" w:hAnsi="Times New Roman" w:cs="Times New Roman"/>
          <w:sz w:val="28"/>
          <w:szCs w:val="28"/>
        </w:rPr>
        <w:t xml:space="preserve"> </w:t>
      </w:r>
      <w:r w:rsidRPr="00320BF3">
        <w:rPr>
          <w:rFonts w:ascii="Times New Roman" w:hAnsi="Times New Roman" w:cs="Times New Roman"/>
          <w:sz w:val="28"/>
          <w:szCs w:val="28"/>
        </w:rPr>
        <w:t>изделий для государственных и муниципальных нужд;</w:t>
      </w:r>
    </w:p>
    <w:p w14:paraId="0B5BED7E" w14:textId="77777777" w:rsidR="009D44F9" w:rsidRPr="00320BF3" w:rsidRDefault="009D44F9" w:rsidP="00F6030C">
      <w:pPr>
        <w:numPr>
          <w:ilvl w:val="0"/>
          <w:numId w:val="46"/>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урегулирование вопросов защиты интеллектуальной собственности;</w:t>
      </w:r>
    </w:p>
    <w:p w14:paraId="60B2A987" w14:textId="77777777" w:rsidR="009D44F9" w:rsidRPr="00320BF3" w:rsidRDefault="009D44F9" w:rsidP="00F6030C">
      <w:pPr>
        <w:numPr>
          <w:ilvl w:val="0"/>
          <w:numId w:val="46"/>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развитие конкуренции между аптечными организациями;</w:t>
      </w:r>
    </w:p>
    <w:p w14:paraId="411E8712" w14:textId="77777777" w:rsidR="009D44F9" w:rsidRPr="00320BF3" w:rsidRDefault="009D44F9" w:rsidP="00F6030C">
      <w:pPr>
        <w:numPr>
          <w:ilvl w:val="0"/>
          <w:numId w:val="46"/>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разработка мер по реформированию законодательства об обязательном медицинском страховании.</w:t>
      </w:r>
    </w:p>
    <w:p w14:paraId="4B308E03"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В целях реализации дорожной карты ответственными исполнителями соответствующих мероприятий должны быть разработаны 36 проектов федеральных законов и актов Правительства Российской Федерации.</w:t>
      </w:r>
    </w:p>
    <w:p w14:paraId="20C4E614"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p>
    <w:p w14:paraId="3CBB50B4" w14:textId="77777777" w:rsidR="009D44F9" w:rsidRPr="00320BF3" w:rsidRDefault="009D44F9" w:rsidP="009D44F9">
      <w:pPr>
        <w:spacing w:after="0" w:line="240" w:lineRule="auto"/>
        <w:ind w:firstLine="708"/>
        <w:rPr>
          <w:rFonts w:ascii="Times New Roman" w:hAnsi="Times New Roman" w:cs="Times New Roman"/>
          <w:sz w:val="28"/>
          <w:szCs w:val="28"/>
          <w:u w:val="single"/>
          <w:lang w:eastAsia="ru-RU"/>
        </w:rPr>
      </w:pPr>
      <w:r w:rsidRPr="00320BF3">
        <w:rPr>
          <w:rFonts w:ascii="Times New Roman" w:hAnsi="Times New Roman" w:cs="Times New Roman"/>
          <w:sz w:val="28"/>
          <w:szCs w:val="28"/>
          <w:u w:val="single"/>
          <w:lang w:eastAsia="ru-RU"/>
        </w:rPr>
        <w:t>1. Состояние конкуренции на рынках лекарственных препаратов</w:t>
      </w:r>
    </w:p>
    <w:p w14:paraId="7913CF25"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C 18.10.2018 вступило в силу постановление Правительства Российской Федерации от 08.10.2018 № 1207, которым утверждены разработанные по инициативе ФАС России новые правила регистрации (перерегистрации) цен на лекарственные препараты, включенные в перечень </w:t>
      </w:r>
      <w:r w:rsidRPr="00320BF3">
        <w:rPr>
          <w:rFonts w:ascii="Times New Roman" w:hAnsi="Times New Roman" w:cs="Times New Roman"/>
          <w:sz w:val="28"/>
          <w:szCs w:val="28"/>
        </w:rPr>
        <w:t>жизненно необходимых и важнейших лекарственных препаратов</w:t>
      </w:r>
      <w:r w:rsidRPr="00320BF3">
        <w:rPr>
          <w:rFonts w:ascii="Times New Roman" w:eastAsia="Times New Roman" w:hAnsi="Times New Roman" w:cs="Times New Roman"/>
          <w:sz w:val="28"/>
          <w:szCs w:val="28"/>
        </w:rPr>
        <w:t xml:space="preserve">, и методика их расчета. Новыми правилами и методикой сформирована прозрачная, объективная, недискриминирующая российских производителей и необременительная система регистрации предельных отпускных цен производителей на лекарственные препараты, включенные в перечень </w:t>
      </w:r>
      <w:r w:rsidRPr="00320BF3">
        <w:rPr>
          <w:rFonts w:ascii="Times New Roman" w:hAnsi="Times New Roman" w:cs="Times New Roman"/>
          <w:sz w:val="28"/>
          <w:szCs w:val="28"/>
        </w:rPr>
        <w:t>жизненно необходимых и важнейших лекарственных препаратов</w:t>
      </w:r>
      <w:r w:rsidRPr="00320BF3">
        <w:rPr>
          <w:rFonts w:ascii="Times New Roman" w:eastAsia="Times New Roman" w:hAnsi="Times New Roman" w:cs="Times New Roman"/>
          <w:sz w:val="28"/>
          <w:szCs w:val="28"/>
        </w:rPr>
        <w:t>, не допускающая существенный рост цен на дорогостоящие лекарственные препараты и убыточность производства дешевых препаратов.</w:t>
      </w:r>
    </w:p>
    <w:p w14:paraId="07FEC2C5" w14:textId="77777777" w:rsidR="009D44F9" w:rsidRPr="00320BF3" w:rsidRDefault="009D44F9" w:rsidP="009D44F9">
      <w:pPr>
        <w:spacing w:after="0" w:line="240" w:lineRule="auto"/>
        <w:ind w:firstLine="851"/>
        <w:jc w:val="both"/>
        <w:rPr>
          <w:rFonts w:ascii="Times New Roman" w:eastAsia="Times New Roman" w:hAnsi="Times New Roman" w:cs="Times New Roman"/>
          <w:sz w:val="28"/>
          <w:szCs w:val="28"/>
        </w:rPr>
      </w:pPr>
      <w:r w:rsidRPr="00320BF3">
        <w:rPr>
          <w:rFonts w:ascii="Times New Roman" w:hAnsi="Times New Roman" w:cs="Times New Roman"/>
          <w:sz w:val="28"/>
          <w:szCs w:val="28"/>
        </w:rPr>
        <w:t xml:space="preserve">Развитию конкуренции в сфере здравоохранения на протяжении 2018 года способствовало вступившее в силу с 01.01.2018 постановление </w:t>
      </w:r>
      <w:r w:rsidRPr="00320BF3">
        <w:rPr>
          <w:rFonts w:ascii="Times New Roman" w:eastAsia="Times New Roman" w:hAnsi="Times New Roman" w:cs="Times New Roman"/>
          <w:sz w:val="28"/>
          <w:szCs w:val="28"/>
        </w:rPr>
        <w:t>Правительства Российской Федерации от 15.11.2017 № 1380 «Об особенностях описания лекарственных препаратов для медицинского применения, являющихся объектом закупки для обеспечения государственных и муниципальных нужд».</w:t>
      </w:r>
    </w:p>
    <w:p w14:paraId="5382AAA6" w14:textId="77777777" w:rsidR="009D44F9" w:rsidRPr="00320BF3" w:rsidRDefault="009D44F9" w:rsidP="009D44F9">
      <w:pPr>
        <w:spacing w:after="0" w:line="240" w:lineRule="auto"/>
        <w:ind w:firstLine="851"/>
        <w:jc w:val="both"/>
        <w:rPr>
          <w:rFonts w:ascii="Times New Roman" w:hAnsi="Times New Roman" w:cs="Times New Roman"/>
          <w:sz w:val="28"/>
          <w:szCs w:val="28"/>
        </w:rPr>
      </w:pPr>
      <w:r w:rsidRPr="00320BF3">
        <w:rPr>
          <w:rFonts w:ascii="Times New Roman" w:eastAsia="Times New Roman" w:hAnsi="Times New Roman" w:cs="Times New Roman"/>
          <w:sz w:val="28"/>
          <w:szCs w:val="28"/>
        </w:rPr>
        <w:t>Благодаря принятому документу начали действовать запреты и ограничения в отношении описания технических характеристик закупаемых лекарственных препаратов, в части указания заказчиками терапевтически не значимых характеристик, соответствующих конкретным торговым наименованиям лекарственных препаратов, влекущих ограничение конкуренции на торгах.</w:t>
      </w:r>
    </w:p>
    <w:p w14:paraId="56D98D27"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На основе многолетнего опыта контрольной деятельности ФАС России были обобщены и, с учетом сложившейся правоприменительной и судебной практики, сформулированы наиболее типичные примеры ограничения конкуренции при закупках лекарственных препаратов. </w:t>
      </w:r>
    </w:p>
    <w:p w14:paraId="7308EBC1"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bookmarkStart w:id="648" w:name="OLE_LINK19"/>
      <w:bookmarkStart w:id="649" w:name="OLE_LINK20"/>
      <w:bookmarkEnd w:id="648"/>
      <w:bookmarkEnd w:id="649"/>
      <w:r w:rsidRPr="00320BF3">
        <w:rPr>
          <w:rFonts w:ascii="Times New Roman" w:eastAsia="Times New Roman" w:hAnsi="Times New Roman" w:cs="Times New Roman"/>
          <w:sz w:val="28"/>
          <w:szCs w:val="28"/>
        </w:rPr>
        <w:t xml:space="preserve">С начала 2018 года заказчики не могут закупать лекарственные препараты, манипулируя терапевтически не значимыми характеристиками, указывающими на конкретного производителя. Также регламентированы особенности закупки лекарственных препаратов в картриджах и преднаполненных шприцах. Многокомпонентные, комбинированные препараты и наборы теперь можно будет закупать только при условии обеспечения доступа к закупкам поставщиков соответствующих монопрепаратов. Установлен прямой запрет на манипулирование объемом наполнения, наличием вспомогательных веществ, показателями фармакодинамики и фармакокинетики, режимом хранения, формой выпуска, количеством препарата во вторичной упаковке и иными необоснованными и документально не подтвержденными характеристиками. </w:t>
      </w:r>
    </w:p>
    <w:p w14:paraId="38493C1B"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Соблюдение заказчиками положений указанного постановления способствует повышению доступности лекарственных препаратов для пациентов и эффективности бюджетных расходов на лекарственное обеспечение через снижение цен на лекарственные препараты при закупках; пресечению действий недобросовестных заказчиков и картелизации среди участников закупок. Кроме того, ожидается улучшение конкуренции среди производителей и дистрибьюторов лекарственных препаратов, снижение количества жалоб на действия государственных заказчиков, легитимизация разъяснений ФАС России, направленных участникам рынка и контрольным органам в рамках адвокатирования конкуренции. Дополнительно Правительство Российской Федерации наделило ФАС России полномочием давать разъяснения по применению указанного постановления.</w:t>
      </w:r>
    </w:p>
    <w:p w14:paraId="6C93AE59" w14:textId="77777777" w:rsidR="009D44F9" w:rsidRPr="00320BF3" w:rsidRDefault="009D44F9" w:rsidP="009D44F9">
      <w:pPr>
        <w:spacing w:after="0" w:line="240" w:lineRule="auto"/>
        <w:ind w:firstLine="720"/>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Реализуя указанные полномочия, а также полномочия, закрепленные в статье 23 Закона о защите конкуренции, ФАС России в свои территориальные органы и в адрес субъектов Российской Федерации направлены разъяснения о применении особенностей описания объекта закупок при проведении закупок лекарственных препаратов.</w:t>
      </w:r>
    </w:p>
    <w:p w14:paraId="789484AA" w14:textId="77777777" w:rsidR="009D44F9" w:rsidRPr="00320BF3" w:rsidRDefault="009D44F9" w:rsidP="009D44F9">
      <w:pPr>
        <w:spacing w:after="0" w:line="240" w:lineRule="auto"/>
        <w:ind w:firstLine="851"/>
        <w:jc w:val="both"/>
        <w:rPr>
          <w:rFonts w:ascii="Times New Roman" w:eastAsia="Times New Roman" w:hAnsi="Times New Roman" w:cs="Times New Roman"/>
          <w:sz w:val="28"/>
          <w:szCs w:val="28"/>
        </w:rPr>
      </w:pPr>
      <w:r w:rsidRPr="00320BF3">
        <w:rPr>
          <w:rFonts w:ascii="Times New Roman" w:hAnsi="Times New Roman" w:cs="Times New Roman"/>
          <w:sz w:val="28"/>
          <w:szCs w:val="28"/>
        </w:rPr>
        <w:t>Так, по результатам рассмотрения обращений, касающихся разъяснений формирования закупочной документации на поставку лекарственных препаратов, за 2018 год антимонопольным органом было выдано 17 разъяснений по л</w:t>
      </w:r>
      <w:r w:rsidRPr="00320BF3">
        <w:rPr>
          <w:rFonts w:ascii="Times New Roman" w:eastAsia="Times New Roman" w:hAnsi="Times New Roman" w:cs="Times New Roman"/>
          <w:sz w:val="28"/>
          <w:szCs w:val="28"/>
        </w:rPr>
        <w:t>екарственным препаратам с международными непатентованными наименованиями (МНН) «Салметерол+Флутиказон», «Менотропины», «Иммуноглобулин против клещевого энцефалита», «Иммуноглобулин человека против клещевого энцефалита», «Спиронолактон», «Кетопрофен», «Альбумин», «Альбумин человека», «Альбумин человеческий»,  «Азитромицин», «Ропивакаин», «Севофлуран», «Цефуроксим», «Дексмедетомидин», «Метформин», «Натрия хлорид», «Энаксопарин натрия», МНН «Левофлоксацин»,   «Железа  сульфат +[Аскорбиновая кислота]», «Цефтриаксон», а также подготовлены разъяснения по вопросу формирования документации на закупку инсулинов.</w:t>
      </w:r>
    </w:p>
    <w:p w14:paraId="74B2632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Вместе с тем, в 2018 году возникла проблема несовершенного Единого справочника-каталог лекарственных препаратов (далее – Каталог), а также производимых в информационно-аналитической системе мониторинга и контроля за осуществлением закупок лекарственных препаратов (далее – ИАС) расчетов реферетных цен. </w:t>
      </w:r>
    </w:p>
    <w:p w14:paraId="7A935ABC"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С 1 января 2018 года государственные и муниципальные заказчики в обязательном порядке используют ИАС, основой функционирования которой </w:t>
      </w:r>
      <w:r w:rsidRPr="00320BF3">
        <w:rPr>
          <w:rFonts w:ascii="Times New Roman" w:hAnsi="Times New Roman" w:cs="Times New Roman"/>
          <w:sz w:val="28"/>
          <w:szCs w:val="28"/>
        </w:rPr>
        <w:t>является</w:t>
      </w:r>
      <w:r w:rsidRPr="00320BF3">
        <w:rPr>
          <w:rFonts w:ascii="Times New Roman" w:eastAsia="Times New Roman" w:hAnsi="Times New Roman" w:cs="Times New Roman"/>
          <w:sz w:val="28"/>
          <w:szCs w:val="28"/>
          <w:lang w:eastAsia="ru-RU"/>
        </w:rPr>
        <w:t xml:space="preserve"> Каталог. Анализ Каталога, проведенный ФАС России, свидетельствует о том, что </w:t>
      </w:r>
      <w:r w:rsidRPr="00320BF3">
        <w:rPr>
          <w:rFonts w:ascii="Times New Roman" w:eastAsia="Times New Roman" w:hAnsi="Times New Roman" w:cs="Times New Roman"/>
          <w:color w:val="000000"/>
          <w:sz w:val="28"/>
          <w:szCs w:val="28"/>
          <w:lang w:eastAsia="ru-RU"/>
        </w:rPr>
        <w:t>эквивалентные</w:t>
      </w:r>
      <w:r w:rsidRPr="00320BF3">
        <w:rPr>
          <w:rFonts w:ascii="Times New Roman" w:eastAsia="Times New Roman" w:hAnsi="Times New Roman" w:cs="Times New Roman"/>
          <w:sz w:val="28"/>
          <w:szCs w:val="28"/>
          <w:lang w:eastAsia="ru-RU"/>
        </w:rPr>
        <w:t xml:space="preserve">, но различные по написанию </w:t>
      </w:r>
      <w:r w:rsidRPr="00320BF3">
        <w:rPr>
          <w:rFonts w:ascii="Times New Roman" w:eastAsia="Times New Roman" w:hAnsi="Times New Roman" w:cs="Times New Roman"/>
          <w:color w:val="000000"/>
          <w:sz w:val="28"/>
          <w:szCs w:val="28"/>
          <w:lang w:eastAsia="ru-RU"/>
        </w:rPr>
        <w:t>препараты,</w:t>
      </w:r>
      <w:r w:rsidRPr="00320BF3">
        <w:rPr>
          <w:rFonts w:ascii="Times New Roman" w:eastAsia="Times New Roman" w:hAnsi="Times New Roman" w:cs="Times New Roman"/>
          <w:sz w:val="28"/>
          <w:szCs w:val="28"/>
          <w:lang w:eastAsia="ru-RU"/>
        </w:rPr>
        <w:t xml:space="preserve"> в настоящее время учитываются Каталогом </w:t>
      </w:r>
      <w:r w:rsidRPr="00320BF3">
        <w:rPr>
          <w:rFonts w:ascii="Times New Roman" w:eastAsia="Times New Roman" w:hAnsi="Times New Roman" w:cs="Times New Roman"/>
          <w:color w:val="000000"/>
          <w:sz w:val="28"/>
          <w:szCs w:val="28"/>
          <w:lang w:eastAsia="ru-RU"/>
        </w:rPr>
        <w:t>как разные препараты, что приводит к:</w:t>
      </w:r>
    </w:p>
    <w:p w14:paraId="020CD0B7" w14:textId="77777777" w:rsidR="009D44F9" w:rsidRPr="00320BF3" w:rsidRDefault="009D44F9" w:rsidP="00F6030C">
      <w:pPr>
        <w:pStyle w:val="a5"/>
        <w:widowControl w:val="0"/>
        <w:numPr>
          <w:ilvl w:val="0"/>
          <w:numId w:val="47"/>
        </w:numPr>
        <w:spacing w:after="0" w:line="240" w:lineRule="auto"/>
        <w:ind w:left="993"/>
        <w:jc w:val="both"/>
        <w:rPr>
          <w:rFonts w:ascii="Times New Roman" w:eastAsia="Times New Roman" w:hAnsi="Times New Roman" w:cs="Times New Roman"/>
          <w:sz w:val="28"/>
          <w:szCs w:val="28"/>
        </w:rPr>
      </w:pPr>
      <w:r w:rsidRPr="00320BF3">
        <w:rPr>
          <w:rFonts w:ascii="Times New Roman" w:hAnsi="Times New Roman" w:cs="Times New Roman"/>
          <w:sz w:val="28"/>
          <w:szCs w:val="28"/>
        </w:rPr>
        <w:t xml:space="preserve">искажению расчетов </w:t>
      </w:r>
      <w:r w:rsidRPr="00320BF3">
        <w:rPr>
          <w:rFonts w:ascii="Times New Roman" w:eastAsia="Times New Roman" w:hAnsi="Times New Roman" w:cs="Times New Roman"/>
          <w:sz w:val="28"/>
          <w:szCs w:val="28"/>
        </w:rPr>
        <w:t>референтных цен на лекарственные препараты;</w:t>
      </w:r>
    </w:p>
    <w:p w14:paraId="40AFBE0B" w14:textId="77777777" w:rsidR="009D44F9" w:rsidRPr="00320BF3" w:rsidRDefault="009D44F9" w:rsidP="00F6030C">
      <w:pPr>
        <w:pStyle w:val="a5"/>
        <w:widowControl w:val="0"/>
        <w:numPr>
          <w:ilvl w:val="0"/>
          <w:numId w:val="47"/>
        </w:numPr>
        <w:spacing w:after="0" w:line="240" w:lineRule="auto"/>
        <w:ind w:left="993"/>
        <w:jc w:val="both"/>
        <w:rPr>
          <w:rFonts w:ascii="Times New Roman" w:hAnsi="Times New Roman" w:cs="Times New Roman"/>
          <w:sz w:val="28"/>
          <w:szCs w:val="28"/>
        </w:rPr>
      </w:pPr>
      <w:r w:rsidRPr="00320BF3">
        <w:rPr>
          <w:rFonts w:ascii="Times New Roman" w:hAnsi="Times New Roman" w:cs="Times New Roman"/>
          <w:sz w:val="28"/>
          <w:szCs w:val="28"/>
        </w:rPr>
        <w:t>перебоям в лекарственном обеспечении;</w:t>
      </w:r>
    </w:p>
    <w:p w14:paraId="311A835E" w14:textId="77777777" w:rsidR="009D44F9" w:rsidRPr="00320BF3" w:rsidRDefault="009D44F9" w:rsidP="00F6030C">
      <w:pPr>
        <w:pStyle w:val="a5"/>
        <w:widowControl w:val="0"/>
        <w:numPr>
          <w:ilvl w:val="0"/>
          <w:numId w:val="47"/>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ограничению конкуренции при закупках;</w:t>
      </w:r>
    </w:p>
    <w:p w14:paraId="612E6FAF" w14:textId="77777777" w:rsidR="009D44F9" w:rsidRPr="00320BF3" w:rsidRDefault="009D44F9" w:rsidP="00F6030C">
      <w:pPr>
        <w:pStyle w:val="a5"/>
        <w:widowControl w:val="0"/>
        <w:numPr>
          <w:ilvl w:val="0"/>
          <w:numId w:val="47"/>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неэффективному расходованию бюджетных средств;</w:t>
      </w:r>
    </w:p>
    <w:p w14:paraId="4D7F71CD" w14:textId="77777777" w:rsidR="009D44F9" w:rsidRPr="00320BF3" w:rsidRDefault="009D44F9" w:rsidP="00F6030C">
      <w:pPr>
        <w:pStyle w:val="a5"/>
        <w:widowControl w:val="0"/>
        <w:numPr>
          <w:ilvl w:val="0"/>
          <w:numId w:val="47"/>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недостижению целей, ради которых разрабатывалась ИАС.</w:t>
      </w:r>
    </w:p>
    <w:p w14:paraId="2D3DAE86" w14:textId="3625C955"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В соответствии с законодательством </w:t>
      </w:r>
      <w:r w:rsidR="00680241">
        <w:rPr>
          <w:rFonts w:ascii="Times New Roman" w:eastAsia="Times New Roman" w:hAnsi="Times New Roman" w:cs="Times New Roman"/>
          <w:sz w:val="28"/>
          <w:szCs w:val="28"/>
          <w:lang w:eastAsia="ru-RU"/>
        </w:rPr>
        <w:t xml:space="preserve">Российской Федерации </w:t>
      </w:r>
      <w:r w:rsidRPr="00320BF3">
        <w:rPr>
          <w:rFonts w:ascii="Times New Roman" w:eastAsia="Times New Roman" w:hAnsi="Times New Roman" w:cs="Times New Roman"/>
          <w:sz w:val="28"/>
          <w:szCs w:val="28"/>
          <w:lang w:eastAsia="ru-RU"/>
        </w:rPr>
        <w:t>эквивалентность лекарственных форм и дозировок воспроизведенных лекарственных препаратов в сравнении с референтными лекарственными препаратами уже была установлена уполномоченными органами исполнительной власти при регистрации таких лекарственных препаратов и ФАС России считает, что осуществление каких-либо дополнительных действий, помимо признания Минздравом России факта наличия такой эквивалентности, не требуется.</w:t>
      </w:r>
    </w:p>
    <w:p w14:paraId="325D177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color w:val="000000"/>
          <w:sz w:val="28"/>
          <w:szCs w:val="28"/>
          <w:lang w:eastAsia="ru-RU"/>
        </w:rPr>
        <w:t xml:space="preserve">В целях решения перечисленных проблем в </w:t>
      </w:r>
      <w:r w:rsidRPr="00320BF3">
        <w:rPr>
          <w:rFonts w:ascii="Times New Roman" w:hAnsi="Times New Roman" w:cs="Times New Roman"/>
          <w:color w:val="000000"/>
          <w:sz w:val="28"/>
          <w:szCs w:val="28"/>
        </w:rPr>
        <w:t xml:space="preserve">соответствии с </w:t>
      </w:r>
      <w:r w:rsidRPr="00320BF3">
        <w:rPr>
          <w:rFonts w:ascii="Times New Roman" w:hAnsi="Times New Roman" w:cs="Times New Roman"/>
          <w:sz w:val="28"/>
          <w:szCs w:val="28"/>
        </w:rPr>
        <w:t xml:space="preserve">перечнем поручений Президента Российской Федерации от 03.07.2018 № Пр-1141 </w:t>
      </w:r>
      <w:r w:rsidRPr="00320BF3">
        <w:rPr>
          <w:rFonts w:ascii="Times New Roman" w:eastAsia="Times New Roman" w:hAnsi="Times New Roman" w:cs="Times New Roman"/>
          <w:color w:val="000000"/>
          <w:sz w:val="28"/>
          <w:szCs w:val="28"/>
          <w:lang w:eastAsia="ru-RU"/>
        </w:rPr>
        <w:t xml:space="preserve">Минздравом России </w:t>
      </w:r>
      <w:r w:rsidRPr="00320BF3">
        <w:rPr>
          <w:rFonts w:ascii="Times New Roman" w:eastAsia="Times New Roman" w:hAnsi="Times New Roman" w:cs="Times New Roman"/>
          <w:sz w:val="28"/>
          <w:szCs w:val="28"/>
          <w:lang w:eastAsia="ru-RU"/>
        </w:rPr>
        <w:t>при участии ФАС России</w:t>
      </w:r>
      <w:r w:rsidRPr="00320BF3">
        <w:rPr>
          <w:rFonts w:ascii="Times New Roman" w:eastAsia="Times New Roman" w:hAnsi="Times New Roman" w:cs="Times New Roman"/>
          <w:color w:val="000000"/>
          <w:sz w:val="28"/>
          <w:szCs w:val="28"/>
          <w:lang w:eastAsia="ru-RU"/>
        </w:rPr>
        <w:t xml:space="preserve"> разработан законопроект, направленный на совершенствование порядка определения взаимозаменяемости лекарственных препаратов, реализация которого может позволить значительно увеличить долю взаимозаменяемых лекарственных препаратов, способствовать формированию эквивалентных групп лекарственных препаратов, а, следовательно, созданию прозрачной и конкурентоспособной системы государственных и муниципальных закупок.</w:t>
      </w:r>
    </w:p>
    <w:p w14:paraId="385AAA7E" w14:textId="77777777"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bCs/>
          <w:sz w:val="28"/>
          <w:szCs w:val="28"/>
        </w:rPr>
        <w:t xml:space="preserve">Кроме того, в </w:t>
      </w:r>
      <w:r w:rsidRPr="00320BF3">
        <w:rPr>
          <w:rFonts w:ascii="Times New Roman" w:hAnsi="Times New Roman" w:cs="Times New Roman"/>
          <w:color w:val="000000"/>
          <w:sz w:val="28"/>
          <w:szCs w:val="28"/>
        </w:rPr>
        <w:t xml:space="preserve">субъектах Российской Федерации </w:t>
      </w:r>
      <w:r w:rsidRPr="00320BF3">
        <w:rPr>
          <w:rFonts w:ascii="Times New Roman" w:hAnsi="Times New Roman" w:cs="Times New Roman"/>
          <w:bCs/>
          <w:sz w:val="28"/>
          <w:szCs w:val="28"/>
        </w:rPr>
        <w:t xml:space="preserve">сохраняется </w:t>
      </w:r>
      <w:r w:rsidRPr="00320BF3">
        <w:rPr>
          <w:rFonts w:ascii="Times New Roman" w:hAnsi="Times New Roman" w:cs="Times New Roman"/>
          <w:color w:val="000000"/>
          <w:sz w:val="28"/>
          <w:szCs w:val="28"/>
        </w:rPr>
        <w:t>негативная практика объединения в один лот услуг по поставке, хранению и отпуску лекарственных средств и проведения безальтернативных конкурсов на выбор поставщиков таких услуг, а также практика наделения государственных предприятий полномочиями в качестве единственного поставщика (подрядчика, исполнителя) на оказание услуг по обеспечению лекарственными препаратами и медицинскими изделиями медицинских организаций субъекта Российской Федерации.</w:t>
      </w:r>
    </w:p>
    <w:p w14:paraId="094B7154" w14:textId="77777777" w:rsidR="009D44F9" w:rsidRPr="00320BF3" w:rsidRDefault="009D44F9" w:rsidP="009D44F9">
      <w:pPr>
        <w:spacing w:after="0" w:line="240" w:lineRule="auto"/>
        <w:ind w:firstLine="56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Для системного решения данной проблемы ФАС России </w:t>
      </w:r>
      <w:r w:rsidRPr="00320BF3">
        <w:rPr>
          <w:rStyle w:val="115pt"/>
          <w:rFonts w:eastAsia="Andale Sans UI"/>
          <w:sz w:val="28"/>
          <w:szCs w:val="28"/>
        </w:rPr>
        <w:t xml:space="preserve">разработан </w:t>
      </w:r>
      <w:r w:rsidRPr="00320BF3">
        <w:rPr>
          <w:rFonts w:ascii="Times New Roman" w:eastAsia="Times New Roman" w:hAnsi="Times New Roman" w:cs="Times New Roman"/>
          <w:sz w:val="28"/>
          <w:szCs w:val="28"/>
          <w:lang w:eastAsia="ru-RU"/>
        </w:rPr>
        <w:t xml:space="preserve">проект постановления Правительства Российской Федерации </w:t>
      </w:r>
      <w:r w:rsidRPr="00320BF3">
        <w:rPr>
          <w:rFonts w:ascii="Times New Roman" w:hAnsi="Times New Roman" w:cs="Times New Roman"/>
          <w:sz w:val="28"/>
          <w:szCs w:val="28"/>
          <w:lang w:eastAsia="ru-RU"/>
        </w:rPr>
        <w:t xml:space="preserve">«О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w:t>
      </w:r>
      <w:r w:rsidRPr="00320BF3">
        <w:rPr>
          <w:rFonts w:ascii="Times New Roman" w:hAnsi="Times New Roman" w:cs="Times New Roman"/>
          <w:sz w:val="28"/>
          <w:szCs w:val="28"/>
        </w:rPr>
        <w:t>Проект постановления разработан в рамках плана мероприятий («дорожной карты») «Развитие конкуренции в здравоохранении», утвержденной распоряжением Правительства Российской Федерации от 12.01.2018 № 9-р.</w:t>
      </w:r>
    </w:p>
    <w:p w14:paraId="2E4756EB" w14:textId="77777777" w:rsidR="009D44F9" w:rsidRPr="00320BF3" w:rsidRDefault="009D44F9" w:rsidP="009D44F9">
      <w:pPr>
        <w:spacing w:after="0" w:line="240" w:lineRule="auto"/>
        <w:ind w:firstLine="709"/>
        <w:jc w:val="both"/>
        <w:rPr>
          <w:rFonts w:ascii="Times New Roman" w:hAnsi="Times New Roman" w:cs="Times New Roman"/>
          <w:color w:val="00000A"/>
          <w:sz w:val="28"/>
          <w:szCs w:val="28"/>
        </w:rPr>
      </w:pPr>
      <w:r w:rsidRPr="00320BF3">
        <w:rPr>
          <w:rFonts w:ascii="Times New Roman" w:eastAsia="Times New Roman" w:hAnsi="Times New Roman" w:cs="Times New Roman"/>
          <w:sz w:val="28"/>
          <w:szCs w:val="28"/>
          <w:lang w:eastAsia="ru-RU"/>
        </w:rPr>
        <w:t>Кроме того,</w:t>
      </w:r>
      <w:r w:rsidRPr="00320BF3">
        <w:rPr>
          <w:rFonts w:ascii="Times New Roman" w:hAnsi="Times New Roman" w:cs="Times New Roman"/>
          <w:color w:val="00000A"/>
          <w:sz w:val="28"/>
          <w:szCs w:val="28"/>
        </w:rPr>
        <w:t xml:space="preserve"> сохраняется проблема формирования перечней лекарственных препаратов, связанная с детализированным разграничением Минздравом России лекарственных форм. </w:t>
      </w:r>
      <w:r w:rsidRPr="00320BF3">
        <w:rPr>
          <w:rFonts w:ascii="Times New Roman" w:eastAsia="Times New Roman" w:hAnsi="Times New Roman" w:cs="Times New Roman"/>
          <w:sz w:val="28"/>
          <w:szCs w:val="28"/>
          <w:lang w:eastAsia="ru-RU"/>
        </w:rPr>
        <w:t>В настоящее время указание в перечне ЖНВЛП конкретных лекарственных форм имеет ряд проблем:</w:t>
      </w:r>
    </w:p>
    <w:p w14:paraId="01DE4014"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различное написание одной и той же лекарственной формы, в том числе связанное с приведением написания лекарственных форм к перечню наименований лекарственных форм, утвержденному приказом Минздрава России от 27.07.2016 № 538н, приводит к необоснованному неотнесению определенных лекарственных препаратов к перечню ЖНВЛП;</w:t>
      </w:r>
    </w:p>
    <w:p w14:paraId="464CF66A"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различное написание лекарственных форм референтных и воспроизведенных лекарственных препаратов, эквивалентность которых уже доказана в процессе их регистрации, приводит к необоснованному неотнесению воспроизведенных или референтных лекарственных препаратов к перечню ЖНВЛП при наличии одного из них в указанном перечне;</w:t>
      </w:r>
    </w:p>
    <w:p w14:paraId="11960E5D"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регистрация лекарственного препарата с новыми показаниями к применению, в том числе в других дозировках, приводит к необоснованному отнесению такого лекарственного препарата к перечню ЖНВЛП без проведения соответствующих экспертиз.</w:t>
      </w:r>
    </w:p>
    <w:p w14:paraId="44B1C5B3"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Информация о вышеперечисленных проблемах, способствующих ограничению конкуренции на соответствующих товарных рынках, неоднократно направлялась в Минздрав России, в том числе при ежегодном рассмотрении очередных проектов перечня ЖНВЛП, однако осталась без должного внимания. </w:t>
      </w:r>
    </w:p>
    <w:p w14:paraId="72FA3B8A"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Одновременно, в целях устранения вышеперечисленных проблем, а также в связи с тем, что перечень ЖНВЛП утверждается не чаще одного раза в год, а вопрос различного написания одних и тех же лекарственных форм возникает ежегодно и до настоящего времени системно не решен, ФАС России считает целесообразным рассмотреть подход к ведению перечня ЖНВЛП, применяемый Всемирной организацией здравоохранения при формировании перечней ВОЗ основных лекарственных средств (https://www.who.int/medicines/publications/ essentialmedicines/en), основанный на обобщении эквивалентных лекарственных форм с учетом способов/путей введения лекарственных препаратов.</w:t>
      </w:r>
    </w:p>
    <w:p w14:paraId="04CB2355"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По мнению ФАС России такой подход, основанный на международном опыте, снимет все риски, приведенные Минздравом России в проекте доклада, и одновременно позволит решить существующие проблемы формирования перечня ЖНВЛП.</w:t>
      </w:r>
    </w:p>
    <w:p w14:paraId="001733A6"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p>
    <w:p w14:paraId="15250A86" w14:textId="77777777" w:rsidR="009D44F9" w:rsidRPr="00320BF3" w:rsidRDefault="009D44F9" w:rsidP="009D44F9">
      <w:pPr>
        <w:spacing w:after="0" w:line="240" w:lineRule="auto"/>
        <w:ind w:firstLine="708"/>
        <w:rPr>
          <w:rFonts w:ascii="Times New Roman" w:hAnsi="Times New Roman" w:cs="Times New Roman"/>
          <w:sz w:val="28"/>
          <w:szCs w:val="28"/>
          <w:u w:val="single"/>
          <w:lang w:eastAsia="ru-RU"/>
        </w:rPr>
      </w:pPr>
      <w:r w:rsidRPr="00320BF3">
        <w:rPr>
          <w:rFonts w:ascii="Times New Roman" w:hAnsi="Times New Roman" w:cs="Times New Roman"/>
          <w:sz w:val="28"/>
          <w:szCs w:val="28"/>
          <w:u w:val="single"/>
          <w:lang w:eastAsia="ru-RU"/>
        </w:rPr>
        <w:t>2. Состояние конкуренции на рынках медицинских изделий</w:t>
      </w:r>
    </w:p>
    <w:p w14:paraId="49117865"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В 2018 году позитивных тенденций развития конкуренции на рынке медицинских изделий не достигнуто, по-прежнему этот рынок и связанные с ним рынки расходных материалов и технического обслуживания (ремонта) можно охарактеризовать как низкоконкурентные и высококонцентрированные в силу особенностей поведения участников рынка, а также отсутствия качественного правового регулирования.</w:t>
      </w:r>
    </w:p>
    <w:p w14:paraId="3E44874A"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Развитию конкуренции на рынках медицинских изделий, в том числе запасных частей и принадлежностей, включая специальное программное обеспечение, рынках расходных материалов, а также рынках технического обслуживания и ремонта препятствует сохраняющийся на протяжении нескольких лет массовый переход производителей медицинских изделий к использованию специальных программно-технических средств, направленных на ограничение использования альтернативных эквивалентных расходных материалов (реагентов). Отсутствие в открытых источниках информации о медицинском изделии (инструкций по применению, технических характеристик) приводит к тому, что участники закупок предоставляют разные комплекты документов, подтверждающие технические и функциональные характеристики товара, полнота и достоверность которых не может быть оценена заказчиком.</w:t>
      </w:r>
    </w:p>
    <w:p w14:paraId="6606E5EA"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xml:space="preserve">Взаимозаменяемость медицинских изделий остается самой острой проблемой развития конкуренции среди производителей медицинских изделий, поставщиков медицинских изделий для государственных и муниципальных нужд, препятствует снижению цен на медицинские изделия, приводит к необоснованным расходам бюджетных средств и снижению доступности медицинских изделий для пациентов. </w:t>
      </w:r>
    </w:p>
    <w:p w14:paraId="31AF3F84" w14:textId="77777777" w:rsidR="009D44F9" w:rsidRPr="00320BF3" w:rsidRDefault="009D44F9" w:rsidP="009D44F9">
      <w:pPr>
        <w:pStyle w:val="ab"/>
        <w:spacing w:before="0" w:beforeAutospacing="0" w:after="0"/>
        <w:ind w:firstLine="709"/>
        <w:jc w:val="both"/>
        <w:rPr>
          <w:sz w:val="28"/>
          <w:szCs w:val="28"/>
        </w:rPr>
      </w:pPr>
      <w:r w:rsidRPr="00320BF3">
        <w:rPr>
          <w:color w:val="000000"/>
          <w:sz w:val="28"/>
          <w:szCs w:val="28"/>
        </w:rPr>
        <w:t>ФАС России продолжает принимать активное участие в разработке положений каталога товаров, работ, услуг для обеспечения государственных и муниципальных нужд (далее — Каталог) в рамках созданной в 2017 году рабочей группы при Министерстве финансов Российской Федерации с привлечением заинтересованных федеральных органов исполнительной власти.</w:t>
      </w:r>
    </w:p>
    <w:p w14:paraId="2B2467F2" w14:textId="77777777" w:rsidR="009D44F9" w:rsidRPr="00320BF3" w:rsidRDefault="009D44F9" w:rsidP="009D44F9">
      <w:pPr>
        <w:pStyle w:val="ab"/>
        <w:spacing w:before="0" w:beforeAutospacing="0" w:after="0"/>
        <w:ind w:firstLine="692"/>
        <w:jc w:val="both"/>
        <w:rPr>
          <w:sz w:val="28"/>
          <w:szCs w:val="28"/>
        </w:rPr>
      </w:pPr>
      <w:r w:rsidRPr="00320BF3">
        <w:rPr>
          <w:sz w:val="28"/>
          <w:szCs w:val="28"/>
        </w:rPr>
        <w:t xml:space="preserve">Целью ведения Каталога является в том числе унификация наименований и характеристик товаров, работ, услуг для обеспечения государственных и муниципальных нужд, обеспечение единообразного указания заказчиками наименований товаров, работ, услуг при формировании предмета закупки, единообразного и унифицированного описания объекта закупки, которое включается в документацию о закупке, в том числе при обосновании закупок, при нормировании в сфере закупок, а также для последующего сравнения цен товаров, работ, услуг. </w:t>
      </w:r>
    </w:p>
    <w:p w14:paraId="2EB48336" w14:textId="77777777" w:rsidR="009D44F9" w:rsidRPr="00320BF3" w:rsidRDefault="009D44F9" w:rsidP="009D44F9">
      <w:pPr>
        <w:pStyle w:val="ab"/>
        <w:spacing w:before="0" w:beforeAutospacing="0" w:after="0"/>
        <w:ind w:firstLine="692"/>
        <w:jc w:val="both"/>
        <w:rPr>
          <w:sz w:val="28"/>
          <w:szCs w:val="28"/>
        </w:rPr>
      </w:pPr>
      <w:r w:rsidRPr="00320BF3">
        <w:rPr>
          <w:sz w:val="28"/>
          <w:szCs w:val="28"/>
        </w:rPr>
        <w:t>Ведение Каталога должно обеспечить</w:t>
      </w:r>
      <w:r w:rsidRPr="00320BF3">
        <w:rPr>
          <w:color w:val="000000"/>
          <w:sz w:val="28"/>
          <w:szCs w:val="28"/>
        </w:rPr>
        <w:t xml:space="preserve"> установление заказчиком единообразных требований к характеристикам товаров, работ, услуг в соответствии с Каталогом, что позволит избежать установления излишних требований к составу заявок, а также необоснованного отклонения заявок участников таких закупок. </w:t>
      </w:r>
    </w:p>
    <w:p w14:paraId="5E1A6F5B" w14:textId="77777777" w:rsidR="009D44F9" w:rsidRPr="00320BF3" w:rsidRDefault="009D44F9" w:rsidP="009D44F9">
      <w:pPr>
        <w:pStyle w:val="ab"/>
        <w:spacing w:before="0" w:beforeAutospacing="0" w:after="0"/>
        <w:ind w:firstLine="680"/>
        <w:jc w:val="both"/>
        <w:rPr>
          <w:sz w:val="28"/>
          <w:szCs w:val="28"/>
        </w:rPr>
      </w:pPr>
      <w:r w:rsidRPr="00320BF3">
        <w:rPr>
          <w:color w:val="000000"/>
          <w:sz w:val="28"/>
          <w:szCs w:val="28"/>
        </w:rPr>
        <w:t xml:space="preserve">Кроме того, </w:t>
      </w:r>
      <w:r w:rsidRPr="00320BF3">
        <w:rPr>
          <w:sz w:val="28"/>
          <w:szCs w:val="28"/>
        </w:rPr>
        <w:t>Каталог должен обеспечить формирование референтных цен на товары, работы, услуги, что будет способствовать эффективному расходованию бюджетных средств, а также использоваться при определении начальной (максимальной) цены контракта заказчиком.</w:t>
      </w:r>
    </w:p>
    <w:p w14:paraId="372ECD80" w14:textId="77777777" w:rsidR="009D44F9" w:rsidRPr="00320BF3" w:rsidRDefault="009D44F9" w:rsidP="009D44F9">
      <w:pPr>
        <w:pStyle w:val="ab"/>
        <w:spacing w:before="0" w:beforeAutospacing="0" w:after="0"/>
        <w:ind w:firstLine="703"/>
        <w:jc w:val="both"/>
        <w:rPr>
          <w:color w:val="000000"/>
          <w:sz w:val="28"/>
          <w:szCs w:val="28"/>
        </w:rPr>
      </w:pPr>
      <w:r w:rsidRPr="00320BF3">
        <w:rPr>
          <w:sz w:val="28"/>
          <w:szCs w:val="28"/>
        </w:rPr>
        <w:t>Несмотря на проводимую Минфином России объемную и сложную работу с привлечением заинтересованных федеральных органов исполнительной власти над формированием позиций Каталога</w:t>
      </w:r>
      <w:r w:rsidRPr="00320BF3">
        <w:rPr>
          <w:color w:val="000000"/>
          <w:sz w:val="28"/>
          <w:szCs w:val="28"/>
        </w:rPr>
        <w:t>, ФАС России считает, что вопросы взаимозаменяемости медицинских изделий отдельно от указанного каталога сохраняют свою актуальность.</w:t>
      </w:r>
    </w:p>
    <w:p w14:paraId="198E805E"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xml:space="preserve">Учитывая многообразие медицинских изделий, обращающихся на российском рынке, </w:t>
      </w:r>
      <w:r w:rsidRPr="00320BF3">
        <w:rPr>
          <w:color w:val="000000"/>
          <w:sz w:val="28"/>
          <w:szCs w:val="28"/>
        </w:rPr>
        <w:t>антимонопольный орган предлагает сбалансировать вопросы доступа на рынок технического обслуживания через саморегулирование.</w:t>
      </w:r>
    </w:p>
    <w:p w14:paraId="0ADF59F6" w14:textId="77777777" w:rsidR="009D44F9" w:rsidRPr="00320BF3" w:rsidRDefault="009D44F9" w:rsidP="009D44F9">
      <w:pPr>
        <w:pStyle w:val="ab"/>
        <w:spacing w:before="0" w:beforeAutospacing="0" w:after="0"/>
        <w:ind w:firstLine="703"/>
        <w:jc w:val="both"/>
        <w:rPr>
          <w:sz w:val="28"/>
          <w:szCs w:val="28"/>
        </w:rPr>
      </w:pPr>
      <w:r w:rsidRPr="00320BF3">
        <w:rPr>
          <w:color w:val="000000"/>
          <w:sz w:val="28"/>
          <w:szCs w:val="28"/>
        </w:rPr>
        <w:t xml:space="preserve">Вопросы эксплуатации и технического обслуживания медицинского изделия неразрывно связаны с закупками и применением расходных материалов к такому медицинскому изделию. В связи с этим вопрос раскрытия информации о требованиях к расходным материалам и реагентам и об установлении запретов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становится наиболее актуальным. </w:t>
      </w:r>
    </w:p>
    <w:p w14:paraId="358AF49B" w14:textId="77777777" w:rsidR="009D44F9" w:rsidRPr="00320BF3" w:rsidRDefault="009D44F9" w:rsidP="009D44F9">
      <w:pPr>
        <w:pStyle w:val="ab"/>
        <w:spacing w:before="0" w:beforeAutospacing="0" w:after="0"/>
        <w:ind w:firstLine="703"/>
        <w:jc w:val="both"/>
        <w:rPr>
          <w:color w:val="000000"/>
          <w:sz w:val="28"/>
          <w:szCs w:val="28"/>
        </w:rPr>
      </w:pPr>
      <w:r w:rsidRPr="00320BF3">
        <w:rPr>
          <w:color w:val="000000"/>
          <w:sz w:val="28"/>
          <w:szCs w:val="28"/>
        </w:rPr>
        <w:t>ФАС России поддерживает поэтапный переход к практике государственных закупок медицинского оборудования открытого типа, включающий нормативное определение оборудования открытого и закрытого типа.</w:t>
      </w:r>
    </w:p>
    <w:p w14:paraId="2ED6A7AA" w14:textId="77777777" w:rsidR="009D44F9" w:rsidRPr="00320BF3" w:rsidRDefault="009D44F9" w:rsidP="009D44F9">
      <w:pPr>
        <w:pStyle w:val="ab"/>
        <w:spacing w:before="0" w:beforeAutospacing="0" w:after="0"/>
        <w:ind w:firstLine="703"/>
        <w:jc w:val="both"/>
        <w:rPr>
          <w:sz w:val="28"/>
          <w:szCs w:val="28"/>
        </w:rPr>
      </w:pPr>
      <w:r w:rsidRPr="00320BF3">
        <w:rPr>
          <w:color w:val="000000"/>
          <w:sz w:val="28"/>
          <w:szCs w:val="28"/>
        </w:rPr>
        <w:t>Немаловажным фактором, влияющим на состояние конкуренции на рынках медицинских изделий, являются условия доступа на указанные рынки участников. В этой связи ФАС России считает необходимым пересмотреть подходы к принятию решений, связанных с регистрацией медицинских изделий уполномоченным федеральным органом исполнительной власти, а также оплатой назначаемых экспертиз.</w:t>
      </w:r>
    </w:p>
    <w:p w14:paraId="7BEAF7ED"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p>
    <w:p w14:paraId="003630C5" w14:textId="77777777" w:rsidR="009D44F9" w:rsidRPr="00320BF3" w:rsidRDefault="009D44F9" w:rsidP="009D44F9">
      <w:pPr>
        <w:spacing w:after="0" w:line="240" w:lineRule="auto"/>
        <w:ind w:firstLine="708"/>
        <w:rPr>
          <w:rFonts w:ascii="Times New Roman" w:hAnsi="Times New Roman" w:cs="Times New Roman"/>
          <w:sz w:val="28"/>
          <w:szCs w:val="28"/>
          <w:u w:val="single"/>
        </w:rPr>
      </w:pPr>
      <w:r w:rsidRPr="00320BF3">
        <w:rPr>
          <w:rFonts w:ascii="Times New Roman" w:hAnsi="Times New Roman" w:cs="Times New Roman"/>
          <w:sz w:val="28"/>
          <w:szCs w:val="28"/>
          <w:u w:val="single"/>
          <w:lang w:eastAsia="ru-RU"/>
        </w:rPr>
        <w:t xml:space="preserve">3. Состояние конкуренции на рынках </w:t>
      </w:r>
      <w:r w:rsidRPr="00320BF3">
        <w:rPr>
          <w:rFonts w:ascii="Times New Roman" w:hAnsi="Times New Roman" w:cs="Times New Roman"/>
          <w:sz w:val="28"/>
          <w:szCs w:val="28"/>
          <w:u w:val="single"/>
        </w:rPr>
        <w:t>медицинских услуг</w:t>
      </w:r>
    </w:p>
    <w:p w14:paraId="39F997CF"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На рынке предоставления медицинских услуг ФАС России еще в 2017 году принято важнейшее решение о нарушении части 1 статьи 15 Закона о защите конкуренции</w:t>
      </w:r>
      <w:r w:rsidRPr="000E751B">
        <w:rPr>
          <w:i/>
          <w:sz w:val="28"/>
          <w:szCs w:val="28"/>
        </w:rPr>
        <w:t xml:space="preserve">, </w:t>
      </w:r>
      <w:r w:rsidRPr="000E751B">
        <w:rPr>
          <w:rStyle w:val="af2"/>
          <w:i w:val="0"/>
          <w:color w:val="000000"/>
          <w:sz w:val="28"/>
          <w:szCs w:val="28"/>
        </w:rPr>
        <w:t>выразившееся в неустановлении Минздравом России требований к организации и выполнению работ (услуг), составляющих медицинскую деятельность, в целях лицензирования</w:t>
      </w:r>
      <w:r w:rsidRPr="000E751B">
        <w:rPr>
          <w:i/>
          <w:sz w:val="28"/>
          <w:szCs w:val="28"/>
        </w:rPr>
        <w:t>.</w:t>
      </w:r>
      <w:r w:rsidRPr="00320BF3">
        <w:rPr>
          <w:sz w:val="28"/>
          <w:szCs w:val="28"/>
        </w:rPr>
        <w:t xml:space="preserve"> Нарушение привело к тому, что органы лицензирования, надзора и суды Российской Федерации по-разному применяют лицензионное законодательство в медицинской сфере. Такая практика фактически устанавливает барьеры доступа на рынок медицинских услуг и создает различные надзорные условия работы медицинских организаций по всей стране.</w:t>
      </w:r>
    </w:p>
    <w:p w14:paraId="3741BA6A" w14:textId="77777777" w:rsidR="009D44F9" w:rsidRPr="000E751B" w:rsidRDefault="009D44F9" w:rsidP="009D44F9">
      <w:pPr>
        <w:pStyle w:val="ab"/>
        <w:spacing w:before="0" w:beforeAutospacing="0" w:after="0"/>
        <w:ind w:firstLine="692"/>
        <w:jc w:val="both"/>
        <w:rPr>
          <w:i/>
          <w:sz w:val="28"/>
          <w:szCs w:val="28"/>
        </w:rPr>
      </w:pPr>
      <w:r w:rsidRPr="000E751B">
        <w:rPr>
          <w:rStyle w:val="af2"/>
          <w:i w:val="0"/>
          <w:sz w:val="28"/>
          <w:szCs w:val="28"/>
        </w:rPr>
        <w:t xml:space="preserve">Отсутствие единой системы лицензионных требований порождает серьезные проблемы как для участников рынка, так и для уполномоченных органов государственной власти. Министерство здравоохранения Российской Федерации не воспользовалось возможностью исправить нарушение выполнением выданного еще в 2016 году предупреждения, а также не были приняты меры в процессе рассмотрения дела. </w:t>
      </w:r>
    </w:p>
    <w:p w14:paraId="6F99510B" w14:textId="77777777" w:rsidR="009D44F9" w:rsidRPr="000E751B" w:rsidRDefault="009D44F9" w:rsidP="009D44F9">
      <w:pPr>
        <w:pStyle w:val="ab"/>
        <w:spacing w:before="0" w:beforeAutospacing="0" w:after="0"/>
        <w:ind w:firstLine="692"/>
        <w:jc w:val="both"/>
        <w:rPr>
          <w:rStyle w:val="af2"/>
          <w:i w:val="0"/>
          <w:iCs w:val="0"/>
          <w:color w:val="000000"/>
          <w:sz w:val="28"/>
          <w:szCs w:val="28"/>
        </w:rPr>
      </w:pPr>
      <w:r w:rsidRPr="000E751B">
        <w:rPr>
          <w:rStyle w:val="af2"/>
          <w:i w:val="0"/>
          <w:sz w:val="28"/>
          <w:szCs w:val="28"/>
        </w:rPr>
        <w:t xml:space="preserve">В целях создания единых и равных контрольно-надзорных условий работы всех медицинских организаций на территории Российский Федерации Комиссией ФАС России было выдано Минздраву России предписание </w:t>
      </w:r>
      <w:r w:rsidRPr="000E751B">
        <w:rPr>
          <w:rStyle w:val="af2"/>
          <w:i w:val="0"/>
          <w:color w:val="000000"/>
          <w:sz w:val="28"/>
          <w:szCs w:val="28"/>
        </w:rPr>
        <w:t>установить лицензионные требования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67C6F959" w14:textId="77777777" w:rsidR="009D44F9" w:rsidRPr="000E751B" w:rsidRDefault="009D44F9" w:rsidP="009D44F9">
      <w:pPr>
        <w:pStyle w:val="ab"/>
        <w:spacing w:before="0" w:beforeAutospacing="0" w:after="0"/>
        <w:ind w:firstLine="692"/>
        <w:jc w:val="both"/>
        <w:rPr>
          <w:rStyle w:val="af2"/>
          <w:i w:val="0"/>
          <w:iCs w:val="0"/>
          <w:color w:val="000000"/>
          <w:sz w:val="28"/>
          <w:szCs w:val="28"/>
        </w:rPr>
      </w:pPr>
      <w:r w:rsidRPr="000E751B">
        <w:rPr>
          <w:rStyle w:val="af2"/>
          <w:i w:val="0"/>
          <w:color w:val="000000"/>
          <w:sz w:val="28"/>
          <w:szCs w:val="28"/>
        </w:rPr>
        <w:t>Несмотря на очевидность существующей проблемы на рынках медицинских услуг, Минздрав России и Росздравнадзор на протяжении 2018 года пытались опротестовать решение и предписание антимонопольного органа в трех инстанциях.</w:t>
      </w:r>
    </w:p>
    <w:p w14:paraId="5758A9F7"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iCs/>
          <w:sz w:val="28"/>
          <w:szCs w:val="28"/>
          <w:lang w:eastAsia="ru-RU"/>
        </w:rPr>
        <w:t xml:space="preserve">Кассационная судебная инстанция поддержала позицию антимонопольного органа в споре с Минздравом России об установлении единых требований, которым должны соответствовать соискатели лицензий и лицензиаты. </w:t>
      </w:r>
      <w:r w:rsidRPr="00320BF3">
        <w:rPr>
          <w:rFonts w:ascii="Times New Roman" w:eastAsia="Times New Roman" w:hAnsi="Times New Roman" w:cs="Times New Roman"/>
          <w:sz w:val="28"/>
          <w:szCs w:val="28"/>
          <w:lang w:eastAsia="ru-RU"/>
        </w:rPr>
        <w:t>29 ноября 2018 года Арбитражный суд Московского округа отказал в требовании Минздрава России и Росздравнадзора отменить решение и предписание ФАС России. Суд также оставил в силе решение суда первой инстанции и постановление апелляционной инстанции, которые ранее признали законными решение и предписание антимонопольного органа.</w:t>
      </w:r>
    </w:p>
    <w:p w14:paraId="7F7D5260"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Минздраву России не удалось опровергнуть выводы ФАС России о том, что приказ </w:t>
      </w:r>
      <w:r w:rsidRPr="00320BF3">
        <w:rPr>
          <w:rFonts w:ascii="Times New Roman" w:hAnsi="Times New Roman" w:cs="Times New Roman"/>
          <w:sz w:val="28"/>
          <w:szCs w:val="28"/>
        </w:rPr>
        <w:t xml:space="preserve">от 11.03.2013 </w:t>
      </w:r>
      <w:r w:rsidRPr="00320BF3">
        <w:rPr>
          <w:rFonts w:ascii="Times New Roman" w:eastAsia="Times New Roman" w:hAnsi="Times New Roman" w:cs="Times New Roman"/>
          <w:sz w:val="28"/>
          <w:szCs w:val="28"/>
          <w:lang w:eastAsia="ru-RU"/>
        </w:rPr>
        <w:t xml:space="preserve">№ 121н </w:t>
      </w:r>
      <w:r w:rsidRPr="00320BF3">
        <w:rPr>
          <w:rFonts w:ascii="Times New Roman" w:hAnsi="Times New Roman" w:cs="Times New Roman"/>
          <w:sz w:val="28"/>
          <w:szCs w:val="28"/>
        </w:rPr>
        <w:t>«Об утверждении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w:t>
      </w:r>
      <w:r w:rsidRPr="00320BF3">
        <w:rPr>
          <w:rFonts w:ascii="Times New Roman" w:eastAsia="Times New Roman" w:hAnsi="Times New Roman" w:cs="Times New Roman"/>
          <w:sz w:val="28"/>
          <w:szCs w:val="28"/>
          <w:lang w:eastAsia="ru-RU"/>
        </w:rPr>
        <w:t>, несмотря на свое название,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05CE316D"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eastAsia="Times New Roman" w:hAnsi="Times New Roman" w:cs="Times New Roman"/>
          <w:sz w:val="28"/>
          <w:szCs w:val="28"/>
          <w:lang w:eastAsia="ru-RU"/>
        </w:rPr>
        <w:t xml:space="preserve">Таким образом, в настоящее время Минздрав России обязан </w:t>
      </w:r>
      <w:r w:rsidRPr="00320BF3">
        <w:rPr>
          <w:rFonts w:ascii="Times New Roman" w:hAnsi="Times New Roman" w:cs="Times New Roman"/>
          <w:sz w:val="28"/>
          <w:szCs w:val="28"/>
        </w:rPr>
        <w:t>установить требования к организации и выполнению работ (услуг), составляющих медицинскую деятельность, в целях лицензирования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524AE283"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hAnsi="Times New Roman" w:cs="Times New Roman"/>
          <w:sz w:val="28"/>
          <w:szCs w:val="28"/>
        </w:rPr>
        <w:t>Минздравом России не исполнено предписание.</w:t>
      </w:r>
    </w:p>
    <w:p w14:paraId="1DE0931C"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Кроме того, сохраняются ранее выявленные проблемы в сфере оказания медицинских услуг.  </w:t>
      </w:r>
    </w:p>
    <w:p w14:paraId="4B7852A4"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Так, в ходе проверок инспекцией ФАС России выявлено следующее:</w:t>
      </w:r>
    </w:p>
    <w:p w14:paraId="620743A1"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платные услуги, оказываемые государственными учреждениями, предусмотрены программой государственных гарантий бесплатного оказания гражданам медицинской помощи, территориальной программой государственных гарантий бесплатного оказания гражданам медицинской помощи и (или) целевыми программами и оказываются на тех же самых условиях;</w:t>
      </w:r>
    </w:p>
    <w:p w14:paraId="4BBA6076"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застрахованным лицам необоснованно отказывают в оказании бесплатной медицинской помощи, взимается плата с застрахованных лиц, медицинские изделия приобретаются пациентами за собственный счет в период оказания высокотехнологичной медицинской помощи;</w:t>
      </w:r>
    </w:p>
    <w:p w14:paraId="48137B10"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потребителями платных медицинских услуг являются в основном граждане Российской Федерации, имеющие право на получение тех же самых медицинских услуг бесплатно;</w:t>
      </w:r>
    </w:p>
    <w:p w14:paraId="2E64F9BE"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платные услуги оказываются медицинскими учреждениями в рамках общего графика работы, с использованием оборудования, помещений, расходных материалов, приобретенных за бюджетные средства и предназначенных для оказания бесплатной медицинской помощи в рамках программы государственных гарантий, территориальной программой государственных гарантий и (или) целевых программам, врачами, задействованными при оказании бесплатных медицинских услуг;</w:t>
      </w:r>
    </w:p>
    <w:p w14:paraId="72CDBB32" w14:textId="77777777" w:rsidR="009D44F9" w:rsidRPr="00320BF3" w:rsidRDefault="009D44F9" w:rsidP="009D44F9">
      <w:pPr>
        <w:pStyle w:val="ab"/>
        <w:spacing w:before="0" w:beforeAutospacing="0" w:after="0"/>
        <w:ind w:firstLine="703"/>
        <w:jc w:val="both"/>
        <w:rPr>
          <w:sz w:val="28"/>
          <w:szCs w:val="28"/>
        </w:rPr>
      </w:pPr>
      <w:r w:rsidRPr="00320BF3">
        <w:rPr>
          <w:rStyle w:val="af2"/>
          <w:color w:val="00000A"/>
          <w:sz w:val="28"/>
          <w:szCs w:val="28"/>
        </w:rPr>
        <w:t xml:space="preserve">- </w:t>
      </w:r>
      <w:r w:rsidRPr="000E751B">
        <w:rPr>
          <w:rStyle w:val="af2"/>
          <w:i w:val="0"/>
          <w:color w:val="00000A"/>
          <w:sz w:val="28"/>
          <w:szCs w:val="28"/>
        </w:rPr>
        <w:t>время</w:t>
      </w:r>
      <w:r w:rsidRPr="000E751B">
        <w:rPr>
          <w:rStyle w:val="af2"/>
          <w:i w:val="0"/>
          <w:color w:val="000000"/>
          <w:sz w:val="28"/>
          <w:szCs w:val="28"/>
        </w:rPr>
        <w:t xml:space="preserve"> ожидания пациентом оказания медицинских услуг зависит от вида возмещения или оплаты этих услуг.</w:t>
      </w:r>
      <w:r w:rsidRPr="00320BF3">
        <w:rPr>
          <w:rStyle w:val="af2"/>
          <w:color w:val="000000"/>
          <w:sz w:val="28"/>
          <w:szCs w:val="28"/>
        </w:rPr>
        <w:t xml:space="preserve"> </w:t>
      </w:r>
    </w:p>
    <w:p w14:paraId="599370D0" w14:textId="77777777" w:rsidR="009D44F9" w:rsidRPr="00320BF3" w:rsidRDefault="009D44F9" w:rsidP="009D44F9">
      <w:pPr>
        <w:pStyle w:val="ab"/>
        <w:spacing w:before="0" w:beforeAutospacing="0" w:after="0"/>
        <w:ind w:firstLine="709"/>
        <w:jc w:val="both"/>
        <w:rPr>
          <w:color w:val="00000A"/>
          <w:sz w:val="28"/>
          <w:szCs w:val="28"/>
        </w:rPr>
      </w:pPr>
      <w:r w:rsidRPr="00320BF3">
        <w:rPr>
          <w:sz w:val="28"/>
          <w:szCs w:val="28"/>
        </w:rPr>
        <w:t xml:space="preserve">По результатам 2018 года наблюдается также стагнация в правовом проконкурентном регулировании оказания медицинской помощи в рамках программы ОМС. Проблема </w:t>
      </w:r>
      <w:r w:rsidRPr="00320BF3">
        <w:rPr>
          <w:color w:val="00000A"/>
          <w:sz w:val="28"/>
          <w:szCs w:val="28"/>
        </w:rPr>
        <w:t xml:space="preserve">отсутствия прозрачных механизмов распределения объемов медицинской помощи среди медицинских организаций сохраняется. </w:t>
      </w:r>
    </w:p>
    <w:p w14:paraId="085BBAF3"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 xml:space="preserve">Вместе с тем, ФАС России и территориальными антимонопольными органами через институт предупреждений, предусмотренный статьей 39.1 Закона о защите конкуренции, и предписаний по результатам рассмотрения дел о нарушении антимонопольного законодательства территориальными комиссиями по разработке территориальной программы обязательного медицинского страхования пересматриваются объемы выделяемой медицинской помощи среди участников рынка предоставления медицинских услуг, включенные в программу государственных гарантий. </w:t>
      </w:r>
    </w:p>
    <w:p w14:paraId="421FB885" w14:textId="72D497AB"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sz w:val="28"/>
          <w:szCs w:val="28"/>
        </w:rPr>
        <w:t xml:space="preserve">Так, например, ФАС России по результатам рассмотрения жалобы </w:t>
      </w:r>
      <w:r w:rsidRPr="00320BF3">
        <w:rPr>
          <w:rFonts w:ascii="Times New Roman" w:hAnsi="Times New Roman" w:cs="Times New Roman"/>
          <w:color w:val="000000"/>
          <w:sz w:val="28"/>
          <w:szCs w:val="28"/>
        </w:rPr>
        <w:t xml:space="preserve">ООО «Офтальмологический центр Коновалова Сочи» по поводу создания дискриминационных условий осуществления деятельности по сравнению с иными медицинскими организациями, оказывающими услуги по профилю «Офтальмология», включенными в реестр медицинских организаций, осуществляющих деятельность в сфере обязательного медицинского страхования, усмотрела в действиях (бездействии) </w:t>
      </w:r>
      <w:r w:rsidRPr="00320BF3">
        <w:rPr>
          <w:rFonts w:ascii="Times New Roman" w:hAnsi="Times New Roman" w:cs="Times New Roman"/>
          <w:sz w:val="28"/>
          <w:szCs w:val="28"/>
        </w:rPr>
        <w:t xml:space="preserve">Комиссии по разработке территориальной программы обязательного медицинского страхования Краснодарского края признаки нарушения антимонопольного законодательства (части 1 статьи 15 </w:t>
      </w:r>
      <w:r w:rsidR="000E751B">
        <w:rPr>
          <w:rFonts w:ascii="Times New Roman" w:hAnsi="Times New Roman" w:cs="Times New Roman"/>
          <w:color w:val="000000"/>
          <w:sz w:val="28"/>
          <w:szCs w:val="28"/>
        </w:rPr>
        <w:t>Закона о защите конкуренции</w:t>
      </w:r>
      <w:r w:rsidRPr="00320BF3">
        <w:rPr>
          <w:rFonts w:ascii="Times New Roman" w:hAnsi="Times New Roman" w:cs="Times New Roman"/>
          <w:color w:val="000000"/>
          <w:sz w:val="28"/>
          <w:szCs w:val="28"/>
        </w:rPr>
        <w:t xml:space="preserve">), выразившегося в непринятии мер по созданию условий, направленных на недискриминационное распределение объемов оказания медицинской помощи в рамках территориальной программы ОМС Краснодарского края среди медицинских организаций. В связи с этим ФАС России в июне 2018 года выдала предупреждение </w:t>
      </w:r>
      <w:r w:rsidRPr="00320BF3">
        <w:rPr>
          <w:rFonts w:ascii="Times New Roman" w:hAnsi="Times New Roman" w:cs="Times New Roman"/>
          <w:sz w:val="28"/>
          <w:szCs w:val="28"/>
        </w:rPr>
        <w:t>Комиссии по разработке территориальной программы обязательного медицинского страхования Краснодарского края, а также Администрации Краснодарского края</w:t>
      </w:r>
      <w:r w:rsidRPr="00320BF3">
        <w:rPr>
          <w:rFonts w:ascii="Times New Roman" w:hAnsi="Times New Roman" w:cs="Times New Roman"/>
          <w:color w:val="000000"/>
          <w:sz w:val="28"/>
          <w:szCs w:val="28"/>
        </w:rPr>
        <w:t xml:space="preserve"> о необходимости прекращения действий (бездействия), которые содержат признаки нарушения антимонопольного законодательства. На основании предупреждения Комиссией было принято решение об изменении объемов и стоимости медицинской помощи в 2018 году для медицинских организаций муниципального образования города Сочи, оказывающих медицинскую помощь по профилю «Офтальмология».</w:t>
      </w:r>
    </w:p>
    <w:p w14:paraId="55F6A1A7"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05.02.2018 Приморским УФАС России выданы предупреждения Директору Департамента здравоохранения Приморского края, председателю Комиссии по разработке Территориальной программы ОМС Приморского края о необходимости прекращения действия, содержащего признаки нарушения антимонопольного законодательства, путем исключения из пункта 1 раздела 1 Приложения 6 к ТТС на 2018 год требования (условия), предусматривающего осуществление страховыми медицинскими организациями оплаты в рамках взаиморасчетов первичной медико-санитарной помощи, оказанной пациентам, не прикрепленным к медицинской организации – исполнителю, только при наличии номерного направления, выданного медицинской организацией –плательщиком (базовая медицинская организация).</w:t>
      </w:r>
    </w:p>
    <w:p w14:paraId="71A46D9D"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06.02.2018 Иркутским УФАС России выдано предписание в отношении Правительства Иркутской области в связи с бездействием по установлению объективных критериев для распределения объемов ОМС.</w:t>
      </w:r>
    </w:p>
    <w:p w14:paraId="4C0E1A18"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01.03.2018 Удмуртским УФАС России выданы предписания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«Урология» и «Хирургия».</w:t>
      </w:r>
    </w:p>
    <w:p w14:paraId="540BE083"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20.03.2018 Удмуртским УФАС России выданы предупреждения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«Акушерство и гинекология» и «Оториноларингология».</w:t>
      </w:r>
    </w:p>
    <w:p w14:paraId="66B0DA9A"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01.06.2018 Нижегородским УФАС России выданы предписания Правительству Нижегородской области и Комиссии по разработке территориальной программы ОМС в Нижегородской области в связи с применением субъективного подхода в рамках разработки программы и распределения квот оказания медицинской помощи в рамках ОМС.</w:t>
      </w:r>
    </w:p>
    <w:p w14:paraId="29BF3E0F"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26.06.2018 ФАС России выдала предупреждения Комиссии по разработке территориальной программы ОМС Краснодарского края и Администрации Краснодарского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«Офтальмология».</w:t>
      </w:r>
    </w:p>
    <w:p w14:paraId="28BC7F72" w14:textId="77777777" w:rsidR="009D44F9"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16.11.2018 Красноярским УФАС России выданы предписания Правительству Красноярского края и Комиссии по разработке территориальной программы ОМС Красноярского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«Магнитно-резонансная томография».</w:t>
      </w:r>
    </w:p>
    <w:p w14:paraId="2C6403DE" w14:textId="77777777" w:rsidR="009D44F9" w:rsidRDefault="009D44F9" w:rsidP="009D44F9">
      <w:pPr>
        <w:spacing w:after="0" w:line="240" w:lineRule="auto"/>
        <w:ind w:firstLine="709"/>
        <w:jc w:val="both"/>
        <w:rPr>
          <w:rFonts w:ascii="Times New Roman" w:hAnsi="Times New Roman" w:cs="Times New Roman"/>
          <w:sz w:val="28"/>
          <w:szCs w:val="28"/>
        </w:rPr>
      </w:pPr>
    </w:p>
    <w:p w14:paraId="4A0F115F" w14:textId="254A84E8" w:rsidR="009D44F9" w:rsidRPr="00320BF3" w:rsidRDefault="009D44F9" w:rsidP="00DA3F05">
      <w:pPr>
        <w:pStyle w:val="3"/>
      </w:pPr>
      <w:bookmarkStart w:id="650" w:name="_Toc7447966"/>
      <w:r w:rsidRPr="009B539E">
        <w:t>Достигнутые результаты развития конкуренции и предложения по развитию конкуренции</w:t>
      </w:r>
      <w:bookmarkEnd w:id="650"/>
    </w:p>
    <w:p w14:paraId="3F1A35F0" w14:textId="79072072"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sz w:val="28"/>
          <w:szCs w:val="28"/>
        </w:rPr>
        <w:t xml:space="preserve">В 2018 году ФАС России продолжила проведение международного сравнительного исследования цен на лекарственные препараты, включенные в перечень жизненно необходимых и важнейших лекарственных препаратов. </w:t>
      </w:r>
      <w:r w:rsidRPr="00320BF3">
        <w:rPr>
          <w:rFonts w:ascii="Times New Roman" w:eastAsia="Times New Roman" w:hAnsi="Times New Roman" w:cs="Times New Roman"/>
          <w:sz w:val="28"/>
          <w:szCs w:val="28"/>
        </w:rPr>
        <w:t xml:space="preserve">В результате предпринимаемого комплекса мер в 2018 году удалось добиться существенного снижения зарегистрированных предельных отпускных цен производителей еще на 444 позиции дорогостоящих жизненно необходимых и важнейших лекарственных препаратов. За весь период снижено более тысячи </w:t>
      </w:r>
      <w:r w:rsidRPr="00320BF3">
        <w:rPr>
          <w:rFonts w:ascii="Times New Roman" w:hAnsi="Times New Roman" w:cs="Times New Roman"/>
          <w:sz w:val="28"/>
          <w:szCs w:val="28"/>
        </w:rPr>
        <w:t>предельных отпускных цен на 228 торговых наименований. Сред</w:t>
      </w:r>
      <w:r w:rsidR="00105499">
        <w:rPr>
          <w:rFonts w:ascii="Times New Roman" w:hAnsi="Times New Roman" w:cs="Times New Roman"/>
          <w:sz w:val="28"/>
          <w:szCs w:val="28"/>
        </w:rPr>
        <w:t>ний размер снижения составил 43</w:t>
      </w:r>
      <w:r w:rsidRPr="00320BF3">
        <w:rPr>
          <w:rFonts w:ascii="Times New Roman" w:hAnsi="Times New Roman" w:cs="Times New Roman"/>
          <w:sz w:val="28"/>
          <w:szCs w:val="28"/>
        </w:rPr>
        <w:t>%</w:t>
      </w:r>
      <w:r w:rsidRPr="00320BF3">
        <w:rPr>
          <w:rFonts w:ascii="Times New Roman" w:hAnsi="Times New Roman" w:cs="Times New Roman"/>
          <w:color w:val="000000"/>
          <w:sz w:val="28"/>
          <w:szCs w:val="28"/>
        </w:rPr>
        <w:t>.</w:t>
      </w:r>
    </w:p>
    <w:p w14:paraId="6B941C84"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По поручению Правительства Российской Федерации ФАС России проведены переговоры с фармацевтическими производителями о снижении цен на дорогостоящие лекарственные препараты, предназначенные для лечения редких (орфанных) заболеваний и закупаемые за счет средств бюджетных средств. По результатам переговоров производителями на 3-30% снижены предельные отпускные цены на 4 орфанных лекарственных препарата, что в рублях составило от 1 600 до 5 000 рублей за потребительскую упаковку. Кроме того, на 1 орфанный лекарственный препарат снижено ценовое предложение для участия в централизованных закупках на 26 000 рублей за потребительскую упаковку. По результатам переговоров ФАС России представлены в Правительство Российской Федерации предложения, направленные на снижение цен на орфанные лекарственные препараты. </w:t>
      </w:r>
    </w:p>
    <w:p w14:paraId="2C16D61C"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В целях синхронизации </w:t>
      </w:r>
      <w:r w:rsidRPr="00320BF3">
        <w:rPr>
          <w:rFonts w:ascii="Times New Roman" w:hAnsi="Times New Roman" w:cs="Times New Roman"/>
          <w:sz w:val="28"/>
          <w:szCs w:val="28"/>
        </w:rPr>
        <w:t xml:space="preserve">всех зарегистрированных в 2010-2019 гг. </w:t>
      </w:r>
      <w:r w:rsidRPr="00320BF3">
        <w:rPr>
          <w:rFonts w:ascii="Times New Roman" w:eastAsia="Times New Roman" w:hAnsi="Times New Roman" w:cs="Times New Roman"/>
          <w:sz w:val="28"/>
          <w:szCs w:val="28"/>
        </w:rPr>
        <w:t xml:space="preserve">цен в Российской Федерации с ценами в референтных для России странах Минздравом России совместно с ФАС России разработан принятый Государственной Думой </w:t>
      </w:r>
      <w:r w:rsidRPr="00320BF3">
        <w:rPr>
          <w:rFonts w:ascii="Times New Roman" w:hAnsi="Times New Roman" w:cs="Times New Roman"/>
          <w:sz w:val="28"/>
          <w:szCs w:val="28"/>
        </w:rPr>
        <w:t xml:space="preserve">Российской Федерации </w:t>
      </w:r>
      <w:r w:rsidRPr="00320BF3">
        <w:rPr>
          <w:rFonts w:ascii="Times New Roman" w:eastAsia="Times New Roman" w:hAnsi="Times New Roman" w:cs="Times New Roman"/>
          <w:sz w:val="28"/>
          <w:szCs w:val="28"/>
        </w:rPr>
        <w:t>в первом чтении законопроект, который предусматривает пересмотр всех ранее зарегистрированных цен на лекарственные препараты.</w:t>
      </w:r>
    </w:p>
    <w:p w14:paraId="0320C837"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Реализуя положения ключевого акта Правительства Российской Федерации – Плана мероприятий («дорожной карты») «Развитие конкуренции в здравоохранении», ФАС России отмечает, что большинство мероприятий не исполнено в срок. В течение 2018 года ответственным органам исполнительной власти удалось выполнить следующие мероприятия:</w:t>
      </w:r>
    </w:p>
    <w:p w14:paraId="1BADA9DE" w14:textId="2174AE9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Минздравом России разработан и Государственной Думой Федерального Собрания Российской Федерации 13.12.2017 принят в первом чтении проект федерального закона № 285949-7 «О внесении изменений в отдельные законодательные акты Российской Федерации в части розничной торговли лекарственными препаратами дистанционным способом», однако проект постановления во исполнение указанного законопроекта в антимонопольный орган по итогам 2018 года не поступал;</w:t>
      </w:r>
    </w:p>
    <w:p w14:paraId="705A72DA" w14:textId="145A0C4E"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внесен в Правительство Российской Федерации проект федерального закона «О внесении изменений в Федеральный закон «Об обращении лекарственных средств», направленный на устранение правовой неопределенности при формировании отпускных цен на лекарственные препараты, включенные в Перечень ЖНВЛП, приведение понятийного аппарата закона к единообразию, устранения ошибок юридико-технического и редакционного характера в действующей редакции закона, а также в целях определения Законом об обращении лекарственных средств федерального органа исполнительной власти Российской Федерации, уполномоченного на осуществление государственного контроля (надзора) за применением производителями цен на лекарственные препараты, включенные в Перечень ЖНВЛП;</w:t>
      </w:r>
    </w:p>
    <w:p w14:paraId="58F517CB" w14:textId="5D96CA1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 Правительство Российской Федерации внесен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w:t>
      </w:r>
    </w:p>
    <w:p w14:paraId="4D9EB7AA" w14:textId="7CD32E8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 xml:space="preserve">Минэкономразвития России внесло в Правительство Российской Федерации проект федерального закона </w:t>
      </w:r>
      <w:r w:rsidR="009D44F9" w:rsidRPr="00320BF3">
        <w:rPr>
          <w:rFonts w:eastAsia="Calibri"/>
          <w:sz w:val="28"/>
          <w:szCs w:val="28"/>
          <w:lang w:eastAsia="en-US"/>
        </w:rPr>
        <w:t>«О внесении изменений в Федеральный закон «О лицензировании отдельных видов деятельности»,</w:t>
      </w:r>
      <w:r w:rsidR="009D44F9" w:rsidRPr="00320BF3">
        <w:rPr>
          <w:sz w:val="28"/>
          <w:szCs w:val="28"/>
        </w:rPr>
        <w:t xml:space="preserve"> предусматривающий замену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Вместе с тем указанный проект федерального закона не согласован с ФАС России и не учитывает замечания антимонопольного органа. Данное мероприятие предполагает разработку, помимо проекта федерального закона, также проекта соответствующего постановления Правительства Российской Федерации, которое Минэкономразвития России не разработано по итогам 2018 года;</w:t>
      </w:r>
    </w:p>
    <w:p w14:paraId="5CF8C455" w14:textId="4CAC6235"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внесен в Правительство Российской Федерации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 предусматривающий установление требования к указанию в документации о закупке медицинских изделий остаточного срока годности, выраженного определенным периодом, в течение которого медицинские изделия сохраняют свою годность, либо конкретной датой, до которой медицинские изделия сохраняют пригодность для использования по назначению. Вместе с тем, указанный проект постановления Правительством Российской Федерации поручено доработать с учетом особенностей описания медицинских изделий в зависимости от их функциональных, технических, в том числе конструктивных, качественных и эксплуатационных характеристик;</w:t>
      </w:r>
    </w:p>
    <w:p w14:paraId="4E90C6F9" w14:textId="0C406698"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разработан и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в части установления запрета на объединение в один лот услуг по поставке, хранению и отпуску лекарственных препаратов;</w:t>
      </w:r>
    </w:p>
    <w:p w14:paraId="232E0CFC" w14:textId="1DAC98CE"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 xml:space="preserve">Минздравом России принят приказ </w:t>
      </w:r>
      <w:r w:rsidR="009D44F9" w:rsidRPr="00320BF3">
        <w:rPr>
          <w:color w:val="000000"/>
          <w:sz w:val="28"/>
          <w:szCs w:val="28"/>
        </w:rPr>
        <w:t xml:space="preserve">от 19.06.2018 № 367н «О внесении изменений в Типовой контракт на поставку лекарственных препаратов для медицинского применения, утвержденный приказом Министерства здравоохранения Российской Федерации от 26.10.2017 № 870н», </w:t>
      </w:r>
      <w:r w:rsidR="009D44F9" w:rsidRPr="00320BF3">
        <w:rPr>
          <w:sz w:val="28"/>
          <w:szCs w:val="28"/>
        </w:rPr>
        <w:t>предусматривающий унифицированные технические задания по категориям лекарственных препаратов;</w:t>
      </w:r>
    </w:p>
    <w:p w14:paraId="38B4E0CF" w14:textId="17283921" w:rsidR="009D44F9" w:rsidRPr="00320BF3" w:rsidRDefault="00105499" w:rsidP="009D44F9">
      <w:pPr>
        <w:pStyle w:val="ab"/>
        <w:spacing w:before="0" w:beforeAutospacing="0" w:after="0"/>
        <w:ind w:firstLine="709"/>
        <w:jc w:val="both"/>
        <w:rPr>
          <w:sz w:val="28"/>
          <w:szCs w:val="28"/>
        </w:rPr>
      </w:pPr>
      <w:r>
        <w:rPr>
          <w:bCs/>
          <w:sz w:val="28"/>
          <w:szCs w:val="28"/>
        </w:rPr>
        <w:t xml:space="preserve">– </w:t>
      </w:r>
      <w:r w:rsidR="009D44F9" w:rsidRPr="00320BF3">
        <w:rPr>
          <w:bCs/>
          <w:sz w:val="28"/>
          <w:szCs w:val="28"/>
        </w:rPr>
        <w:t>Минэкономразвития России</w:t>
      </w:r>
      <w:r w:rsidR="009D44F9" w:rsidRPr="00320BF3">
        <w:rPr>
          <w:sz w:val="28"/>
          <w:szCs w:val="28"/>
        </w:rPr>
        <w:t xml:space="preserve"> издан приказ от 01.10.2018 № 527 </w:t>
      </w:r>
      <w:r>
        <w:rPr>
          <w:sz w:val="28"/>
          <w:szCs w:val="28"/>
        </w:rPr>
        <w:t xml:space="preserve">                    </w:t>
      </w:r>
      <w:r w:rsidR="009D44F9" w:rsidRPr="00320BF3">
        <w:rPr>
          <w:sz w:val="28"/>
          <w:szCs w:val="28"/>
        </w:rPr>
        <w:t>«О внесении изменений в Правила составления, подачи и рассмотрения документов, являющихся основанием для совершения юридически значимых действий по государственной регистрации изобретений, и их формы и Требования к документам заявки на выдачу патента на изобретение, утвержденные приказом Минэкономразвития России от 25 мая 2016 г. № 316» (зарегистрирован в Минюсте России 03.12.2018, регистрационный № 52851), предусматривающий ограничение использования ряда признаков при характеристике фармацевтической композиции в формуле изобретения, что позволит избежать «двойного» патентования уже известных композиций или их применения;</w:t>
      </w:r>
    </w:p>
    <w:p w14:paraId="0E21470F" w14:textId="7D2452AB"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направлен доклад в Правительство Российской Федерации о разработке предложений по конкретизации условий, при которых государственные (муниципальные) медицинские организации могут оказывать платные медицинские услуги. Правительством Российской Федерации поручено Минздраву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w:t>
      </w:r>
    </w:p>
    <w:p w14:paraId="2DAFC678" w14:textId="758471DA"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подготовлен и направлен в Правительство Российской Федерации доклад с предложениями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4B5DB007" w14:textId="7510A6DD"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проработан вопрос и в Правительство Российской Федерации направлен доклад об установлении профессиональной ответственности медицинских работников за нарушение требований законодательства Российской Федерации об обращении лекарственных средств и в сфере охраны здоровья.</w:t>
      </w:r>
    </w:p>
    <w:p w14:paraId="6436CC7D" w14:textId="77777777" w:rsidR="009D44F9" w:rsidRPr="00320BF3" w:rsidRDefault="009D44F9" w:rsidP="009D44F9">
      <w:pPr>
        <w:pStyle w:val="ab"/>
        <w:spacing w:before="0" w:beforeAutospacing="0" w:after="0"/>
        <w:ind w:firstLine="709"/>
        <w:jc w:val="both"/>
        <w:rPr>
          <w:sz w:val="28"/>
          <w:szCs w:val="28"/>
        </w:rPr>
      </w:pPr>
    </w:p>
    <w:p w14:paraId="254FD059"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Не исполненными остаются следующие мероприятия «дорожной карты», срок исполнения по которым истек в 2018 году:</w:t>
      </w:r>
    </w:p>
    <w:p w14:paraId="01F8A041" w14:textId="1ADE5111"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установление административной ответственности производителей биотехнологических и (или) орфанных лекарственных препаратов за непредоставление заинтересованным лицам по истечении 4 лет со дня государственной регистрации лекарственного препарата образцов таких лекарственных препаратов для проведения клинических исследований. Минздравом России разработан проект федерального закона, на который антимонопольным органом направлены замечания;</w:t>
      </w:r>
    </w:p>
    <w:p w14:paraId="3A28A0C0" w14:textId="5DD8B87D"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административной ответственности производителей биотехнологических и (или) орфанных лекарственных препаратов за нарушение требования о максимальной стоимости образца лекарственного препарата, входящего в перечень жизненно необходимых и важнейших лекарственных препаратов;</w:t>
      </w:r>
    </w:p>
    <w:p w14:paraId="43ABB600" w14:textId="5E2A7FE8"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формирование списка референтных лекарственных препаратов;</w:t>
      </w:r>
    </w:p>
    <w:p w14:paraId="2D71FD16" w14:textId="1F79C1B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административной ответственности производителей лекарственных препаратов за включение в инструкцию по медицинскому применению лекарственного препарата недостоверной информации относительно свойств и характеристик лекарственного препарата, а также за невключение в инструкцию по медицинскому применению лекарственного препарата актуальной информации относительно свойств и характеристик лекарственного препарата;</w:t>
      </w:r>
    </w:p>
    <w:p w14:paraId="0906FBBA" w14:textId="1D0992E7"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эквивалентности лекарственных форм лекарственных препаратов, зарегистрированных до утверждения приказом Минздрава России от 27 июля 2016 г. № 538н перечня наименований лекарственных форм лекарственных препаратов для медицинского применения;</w:t>
      </w:r>
    </w:p>
    <w:p w14:paraId="6BF3D407" w14:textId="13556058"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требования о предоставлении комиссией Минздрава России по формированию перечней лекарственных препаратов информации о всех лекарственных препаратах, включенных в перечень жизненно необходимых и важнейших лекарственных препаратов, имеющих эквивалентные показания к применению, при рассмотрении вопроса о включении лекарственного препарата в перечень жизненно необходимых и важнейших лекарственных препаратов;</w:t>
      </w:r>
    </w:p>
    <w:p w14:paraId="0419F8FF" w14:textId="4D5DBAD4"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проработка вопроса о мерах, направленных на информирование врачебного сообщества и пациентов о взаимозаменяемых лекарственных препаратах;</w:t>
      </w:r>
    </w:p>
    <w:p w14:paraId="73720A34" w14:textId="1FD52CF6"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введение требования к аптечным организациям о первом предложении покупателям наиболее дешевого взаимозаменяемого лекарственного препарата, требования об информировании покупателей о наличии более дешевых аналогов приобретаемых лекарственных препаратов и ценах на них, </w:t>
      </w:r>
      <w:r w:rsidR="009D44F9" w:rsidRPr="00320BF3">
        <w:rPr>
          <w:rFonts w:ascii="Times New Roman" w:hAnsi="Times New Roman" w:cs="Times New Roman"/>
          <w:sz w:val="28"/>
          <w:szCs w:val="28"/>
        </w:rPr>
        <w:t>по итогам 2018 года Минздравом России разработан проект приказа «О внесении изменений в надлежащие практики в сфере обращения лекарственных препаратов для медицинского применения»;</w:t>
      </w:r>
    </w:p>
    <w:p w14:paraId="78FE563D" w14:textId="502A99F4"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проработка вопроса о целесообразности внесения изменений в статью 18 Федерального закона «Об обращении лекарственных средств» в части установления запрета на государственную регистрацию воспроизведенных лекарственных препаратов в дозировках, отличающихся от дозировок референтных лекарственных препаратов, а также на государственную регистрацию воспроизведенных лекарственных препаратов, инструкции по медицинскому применению которых отличаются от инструкций по медицинскому применению референтных лекарственных препаратов;</w:t>
      </w:r>
    </w:p>
    <w:p w14:paraId="503F4AFC" w14:textId="0D611583"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порядка внесения изменений в инструкции по медицинскому применению лекарственных препаратов, зарегистрированных в рамках одного международного непатентованного наименования в части установления требования об обязательном внесении изменений во все инструкции по медицинскому применению лекарственных препаратов при изменении данных о противопоказаниях и побочных эффектах одного из лекарственных препаратов и проработка вопроса об административной ответственности держателей или владельцев регистрационных удостоверений за невыполнение указанных требований;</w:t>
      </w:r>
    </w:p>
    <w:p w14:paraId="272C83E2" w14:textId="6082FD55" w:rsidR="009D44F9" w:rsidRPr="00320BF3" w:rsidRDefault="00105499" w:rsidP="009D44F9">
      <w:pPr>
        <w:shd w:val="clear" w:color="auto" w:fill="FFFFFF"/>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порядка формирования перечней лекарственных препаратов в части исключения из них наименований лекарственных форм и включения способов введения лекарственных препаратов;</w:t>
      </w:r>
    </w:p>
    <w:p w14:paraId="71CC42E0" w14:textId="1C3D8F4E"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возможности определения страны происхождения лекарственного препарата для медицинского применения на основании сведений регистрационного удостоверения лекарственного препарата без необходимости получения сертификата СТ-1;</w:t>
      </w:r>
    </w:p>
    <w:p w14:paraId="442E7A0B" w14:textId="00AF6C9F"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сроков рассмотрения уполномоченным федеральным органом исполнительной власти споров, связанных с защитой интеллектуальных прав;</w:t>
      </w:r>
    </w:p>
    <w:p w14:paraId="460CDCC6" w14:textId="64E6B59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порядка определения взаимозаменяемости медицинских изделий, в том числе расходных материалов;</w:t>
      </w:r>
    </w:p>
    <w:p w14:paraId="767E7D88" w14:textId="01D1A460"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пересмотр процедуры формирования платы за экспертизу качества, эффективности и безопасности медицинских изделий, устранение произвольных решений уполномоченного федерального органа исполнительной власти в части определения места проведения, количества и характера испытаний медицинского изделия при государственной регистрации, установление процедуры досудебного обжалования результатов экспертизы качества, эффективности и безопасности медицинских изделий;</w:t>
      </w:r>
    </w:p>
    <w:p w14:paraId="6DA2AFEE" w14:textId="629BA421"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подготовка предложений о внесении изменений в перечень товаров, работ, услуг, в случае осуществления закупок которых заказчик обязан проводить аукцион в электронной форме (электронный аукцион), утвержденный распоряжением Правительства Российской Федерации от 21 марта 2016 г. № 471-р, в части включения в перечень всех медицинских изделий без исключений;</w:t>
      </w:r>
    </w:p>
    <w:p w14:paraId="15444276" w14:textId="723056D3"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обязанности участников государственных и муниципальных закупок - производителей медицинских изделий, для эксплуатации которых необходимо использование расходных материалов, указывать в технической документации производителя медицинского изделия требования к расходным материалам, обеспечивающим надлежащую эксплуатацию медицинского изделия, а также установление особенностей закупок государственными и муниципальными заказчиками медицинских изделий «закрытого» типа;</w:t>
      </w:r>
    </w:p>
    <w:p w14:paraId="76B66C3A" w14:textId="437FC0FB"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обязанности государственных и муниципальных заказчиков при закупке медицинских изделий определять начальную (максимальную) цену контракта с учетом затрат на приобретение расходных материалов и техническое обслуживание на период гарантийного срока эксплуатации медицинского изделия;</w:t>
      </w:r>
    </w:p>
    <w:p w14:paraId="4F62D239" w14:textId="171B3F6B" w:rsidR="009D44F9" w:rsidRPr="00320BF3" w:rsidRDefault="00105499" w:rsidP="009D44F9">
      <w:pPr>
        <w:tabs>
          <w:tab w:val="left" w:pos="993"/>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совершенствование нормативно-правового регулирования в сфере обращения биологически активных добавок путем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запрета на государственную регистрацию одноименных или похожих до степени смешения биологически активных добавок и лекарственных препаратов, однако, </w:t>
      </w:r>
      <w:r w:rsidR="009D44F9" w:rsidRPr="00320BF3">
        <w:rPr>
          <w:rFonts w:ascii="Times New Roman" w:hAnsi="Times New Roman" w:cs="Times New Roman"/>
          <w:sz w:val="28"/>
          <w:szCs w:val="28"/>
        </w:rPr>
        <w:t>Роспотребнадзор разработал и направил на согласование проект Решения Совета ЕЭК «О внесении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w:t>
      </w:r>
    </w:p>
    <w:p w14:paraId="1D27B6F1" w14:textId="77777777" w:rsidR="009D44F9" w:rsidRPr="00320BF3" w:rsidRDefault="009D44F9" w:rsidP="009D44F9">
      <w:pPr>
        <w:tabs>
          <w:tab w:val="left" w:pos="993"/>
        </w:tabs>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Задачами на 2019 год по развитию конкуренции на рынках лекарственных препаратов, медицинских изделий, медицинских услуг и биологически активных добавок антимонопольный орган ставит исполнение указанных выше невыполненных мероприятий «дорожной карты», а также мероприятий, запланированных в последующие годы, а именно:</w:t>
      </w:r>
    </w:p>
    <w:p w14:paraId="17A1F40D" w14:textId="0B5CA45F"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механизма допуска на российский рынок оригинальных лекарственных препаратов, прошедших клинические исследования и зарегистрированных в Европейском союзе, Соединенных Штатах Америки, Японии, предусматривающего в том числе их маркировку предупредительной надписью о том, что лекарственный препарат не прошел клинические исследования на территории Российской Федерации;</w:t>
      </w:r>
    </w:p>
    <w:p w14:paraId="3B1C488D" w14:textId="7C1A8256"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формирование реестра типовых инструкций по применению взаимозаменяемых лекарственных препаратов;</w:t>
      </w:r>
    </w:p>
    <w:p w14:paraId="47181B0B" w14:textId="2007156E"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проверка документов регистрационных досье на импортные лекарственные препараты на соответствие регистрационным досье на эти же лекарственные препараты, зарегистрированные за рубежом, а также проверка на соответствие регистрационных досье на референтные и воспроизведенные лекарственные препараты, зарегистрированные в Российской Федерации;</w:t>
      </w:r>
    </w:p>
    <w:p w14:paraId="02D25C54" w14:textId="4ACDDDEC" w:rsidR="009D44F9" w:rsidRPr="00320BF3" w:rsidRDefault="00105499" w:rsidP="009D44F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4F9" w:rsidRPr="00320BF3">
        <w:rPr>
          <w:rFonts w:ascii="Times New Roman" w:hAnsi="Times New Roman" w:cs="Times New Roman"/>
          <w:sz w:val="28"/>
          <w:szCs w:val="28"/>
        </w:rPr>
        <w:t>совершенствование процедуры государственной 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(Минздравом России совместно с ФАС России и заинтересованными федеральными органами исполнительной власти разработан проект постановления Правительства Российской Федерации, предусматривающий внесение изменений в постановления Правительства Российской Федерации от 29.10.2010 № 865 и от 15.09.2015 № 979, в проекте заложены принципы регулирования цен, предложенные ФАС России с учетом правоприменительной практики с 2015 года, в том числе: переход для отечественных препаратов от «затратного» метода регистрации цен к «индикативному», что упростит и объективизирует процесс регистрации цен, а также устранит дискриминацию отечественных производителей по сравнению с иностранными; введение формульной зависимости понижающего коэффициента для воспроизведенных лекарственных препаратов от ценовой группы референтного препарата; необходимость производителей лекарственных препаратов пересматривать зарегистрированные цены в случае их снижения в референтных странах; оптимизация перечня референтных стран с исключением из него стран с устойчиво высокими ценами (например, Дания), а также стран с нестабильными системами ценового регулирования (например, Казахстан); осуществление пересмотра ранее зарегистрированных цен в соответствии с предлагаемыми подходами, что приведет с синхронизации цен в Российской Федерации с ценами в референтных для России странах);</w:t>
      </w:r>
    </w:p>
    <w:p w14:paraId="5B2CA222" w14:textId="56C79314"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критериев состояния рынков лекарственных препаратов, закупка которых может осуществляться у единственного поставщика, установление процедуры отбора исполнителей контрактов на поставку лекарственных препаратов в целях подготовки проектов соответствующих актов Президента Российской Федерации и Правительства Российской Федерации об определении единственных поставщиков лекарственных препаратов;</w:t>
      </w:r>
    </w:p>
    <w:p w14:paraId="5A54E538" w14:textId="1FD5320F" w:rsidR="009D44F9" w:rsidRPr="00320BF3" w:rsidRDefault="00105499" w:rsidP="009D44F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установление возможности получения статуса единственного поставщика только в отношении лекарственных препаратов, не имеющих аналогов на территории Российской Федерации, </w:t>
      </w:r>
      <w:r w:rsidR="009D44F9" w:rsidRPr="00320BF3">
        <w:rPr>
          <w:rFonts w:ascii="Times New Roman" w:hAnsi="Times New Roman" w:cs="Times New Roman"/>
          <w:sz w:val="28"/>
          <w:szCs w:val="28"/>
        </w:rPr>
        <w:t xml:space="preserve">Минпромтогом России подготовлен проект федерального закона, предусматривающий внесение изменений в пункт 2 части 1 статьи 93 </w:t>
      </w:r>
      <w:r w:rsidR="006B238D">
        <w:rPr>
          <w:rFonts w:ascii="Times New Roman" w:hAnsi="Times New Roman" w:cs="Times New Roman"/>
          <w:sz w:val="28"/>
          <w:szCs w:val="28"/>
        </w:rPr>
        <w:t>З</w:t>
      </w:r>
      <w:r w:rsidR="009D44F9" w:rsidRPr="00320BF3">
        <w:rPr>
          <w:rFonts w:ascii="Times New Roman" w:hAnsi="Times New Roman" w:cs="Times New Roman"/>
          <w:sz w:val="28"/>
          <w:szCs w:val="28"/>
        </w:rPr>
        <w:t xml:space="preserve">акона </w:t>
      </w:r>
      <w:r w:rsidR="006B238D">
        <w:rPr>
          <w:rFonts w:ascii="Times New Roman" w:hAnsi="Times New Roman" w:cs="Times New Roman"/>
          <w:sz w:val="28"/>
          <w:szCs w:val="28"/>
        </w:rPr>
        <w:t>44-ФЗ</w:t>
      </w:r>
      <w:r w:rsidR="009D44F9" w:rsidRPr="00320BF3">
        <w:rPr>
          <w:rFonts w:ascii="Times New Roman" w:hAnsi="Times New Roman" w:cs="Times New Roman"/>
          <w:sz w:val="28"/>
          <w:szCs w:val="28"/>
        </w:rPr>
        <w:t>;</w:t>
      </w:r>
    </w:p>
    <w:p w14:paraId="05EA7149" w14:textId="75023248"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ограничений на заключение долгосрочных государственных контрактов на поставку лекарственных препаратов, в том числе установление возможности заключения долгосрочных государственных контрактов только в отношении лекарственных препаратов, защищенных патентами, при условии значительного снижения цен на такие лекарственные препараты, ограничение срока действия долгосрочных государственных контрактов сроком действия патента на лекарственный препарат либо датой выхода на рынок иного лекарственного препарата, имеющего те же показания к применению;</w:t>
      </w:r>
    </w:p>
    <w:p w14:paraId="0E08AC21" w14:textId="704FF88D"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принятие п</w:t>
      </w:r>
      <w:r w:rsidR="009D44F9" w:rsidRPr="00320BF3">
        <w:rPr>
          <w:rFonts w:ascii="Times New Roman" w:hAnsi="Times New Roman" w:cs="Times New Roman"/>
          <w:sz w:val="28"/>
          <w:szCs w:val="28"/>
        </w:rPr>
        <w:t>равил дистанционной торговли лекарственными препаратами (правил доставки покупателям лекарственных препаратов) аптечными организациями, включая механизм ограничения доступа к сайтам в информационно-телекоммуникационной сети «Интернет», не соответствующим указанным правилам;</w:t>
      </w:r>
    </w:p>
    <w:p w14:paraId="7DC020B6" w14:textId="46FF37ED"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административного регламента осуществления контроля за дистанционной торговлей лекарственными препаратами;</w:t>
      </w:r>
    </w:p>
    <w:p w14:paraId="4EB3E532" w14:textId="1EC3D137"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проработка вопроса о мерах поддержки аптечных организаций различных форм собственности в муниципальных образованиях с численностью населения до 100 тыс. человек в целях направления соответствующих рекомендаций </w:t>
      </w:r>
      <w:r w:rsidR="00A71026">
        <w:rPr>
          <w:rFonts w:ascii="Times New Roman" w:eastAsia="Times New Roman" w:hAnsi="Times New Roman" w:cs="Times New Roman"/>
          <w:sz w:val="28"/>
          <w:szCs w:val="28"/>
        </w:rPr>
        <w:t>в субъекты Российской Федерации;</w:t>
      </w:r>
    </w:p>
    <w:p w14:paraId="666C8B66" w14:textId="593DEA38"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административного регламента по определению взаимозаменяемости медицинских изделий;</w:t>
      </w:r>
    </w:p>
    <w:p w14:paraId="6D2CB8E5" w14:textId="374F4BDF"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определение понятий медицинских изделий «открытого» и «закрытого» типа, а также установление обязанности государственных и муниципальных заказчиков закупать медицинские изделия «открытого» типа;</w:t>
      </w:r>
    </w:p>
    <w:p w14:paraId="67BE1828" w14:textId="781E8891"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введение требования о включении в техническую документацию медицинского изделия данных о сроке эксплуатации, в том числе по гарантийному обслуживанию, стоимости технического обслуживания и ремонта медицинского изделия, а также о стоимости обучения медицинских работников правилам применения и эксплуатации медицинского изделия;</w:t>
      </w:r>
    </w:p>
    <w:p w14:paraId="02B1B730" w14:textId="466A2BB8"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требований в части технического обслуживания медицинских изделий, предоставления покупателю сведений, необходимых для работы с медицинским изделием, включая предоставление ключей, паролей доступа, программ и иных сведений, необходимых для монтажа, наладки, применения, эксплуатации, в том числе технического обслуживания медицинского изделия, установления запрета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размещения на официальном сайте Росздравнадзора документации на каждое медицинское изделие, установления обязанности производителей медицинских изделий на недискриминационной основе осуществлять обучение лиц, занимающихся техническим обслуживанием соответствующих медицинских изделий;</w:t>
      </w:r>
    </w:p>
    <w:p w14:paraId="76CD5B31" w14:textId="721C1439"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типовых контрактов, предусматривающих унифицированные технические задания по отдельным категориям медицинских изделий;</w:t>
      </w:r>
    </w:p>
    <w:p w14:paraId="3F304DD4" w14:textId="3A40BB81"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законодательства в сфере охраны здоровья в части определения объемов и видов медицинской помощи, оказываемой в рамках территориальных программ государственных гарантий бесплатного оказания гражданам медицинской помощи, ежегодного обновления программы государственных гарантий бесплатного оказания гражданам медицинской помощи при внедрении новых медицинских технологий;</w:t>
      </w:r>
    </w:p>
    <w:p w14:paraId="3B26A57E" w14:textId="3AED29A3"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9D44F9" w:rsidRPr="00320BF3">
        <w:rPr>
          <w:rFonts w:ascii="Times New Roman" w:hAnsi="Times New Roman" w:cs="Times New Roman"/>
          <w:sz w:val="28"/>
          <w:szCs w:val="28"/>
        </w:rPr>
        <w:t xml:space="preserve">внесение изменений в </w:t>
      </w:r>
      <w:hyperlink r:id="rId21" w:history="1">
        <w:r w:rsidR="009D44F9" w:rsidRPr="00320BF3">
          <w:rPr>
            <w:rFonts w:ascii="Times New Roman" w:hAnsi="Times New Roman" w:cs="Times New Roman"/>
            <w:sz w:val="28"/>
            <w:szCs w:val="28"/>
          </w:rPr>
          <w:t>пункт 3</w:t>
        </w:r>
      </w:hyperlink>
      <w:r w:rsidR="009D44F9" w:rsidRPr="00320BF3">
        <w:rPr>
          <w:rFonts w:ascii="Times New Roman" w:hAnsi="Times New Roman" w:cs="Times New Roman"/>
          <w:sz w:val="28"/>
          <w:szCs w:val="28"/>
        </w:rPr>
        <w:t xml:space="preserve"> постановления Правительства Российской Федерации от 21 ноября 2011 г. № 957 «Об организации лицензирования отдельных видов деятельности», предусматривающих порядок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без изменения реквизитов самой лицензии и без необходимости представления оригинала</w:t>
      </w:r>
      <w:r>
        <w:rPr>
          <w:rFonts w:ascii="Times New Roman" w:hAnsi="Times New Roman" w:cs="Times New Roman"/>
          <w:sz w:val="28"/>
          <w:szCs w:val="28"/>
        </w:rPr>
        <w:t xml:space="preserve"> лицензии в лицензирующий орган;</w:t>
      </w:r>
    </w:p>
    <w:p w14:paraId="54A7A6B1" w14:textId="3763155A"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утверждение и актуализация клинических рекомендаций (протоколов лечения);</w:t>
      </w:r>
    </w:p>
    <w:p w14:paraId="13F52EBF" w14:textId="6F36EDF1" w:rsidR="009D44F9" w:rsidRPr="00320BF3" w:rsidRDefault="00A71026" w:rsidP="009D44F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продолжение </w:t>
      </w:r>
      <w:r w:rsidR="009D44F9" w:rsidRPr="00320BF3">
        <w:rPr>
          <w:rFonts w:ascii="Times New Roman" w:hAnsi="Times New Roman" w:cs="Times New Roman"/>
          <w:sz w:val="28"/>
          <w:szCs w:val="28"/>
        </w:rPr>
        <w:t>ревизии Роспотребнадзором реестра свидетельств о государственной регистрации в целях выявления всех ранее зарегистрированных биологически активных добавок к пище, одноименных или похожих до степени смешения с лекарственными препаратами, по завершении которой планируется разработать проект рекомендаций Коллегии Евразийской экономической комиссии о принятии решения об изъятии соответствующих биологически активных добавок из оборота на территории стран Евразийского экономического союза.</w:t>
      </w:r>
    </w:p>
    <w:p w14:paraId="5D060E60" w14:textId="77777777" w:rsidR="00305E64" w:rsidRPr="00305E64" w:rsidRDefault="00305E64" w:rsidP="00305E64">
      <w:pPr>
        <w:spacing w:after="0" w:line="240" w:lineRule="auto"/>
        <w:ind w:firstLine="709"/>
        <w:jc w:val="both"/>
        <w:rPr>
          <w:rFonts w:ascii="Times New Roman" w:eastAsia="Times New Roman" w:hAnsi="Times New Roman" w:cs="Times New Roman"/>
          <w:sz w:val="28"/>
          <w:szCs w:val="28"/>
        </w:rPr>
      </w:pPr>
    </w:p>
    <w:p w14:paraId="4C625257" w14:textId="77777777" w:rsidR="00305E64" w:rsidRDefault="00883C8E" w:rsidP="00EF64DA">
      <w:pPr>
        <w:pStyle w:val="2"/>
      </w:pPr>
      <w:bookmarkStart w:id="651" w:name="_Toc7447967"/>
      <w:r w:rsidRPr="00FD751F">
        <w:t>В сфере образования</w:t>
      </w:r>
      <w:bookmarkStart w:id="652" w:name="_Toc1061887"/>
      <w:bookmarkStart w:id="653" w:name="_Toc1062003"/>
      <w:bookmarkStart w:id="654" w:name="_Toc1062125"/>
      <w:bookmarkStart w:id="655" w:name="_Toc1062238"/>
      <w:bookmarkStart w:id="656" w:name="_Toc2589734"/>
      <w:bookmarkStart w:id="657" w:name="_Toc2589867"/>
      <w:bookmarkStart w:id="658" w:name="_Toc2590006"/>
      <w:bookmarkStart w:id="659" w:name="_Toc3393200"/>
      <w:bookmarkStart w:id="660" w:name="_Toc3399209"/>
      <w:bookmarkStart w:id="661" w:name="_Toc3399359"/>
      <w:bookmarkStart w:id="662" w:name="_Toc3399504"/>
      <w:bookmarkStart w:id="663" w:name="_Toc3399696"/>
      <w:bookmarkStart w:id="664" w:name="_Toc3399840"/>
      <w:bookmarkStart w:id="665" w:name="_Toc3399984"/>
      <w:bookmarkStart w:id="666" w:name="_Toc3400303"/>
      <w:bookmarkStart w:id="667" w:name="_Toc3400428"/>
      <w:bookmarkStart w:id="668" w:name="_Toc3400548"/>
      <w:bookmarkStart w:id="669" w:name="_Toc3557022"/>
      <w:bookmarkStart w:id="670" w:name="_Toc3559227"/>
      <w:bookmarkStart w:id="671" w:name="_Toc3914439"/>
      <w:bookmarkStart w:id="672" w:name="_Toc3914561"/>
      <w:bookmarkStart w:id="673" w:name="_Toc3915547"/>
      <w:bookmarkStart w:id="674" w:name="_Toc3916154"/>
      <w:bookmarkStart w:id="675" w:name="_Toc3917064"/>
      <w:bookmarkStart w:id="676" w:name="_Toc3917714"/>
      <w:bookmarkStart w:id="677" w:name="_Toc3988470"/>
      <w:bookmarkStart w:id="678" w:name="_Toc3989479"/>
      <w:bookmarkStart w:id="679" w:name="_Toc3990123"/>
      <w:bookmarkStart w:id="680" w:name="_Toc3991699"/>
      <w:bookmarkStart w:id="681" w:name="_Toc3992604"/>
      <w:bookmarkStart w:id="682" w:name="_Toc4000371"/>
      <w:bookmarkStart w:id="683" w:name="_Toc4426368"/>
      <w:bookmarkStart w:id="684" w:name="_Toc4426497"/>
      <w:bookmarkStart w:id="685" w:name="_Toc4426682"/>
      <w:bookmarkStart w:id="686" w:name="_Toc4426811"/>
      <w:bookmarkStart w:id="687" w:name="_Toc4428409"/>
      <w:bookmarkStart w:id="688" w:name="_Toc4429840"/>
      <w:bookmarkStart w:id="689" w:name="_Toc4429969"/>
      <w:bookmarkStart w:id="690" w:name="_Toc4430095"/>
      <w:bookmarkStart w:id="691" w:name="_Toc4430220"/>
      <w:bookmarkStart w:id="692" w:name="_Toc4430343"/>
      <w:bookmarkStart w:id="693" w:name="_Toc4430465"/>
      <w:bookmarkStart w:id="694" w:name="_Toc4430586"/>
      <w:bookmarkStart w:id="695" w:name="_Toc4431382"/>
      <w:bookmarkStart w:id="696" w:name="_Toc4431501"/>
      <w:bookmarkStart w:id="697" w:name="_Toc4431622"/>
      <w:bookmarkStart w:id="698" w:name="_Toc4431743"/>
      <w:bookmarkStart w:id="699" w:name="_Toc4433442"/>
      <w:bookmarkStart w:id="700" w:name="_Toc4433704"/>
      <w:bookmarkStart w:id="701" w:name="_Toc4433825"/>
      <w:bookmarkStart w:id="702" w:name="_Toc4434373"/>
      <w:bookmarkStart w:id="703" w:name="_Toc4436218"/>
      <w:bookmarkStart w:id="704" w:name="_Toc4436340"/>
      <w:bookmarkStart w:id="705" w:name="_Toc4436461"/>
      <w:bookmarkStart w:id="706" w:name="_Toc4436729"/>
      <w:bookmarkStart w:id="707" w:name="_Toc4436897"/>
      <w:bookmarkStart w:id="708" w:name="_Toc4437123"/>
      <w:bookmarkStart w:id="709" w:name="_Toc4437358"/>
      <w:bookmarkStart w:id="710" w:name="_Toc4438120"/>
      <w:bookmarkStart w:id="711" w:name="_Toc4438365"/>
      <w:bookmarkStart w:id="712" w:name="_Toc4438484"/>
      <w:bookmarkStart w:id="713" w:name="_Toc4438603"/>
      <w:bookmarkStart w:id="714" w:name="_Toc4491356"/>
      <w:bookmarkStart w:id="715" w:name="_Toc4492917"/>
      <w:bookmarkStart w:id="716" w:name="_Toc4588548"/>
      <w:bookmarkStart w:id="717" w:name="_Toc4592901"/>
      <w:bookmarkStart w:id="718" w:name="_Toc4593026"/>
      <w:bookmarkStart w:id="719" w:name="_Toc4596200"/>
      <w:bookmarkStart w:id="720" w:name="_Toc4596316"/>
      <w:bookmarkStart w:id="721" w:name="_Toc4601186"/>
      <w:bookmarkStart w:id="722" w:name="_Toc4601473"/>
      <w:bookmarkStart w:id="723" w:name="_Toc4604051"/>
      <w:bookmarkStart w:id="724" w:name="_Toc4604166"/>
      <w:bookmarkStart w:id="725" w:name="_Toc4605296"/>
      <w:bookmarkStart w:id="726" w:name="_Toc4660185"/>
      <w:bookmarkStart w:id="727" w:name="_Toc4660300"/>
      <w:bookmarkStart w:id="728" w:name="_Toc4683288"/>
      <w:bookmarkStart w:id="729" w:name="_Toc4683404"/>
      <w:bookmarkStart w:id="730" w:name="_Toc4684393"/>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651"/>
    </w:p>
    <w:p w14:paraId="59864A99" w14:textId="77777777" w:rsidR="007325DF" w:rsidRPr="007325DF" w:rsidRDefault="007325DF"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731" w:name="_Toc7189769"/>
      <w:bookmarkStart w:id="732" w:name="_Toc7189999"/>
      <w:bookmarkStart w:id="733" w:name="_Toc7190353"/>
      <w:bookmarkStart w:id="734" w:name="_Toc7190802"/>
      <w:bookmarkStart w:id="735" w:name="_Toc7191538"/>
      <w:bookmarkStart w:id="736" w:name="_Toc7447163"/>
      <w:bookmarkStart w:id="737" w:name="_Toc7447968"/>
      <w:bookmarkEnd w:id="731"/>
      <w:bookmarkEnd w:id="732"/>
      <w:bookmarkEnd w:id="733"/>
      <w:bookmarkEnd w:id="734"/>
      <w:bookmarkEnd w:id="735"/>
      <w:bookmarkEnd w:id="736"/>
      <w:bookmarkEnd w:id="737"/>
    </w:p>
    <w:p w14:paraId="6E47E9C8" w14:textId="77777777" w:rsidR="00DA3F05" w:rsidRPr="00DA3F05" w:rsidRDefault="00DA3F05" w:rsidP="00DA3F05">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738" w:name="_Toc7191539"/>
      <w:bookmarkStart w:id="739" w:name="_Toc7447164"/>
      <w:bookmarkStart w:id="740" w:name="_Toc7447969"/>
      <w:bookmarkEnd w:id="738"/>
      <w:bookmarkEnd w:id="739"/>
      <w:bookmarkEnd w:id="740"/>
    </w:p>
    <w:p w14:paraId="12B82C49" w14:textId="3FE278FA" w:rsidR="004700E2" w:rsidRPr="004700E2" w:rsidRDefault="004700E2" w:rsidP="00DA3F05">
      <w:pPr>
        <w:pStyle w:val="3"/>
      </w:pPr>
      <w:r w:rsidRPr="004700E2">
        <w:t xml:space="preserve"> </w:t>
      </w:r>
      <w:bookmarkStart w:id="741" w:name="_Toc7447970"/>
      <w:r w:rsidRPr="004700E2">
        <w:t>Состояние конкуренции: тенденции и проблемы</w:t>
      </w:r>
      <w:bookmarkEnd w:id="741"/>
    </w:p>
    <w:p w14:paraId="3E8795F5"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1. Состояние конкуренции на рынках дошкольного образования</w:t>
      </w:r>
    </w:p>
    <w:p w14:paraId="72909CA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сохранялась проблема доступности дошкольного образования. Это в том числе связно с недостатком механизмов поддержки частных образовательных организаций. Для повышения доступности дошкольного образования необходимо использовать не только метод бюджетного финансирования, но и иные методы поддержки частных образовательных организаций.</w:t>
      </w:r>
    </w:p>
    <w:p w14:paraId="30D601BE" w14:textId="34E472B5"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считает целесообразным изучать практики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обобщение и распространение которых будет направлено на реализацию принципа обеспечения развития малого и среднего предпринимательства и стимулирования со стороны государства добросовестных практик осуществления хозяйственной деятельности, определенных Указом Президента Российской Федерации № 618 в качестве основополагающих принципов государственной политики по развитию конкуренции.</w:t>
      </w:r>
    </w:p>
    <w:p w14:paraId="1D0D987D"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p>
    <w:p w14:paraId="2D9FAB4F"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2. Состояние конкуренции на рынках поставок учебного оборудования</w:t>
      </w:r>
    </w:p>
    <w:p w14:paraId="617BBC81"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Федеральной антимонопольной службой выявлено неравное положение участников рынка поставок учебного оборудования с участниками рынка комплексного оснащения строящихся объектов общего образования учебным оборудованием. Так, участники рынка, основным видом деятельности которых является поставка учебного оборудования и обладающие соответствующим опытом в данной сфере лишены права осуществлять деятельность на данном рынке по сравнению с участниками рынка комплексного оснащения строящихся объектов общего образования учебным оборудованием, основным видом деятельности которых является строительство школ-новостроек, так как в настоящее время школы-новостройки сдаются уже с оснащенными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закупка которых осуществляется строительными компаниями.</w:t>
      </w:r>
    </w:p>
    <w:p w14:paraId="62FB93A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планирует направить в субъекты Российской Федерации разъяснения об использовании механизмов разделения работ по строительству общеобразовательных организаций и их комплексному оснащению учебным оборудованием.</w:t>
      </w:r>
    </w:p>
    <w:p w14:paraId="685C51FF"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Минобрнауки России разработан проект Методических рекомендаций оснащения общеобразовательных организаций средствами обучения и воспитания, перечень которых утвержден приказом Министерства образования и науки Российской Федерации от 30.03.2016 №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(далее – Перечень, Методические рекомендации).</w:t>
      </w:r>
    </w:p>
    <w:p w14:paraId="38C285CB" w14:textId="7063C293"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Перечнем предусмотрена чрезмерно детальная регламентация характеристик отдельных видов средств обучения и воспитания, что, по мнению ФАС России, могло привести к нарушению </w:t>
      </w:r>
      <w:r w:rsidR="00A9411C">
        <w:rPr>
          <w:rFonts w:ascii="Times New Roman" w:hAnsi="Times New Roman" w:cs="Times New Roman"/>
          <w:sz w:val="28"/>
          <w:szCs w:val="28"/>
        </w:rPr>
        <w:t>З</w:t>
      </w:r>
      <w:r w:rsidRPr="004700E2">
        <w:rPr>
          <w:rFonts w:ascii="Times New Roman" w:hAnsi="Times New Roman" w:cs="Times New Roman"/>
          <w:sz w:val="28"/>
          <w:szCs w:val="28"/>
        </w:rPr>
        <w:t>акон</w:t>
      </w:r>
      <w:r w:rsidR="00A9411C">
        <w:rPr>
          <w:rFonts w:ascii="Times New Roman" w:hAnsi="Times New Roman" w:cs="Times New Roman"/>
          <w:sz w:val="28"/>
          <w:szCs w:val="28"/>
        </w:rPr>
        <w:t>а о защите конкуренции</w:t>
      </w:r>
      <w:r w:rsidRPr="004700E2">
        <w:rPr>
          <w:rFonts w:ascii="Times New Roman" w:hAnsi="Times New Roman" w:cs="Times New Roman"/>
          <w:sz w:val="28"/>
          <w:szCs w:val="28"/>
        </w:rPr>
        <w:t xml:space="preserve"> и </w:t>
      </w:r>
      <w:r w:rsidR="00A9411C">
        <w:rPr>
          <w:rFonts w:ascii="Times New Roman" w:hAnsi="Times New Roman" w:cs="Times New Roman"/>
          <w:sz w:val="28"/>
          <w:szCs w:val="28"/>
        </w:rPr>
        <w:t>З</w:t>
      </w:r>
      <w:r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xml:space="preserve"> в части сокращения числа участников рынка учебного оборудования для общеобразовательных школ и получения отдельными производителями учебного оборудования необоснованных конкурентных преимуществ. </w:t>
      </w:r>
    </w:p>
    <w:p w14:paraId="199394A4"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мнению ФАС России, требования к размерам, комплектации, цветовому оформлению средств обучения и воспитания должны определяться заказчиком самостоятельно исходя из дизайна и общего оформления помещений общеобразовательной организации. При описании объекта закупки заказчик самостоятельно устанавливает в документации о закупке показатели товара, позволяющие определить соответствие закупаемого товара установленным заказчиком требованиям. При этом заказчик вправе включить в документацию о закупке только те требования к используемым для выполнения работ товарам, которые, по мнению заказчика, являются значимыми для качественного выполнения работ, а также при условии, что такие требования не влекут за собой ограничение количества участников закупки.</w:t>
      </w:r>
    </w:p>
    <w:p w14:paraId="4DBA0D87" w14:textId="479DBA5B"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неоднократно отказывало Минобрнауки России в согласовании Методических рекомендаций, выступая с предложением рассмотреть вопрос об изъятии из характеристик отдельных видов средств обучения и воспитания избыточной детализации, оставив ссылки на нормативные требования (ГОСТы, СанПиНы, технические регламенты и др.), поскольку обратное может привести к нарушению требований Закона о защите конкуренции и </w:t>
      </w:r>
      <w:r w:rsidR="00A9411C">
        <w:rPr>
          <w:rFonts w:ascii="Times New Roman" w:hAnsi="Times New Roman" w:cs="Times New Roman"/>
          <w:sz w:val="28"/>
          <w:szCs w:val="28"/>
        </w:rPr>
        <w:t>З</w:t>
      </w:r>
      <w:r w:rsidR="00A9411C"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В 2019 году ФАС России планирует завершить работы по согласованию Методических рекомендаций в части создания равных условий для участников рынка учебного оборудования.</w:t>
      </w:r>
    </w:p>
    <w:p w14:paraId="75A5C57D"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p>
    <w:p w14:paraId="73963741"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3. Состояние конкуренции на рынках дополнительного профессионального образования</w:t>
      </w:r>
    </w:p>
    <w:p w14:paraId="64D2B9B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выявила проблему недопущения организаций дополнительного профессионального образования к профессиональному обучению оценщиков.</w:t>
      </w:r>
    </w:p>
    <w:p w14:paraId="032B7A20" w14:textId="6C4E3AD9"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Согласно статье 21 Федеральн</w:t>
      </w:r>
      <w:r w:rsidR="00A9411C">
        <w:rPr>
          <w:rFonts w:ascii="Times New Roman" w:hAnsi="Times New Roman" w:cs="Times New Roman"/>
          <w:sz w:val="28"/>
          <w:szCs w:val="28"/>
        </w:rPr>
        <w:t>ого</w:t>
      </w:r>
      <w:r w:rsidRPr="004700E2">
        <w:rPr>
          <w:rFonts w:ascii="Times New Roman" w:hAnsi="Times New Roman" w:cs="Times New Roman"/>
          <w:sz w:val="28"/>
          <w:szCs w:val="28"/>
        </w:rPr>
        <w:t xml:space="preserve"> закон</w:t>
      </w:r>
      <w:r w:rsidR="00A9411C">
        <w:rPr>
          <w:rFonts w:ascii="Times New Roman" w:hAnsi="Times New Roman" w:cs="Times New Roman"/>
          <w:sz w:val="28"/>
          <w:szCs w:val="28"/>
        </w:rPr>
        <w:t>а</w:t>
      </w:r>
      <w:r w:rsidRPr="004700E2">
        <w:rPr>
          <w:rFonts w:ascii="Times New Roman" w:hAnsi="Times New Roman" w:cs="Times New Roman"/>
          <w:sz w:val="28"/>
          <w:szCs w:val="28"/>
        </w:rPr>
        <w:t xml:space="preserve"> от 29.07.1998 № 135-ФЗ «Об     оценочной деятельности в Российской Федерации» профессиональное обучение оценщиков осуществляется образовательными организациями высшего образования по программам магистратуры, профессиональной переподготовки, повышения квалификации.</w:t>
      </w:r>
    </w:p>
    <w:p w14:paraId="35F8CC8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Таким образом, организации дополнительного профессионального образования, которые проводили подготовку оценщиков с момента возникновения этого направления в Российской Федерации, утратили право на осуществление своей основной деятельности по реализации программ профессиональной переподготовки и повышения квалификации. </w:t>
      </w:r>
    </w:p>
    <w:p w14:paraId="24CB4C0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целесообразным внести изменения в законодательство Российской Федерации, предусматривающие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w:t>
      </w:r>
    </w:p>
    <w:p w14:paraId="262FC7F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p>
    <w:p w14:paraId="1216FD0A"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4. Состояние конкуренции на рынках организации отдыха и оздоровления детей</w:t>
      </w:r>
    </w:p>
    <w:p w14:paraId="16F625DA" w14:textId="3E2FBFDC"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В целях выполнения поручения Правительства Российской Федерации от 27.12.2016 № ОГ-П8-7985 по вопросу о проведении анализа полноты учета поручений, предусмотренных пунктом 1 перечня поручений Президента Российской Федерации от 06.07.2016 № Пр-1300, ФАС России совместно с заинтересованными органами власти ведётся работа над проектами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(далее – Законопроект об отдыхе и оздоровлении детей) и «О внесении изменений в Кодекс Российской Федерации об административных правонарушениях», предусматривающими равные условия доступа на рынок организации отдыха и оздоровления детей.  </w:t>
      </w:r>
    </w:p>
    <w:p w14:paraId="7C16DF0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Законопроектом предлагается установить обязанность организаций отдыха детей и их оздоровления представлять сведения о своей деятельности в орган исполнительной власти субъекта Российской Федерации в сфере организации отдыха и оздоровления детей для включения в реестр организаций отдыха детей и их оздоровления (далее – Реестр) в установленном порядке.</w:t>
      </w:r>
    </w:p>
    <w:p w14:paraId="147710A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Реестром предусматривалось внесение сведений о наличии лицензии на осуществление медицинской деятельности, а также сведений о наличии лицензии на осуществление образовательной деятельности. То есть законопроектом об отдыхе и оздоровлении детей предлагалось возложение на организации, осуществляющие деятельность по организации отдыха детей и их оздоровления, обязанности по наличию медицинской лицензии и получению лицензии на осуществление образовательной деятельности. </w:t>
      </w:r>
    </w:p>
    <w:p w14:paraId="36C66295" w14:textId="5C9FAB26"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Реализация дополнительных образовательных программ, также, как и оказание медицинской помощи является лишь составной, но не основной частью комплекса услуг, предоставляемых детям в организациях отдыха и оздоровления детей. Не все организации отдыха и оздоровления детей оказывают медицинские и образ</w:t>
      </w:r>
      <w:r w:rsidR="00A9411C">
        <w:rPr>
          <w:rFonts w:ascii="Times New Roman" w:hAnsi="Times New Roman" w:cs="Times New Roman"/>
          <w:sz w:val="28"/>
          <w:szCs w:val="28"/>
        </w:rPr>
        <w:t>овательные услуги. Вместе с тем</w:t>
      </w:r>
      <w:r w:rsidRPr="004700E2">
        <w:rPr>
          <w:rFonts w:ascii="Times New Roman" w:hAnsi="Times New Roman" w:cs="Times New Roman"/>
          <w:sz w:val="28"/>
          <w:szCs w:val="28"/>
        </w:rPr>
        <w:t xml:space="preserve"> часть образовательных организаций оказывают услуги по организации отдыха и оздоровления детей, однако наличие у них лицензии на образовательную и медицинскую деятельность, даже при условии соблюдения всех лицензионных требований, не гарантирует безопасность детей, находящихся на отдыхе. </w:t>
      </w:r>
    </w:p>
    <w:p w14:paraId="73C0C365"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Таким образом, по мнению ФАС России, обязательное наличие лицензии на осуществление образовательной и медицинской деятельности является избыточным требованием для организаций отдыха и оздоровления детей и никак не повлияет на качество услуг, но может привести к необоснованному сокращению количества участников соответствующего товарного рынка.</w:t>
      </w:r>
    </w:p>
    <w:p w14:paraId="4514EEA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итогам согласительных совещаний с Минобрнауки России и заинтересованными федеральными органами исполнительной власти Российской Федерации были учтены замечания ФАС России в части внесения в Реестр организаций отдыха и оздоровления детей (Реестр) сведений не только о наличии лицензии на осуществление медицинской, но и, в случае, отсутствия такой лицензии, представление сведений о наличии договора об оказании медицинской помощи, заключаемого между организацией отдыха детей и их оздоровления и медицинской организацией,  а также сведений о наличии лицензии на осуществление образовательной деятельности (в случае осуществления образовательной деятельности по основным и дополнительным общеобразовательным программам, основным программам профессионального обучения).</w:t>
      </w:r>
    </w:p>
    <w:p w14:paraId="4F146B5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Кроме того, учтены замечания ФАС России по раскрытию полного перечня оснований для отказа о внесении сведений об организациях отдыха детей и их оздоровления в Реестр. ФАС России предложено конкретизировать перечень оснований отказа организациям отдыха детей и их оздоровления во включение в Реестр, в том числе раскрыв нормы законодательства Российской Федерации, требованиям которого должны соответствовать указанные организации, так как неопределенность содержания правовой нормы не может обеспечить ее единообразного понимания, создает возможность злоупотребления исполнительной властью своими полномочиями, порождает противоречивую правоприменительную практику (постановление Конституционного Суда Российской Федерации от 06.04.2004 № 7-П). </w:t>
      </w:r>
    </w:p>
    <w:p w14:paraId="5D66A6F2"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Также, аналогичные уточнения были внесены в Законопроект об отдыхе и оздоровлении детей, в части конкретизации оснований для отказа организациям отдыха детей и их оздоровления во внесение в Реестр изменений в сведения о таких организациях, а также дополнением уточнений в отношении перечня изменений, сведения о которых указанным организациям необходимо сообщать в орган исполнительной власти субъекта Российской Федерации с целью последующего внесения таких изменений в Реестр.</w:t>
      </w:r>
    </w:p>
    <w:p w14:paraId="1B34D1EF" w14:textId="461F708C" w:rsidR="00305E64"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2019 году ФАС России планируется завершить работу по вопросу процедуры отбора организаций отдыха и оздоровления детей.</w:t>
      </w:r>
    </w:p>
    <w:p w14:paraId="053CC7DE" w14:textId="77777777" w:rsidR="004700E2" w:rsidRDefault="004700E2" w:rsidP="004700E2">
      <w:pPr>
        <w:autoSpaceDE w:val="0"/>
        <w:autoSpaceDN w:val="0"/>
        <w:adjustRightInd w:val="0"/>
        <w:spacing w:after="0" w:line="240" w:lineRule="auto"/>
        <w:jc w:val="both"/>
        <w:rPr>
          <w:rFonts w:ascii="Times New Roman" w:hAnsi="Times New Roman" w:cs="Times New Roman"/>
          <w:sz w:val="28"/>
          <w:szCs w:val="28"/>
        </w:rPr>
      </w:pPr>
    </w:p>
    <w:p w14:paraId="7825826C" w14:textId="167B68F9" w:rsidR="004700E2" w:rsidRPr="00EA60D1" w:rsidRDefault="004700E2" w:rsidP="00DA3F05">
      <w:pPr>
        <w:pStyle w:val="3"/>
      </w:pPr>
      <w:r w:rsidRPr="00EA60D1">
        <w:t xml:space="preserve"> </w:t>
      </w:r>
      <w:bookmarkStart w:id="742" w:name="_Toc7447971"/>
      <w:r w:rsidRPr="00EA60D1">
        <w:t>Достигнутые результаты развития конкуренции и предложения по развитию конкуренции</w:t>
      </w:r>
      <w:bookmarkEnd w:id="742"/>
    </w:p>
    <w:p w14:paraId="5209508F"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1. В 2018 году ФАС России разработаны мероприятия в сфере общего, профессионального и дополнительного образования, которые утверждены распоряжением Правительства Российской Федерации от 16.08.2018                            № 1697-р «О плане мероприятий («дорожной карте»)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(далее – «дорожная карта»).</w:t>
      </w:r>
    </w:p>
    <w:p w14:paraId="4A646A5F"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В рамках реализации «дорожной карты» исполнены следующие мероприятия подраздела «Общее образование» раздела </w:t>
      </w:r>
      <w:r w:rsidRPr="00320BF3">
        <w:rPr>
          <w:rFonts w:cs="Times New Roman"/>
          <w:color w:val="000000"/>
          <w:sz w:val="28"/>
          <w:szCs w:val="28"/>
          <w:lang w:val="en-US"/>
        </w:rPr>
        <w:t>II</w:t>
      </w:r>
      <w:r w:rsidRPr="00320BF3">
        <w:rPr>
          <w:rFonts w:cs="Times New Roman"/>
          <w:color w:val="000000"/>
          <w:sz w:val="28"/>
          <w:szCs w:val="28"/>
        </w:rPr>
        <w:t xml:space="preserve"> «Образование»:</w:t>
      </w:r>
    </w:p>
    <w:p w14:paraId="095191FC"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изучение существующих практик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w:t>
      </w:r>
    </w:p>
    <w:p w14:paraId="195A315D"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разъяснения по вопросу реализации права педагогических работников частных образовательных организаций, проживающих в сельских населенных пунктах, рабочих поселках (поселках городского типа), на компенсацию расходов на оплату коммунальных услуг. </w:t>
      </w:r>
    </w:p>
    <w:p w14:paraId="342474D5"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Указанные мероприятия направлены на формирование базы данных об используемых в субъектах Российской Федерации механизмах поддержки частных образовательных организаций и повышение доступности дошкольного образования.</w:t>
      </w:r>
    </w:p>
    <w:p w14:paraId="75A2E41F"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Мероприятие, направленное на обеспечение конкуренции на рынке </w:t>
      </w:r>
      <w:r w:rsidRPr="00320BF3">
        <w:rPr>
          <w:rFonts w:cs="Times New Roman"/>
          <w:sz w:val="28"/>
          <w:szCs w:val="28"/>
          <w:lang w:eastAsia="ru-RU"/>
        </w:rPr>
        <w:t>комплексного оснащения строящихся объектов общеобразовательных организаций учебным оборудованием</w:t>
      </w:r>
      <w:r w:rsidRPr="00320BF3">
        <w:rPr>
          <w:rFonts w:cs="Times New Roman"/>
          <w:color w:val="000000"/>
          <w:sz w:val="28"/>
          <w:szCs w:val="28"/>
        </w:rPr>
        <w:t xml:space="preserve">, а именно подготовка и направление в субъекты Российской Федерации информационного письма 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 находится в стадии реализации. </w:t>
      </w:r>
    </w:p>
    <w:p w14:paraId="051663D0"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 xml:space="preserve">Также, исполнено мероприятие </w:t>
      </w:r>
      <w:r w:rsidRPr="00320BF3">
        <w:rPr>
          <w:rFonts w:cs="Times New Roman"/>
          <w:color w:val="000000"/>
          <w:sz w:val="28"/>
          <w:szCs w:val="28"/>
        </w:rPr>
        <w:t xml:space="preserve">«дорожной карты» </w:t>
      </w:r>
      <w:r w:rsidRPr="00320BF3">
        <w:rPr>
          <w:rFonts w:cs="Times New Roman"/>
          <w:sz w:val="28"/>
          <w:szCs w:val="28"/>
        </w:rPr>
        <w:t xml:space="preserve">по </w:t>
      </w:r>
      <w:r w:rsidRPr="00320BF3">
        <w:rPr>
          <w:rFonts w:cs="Times New Roman"/>
          <w:color w:val="000000"/>
          <w:sz w:val="28"/>
          <w:szCs w:val="28"/>
        </w:rPr>
        <w:t xml:space="preserve">внесению изменений в законодательство Российской Федерации, предусматривающих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Данное мероприятие направлено на </w:t>
      </w:r>
      <w:r w:rsidRPr="00320BF3">
        <w:rPr>
          <w:rFonts w:cs="Times New Roman"/>
          <w:sz w:val="28"/>
          <w:szCs w:val="28"/>
        </w:rPr>
        <w:t>обеспечение конкуренции на рынке образовательных услуг в сфере подготовки оценщиков.</w:t>
      </w:r>
    </w:p>
    <w:p w14:paraId="46FFE16D" w14:textId="623FC0AE"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Государственной Думой Федерального Собрания Российской Федерации 5 июля 2018 г.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Госдумы Российской Федерации). Указанный законопрое</w:t>
      </w:r>
      <w:r w:rsidR="00A9411C">
        <w:rPr>
          <w:rFonts w:cs="Times New Roman"/>
          <w:color w:val="000000"/>
          <w:sz w:val="28"/>
          <w:szCs w:val="28"/>
        </w:rPr>
        <w:t>кт предусматривает, в том числе</w:t>
      </w:r>
      <w:r w:rsidRPr="00320BF3">
        <w:rPr>
          <w:rFonts w:cs="Times New Roman"/>
          <w:color w:val="000000"/>
          <w:sz w:val="28"/>
          <w:szCs w:val="28"/>
        </w:rPr>
        <w:t xml:space="preserve">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 организациями, осуществляющими образовательную деятельность в соответствии с законодательством Российской Федерации. </w:t>
      </w:r>
    </w:p>
    <w:p w14:paraId="6177FBA5" w14:textId="77777777" w:rsidR="004700E2" w:rsidRPr="00320BF3" w:rsidRDefault="004700E2" w:rsidP="004700E2">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color w:val="000000"/>
          <w:sz w:val="28"/>
          <w:szCs w:val="28"/>
          <w:lang w:eastAsia="ru-RU"/>
        </w:rPr>
        <w:t xml:space="preserve">Разработанные мероприятия направлены на поддержку частных образовательных организаций и повышение доступности образования на рынке дошкольного образования, рынке комплексного оснащения учебным оборудованием, рынке образовательных услуг в сфере подготовки оценщиков. Так, согласно </w:t>
      </w:r>
      <w:r w:rsidRPr="00320BF3">
        <w:rPr>
          <w:rFonts w:ascii="Times New Roman" w:hAnsi="Times New Roman" w:cs="Times New Roman"/>
          <w:color w:val="000000"/>
          <w:sz w:val="28"/>
          <w:szCs w:val="28"/>
        </w:rPr>
        <w:t xml:space="preserve">«дорожной карте» </w:t>
      </w:r>
      <w:r w:rsidRPr="00320BF3">
        <w:rPr>
          <w:rFonts w:ascii="Times New Roman" w:eastAsia="Times New Roman" w:hAnsi="Times New Roman" w:cs="Times New Roman"/>
          <w:color w:val="000000"/>
          <w:sz w:val="28"/>
          <w:szCs w:val="28"/>
          <w:lang w:eastAsia="ru-RU"/>
        </w:rPr>
        <w:t xml:space="preserve">по образованию выработаны </w:t>
      </w:r>
      <w:r w:rsidRPr="00320BF3">
        <w:rPr>
          <w:rFonts w:ascii="Times New Roman" w:eastAsia="Times New Roman" w:hAnsi="Times New Roman" w:cs="Times New Roman"/>
          <w:sz w:val="28"/>
          <w:szCs w:val="28"/>
          <w:lang w:eastAsia="ru-RU"/>
        </w:rPr>
        <w:t>предложения по совершенствованию недискриминационных условий работы для всех участников соответствующих рынков.</w:t>
      </w:r>
    </w:p>
    <w:p w14:paraId="52FDDC1B" w14:textId="359E8CD7" w:rsidR="004700E2" w:rsidRPr="00320BF3"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320BF3">
        <w:rPr>
          <w:rFonts w:ascii="Times New Roman" w:eastAsia="Times New Roman" w:hAnsi="Times New Roman" w:cs="Times New Roman"/>
          <w:sz w:val="28"/>
          <w:szCs w:val="28"/>
          <w:lang w:eastAsia="ru-RU"/>
        </w:rPr>
        <w:t xml:space="preserve">2. </w:t>
      </w:r>
      <w:r w:rsidRPr="00320BF3">
        <w:rPr>
          <w:rFonts w:ascii="Times New Roman" w:hAnsi="Times New Roman" w:cs="Times New Roman"/>
          <w:sz w:val="28"/>
          <w:szCs w:val="28"/>
        </w:rPr>
        <w:t>Разработаны методики по расчету в субъектах Российской Федерации ключевых показателей развития конкуренции на рынках дошкольного образования, отдыха и оздоровления детей, услуг высшего профессионального образования, услуг среднего профессионального образования, услуг дошкольного образования, услуг общего образования и психолого-педагогического сопровождения детей с ограниченными возможностями здоровья в субъектах Российской Федерации в целях исполнения Указа Президента Российской Федерации № 618, утвердившего Национальный план развития конкуренции в Российской Федерации на 2018-2020 годы, Перечня поручений Президента Российской Федерации № Пр-817ГС по итогам заседания Государственного совета Российской Федерации от 05.04.2018. Указанные методики направлены на повышение экономической эффективности и конкурентоспособности хозяйствующих субъектов;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6FF1D89D" w14:textId="474CDECF" w:rsidR="004700E2" w:rsidRPr="00320BF3"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320BF3">
        <w:rPr>
          <w:rFonts w:ascii="Times New Roman" w:hAnsi="Times New Roman" w:cs="Times New Roman"/>
          <w:sz w:val="28"/>
          <w:szCs w:val="28"/>
        </w:rPr>
        <w:t xml:space="preserve">3. В 2018 году ФАС России выдано предупреждение Московской областной Думе от 06.02.2018 № ИА/7393/18 по признакам нарушения пунктов 2, 5, 8 части 1 статьи 15 </w:t>
      </w:r>
      <w:r w:rsidR="00A9411C">
        <w:rPr>
          <w:rFonts w:ascii="Times New Roman" w:hAnsi="Times New Roman" w:cs="Times New Roman"/>
          <w:sz w:val="28"/>
          <w:szCs w:val="28"/>
        </w:rPr>
        <w:t>Закона о защите конкуренции</w:t>
      </w:r>
      <w:r w:rsidRPr="00320BF3">
        <w:rPr>
          <w:rFonts w:ascii="Times New Roman" w:hAnsi="Times New Roman" w:cs="Times New Roman"/>
          <w:sz w:val="28"/>
          <w:szCs w:val="28"/>
        </w:rPr>
        <w:t xml:space="preserve">, выразившего в установлении не предусмотренных законодательством Российской Федерации полномочий Московскому государственному областному университету (далее – Университет) путем принятия и реализации Закона Московской области от 22.12.2016 № 172/2016-ОЗ «Об установлении полномочия Государственного образовательного учреждения высшего образования Московской области Московского государственного областного университета», согласно которому на территории Московской области Университет является единственным поставщиком (исполнителем) по оказанию образовательных услуг по подготовке работников контрактных служб, контрактных управляющих органов государственной власти Московской области, государственных органов власти и органов местного самоуправления муниципальных образований Московской области, а также государственных учреждений и государственных унитарных предприятий Московской области, муниципальных учреждений и муниципальных образований Московской области. Нарушение выразилось в создании дискриминационных условий для участников рынка образовательных услуг, предписывая всем заказчикам Московской области осуществлять закупки исключительно у единственного поставщика. </w:t>
      </w:r>
    </w:p>
    <w:p w14:paraId="2C0FF2F3" w14:textId="3E8EE894"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320BF3">
        <w:rPr>
          <w:rFonts w:ascii="Times New Roman" w:hAnsi="Times New Roman" w:cs="Times New Roman"/>
          <w:sz w:val="28"/>
          <w:szCs w:val="28"/>
        </w:rPr>
        <w:t>Так, предупреждение ФАС России исполнено в полном объеме. 26.04.2018 принят Закон Московской области «О признании утратившим силу Закона Московской области «Об установлении полномочия Государственного образовательного учреждения высшего образования Московской области Московского государственного областного университета»</w:t>
      </w:r>
      <w:r w:rsidRPr="004700E2">
        <w:rPr>
          <w:rFonts w:ascii="Times New Roman" w:hAnsi="Times New Roman" w:cs="Times New Roman"/>
          <w:sz w:val="28"/>
          <w:szCs w:val="28"/>
        </w:rPr>
        <w:t>.</w:t>
      </w:r>
    </w:p>
    <w:p w14:paraId="35632759" w14:textId="77777777" w:rsidR="00305E64" w:rsidRPr="00305E64" w:rsidRDefault="00305E64" w:rsidP="00305E64">
      <w:pPr>
        <w:spacing w:after="0" w:line="240" w:lineRule="auto"/>
        <w:ind w:firstLine="708"/>
        <w:jc w:val="both"/>
        <w:rPr>
          <w:rFonts w:ascii="Times New Roman" w:hAnsi="Times New Roman" w:cs="Times New Roman"/>
          <w:sz w:val="28"/>
          <w:szCs w:val="28"/>
        </w:rPr>
      </w:pPr>
    </w:p>
    <w:p w14:paraId="29308870" w14:textId="6104909E" w:rsidR="004700E2" w:rsidRPr="004700E2" w:rsidRDefault="00883C8E" w:rsidP="00EF64DA">
      <w:pPr>
        <w:pStyle w:val="2"/>
      </w:pPr>
      <w:bookmarkStart w:id="743" w:name="_Toc7447972"/>
      <w:r w:rsidRPr="00FD751F">
        <w:t xml:space="preserve">На рынке </w:t>
      </w:r>
      <w:r w:rsidRPr="00F86A5D">
        <w:t>социальных</w:t>
      </w:r>
      <w:r w:rsidRPr="00FD751F">
        <w:t xml:space="preserve"> услуг</w:t>
      </w:r>
      <w:bookmarkStart w:id="744" w:name="_Toc1061891"/>
      <w:bookmarkStart w:id="745" w:name="_Toc1062007"/>
      <w:bookmarkStart w:id="746" w:name="_Toc1062129"/>
      <w:bookmarkStart w:id="747" w:name="_Toc1062242"/>
      <w:bookmarkStart w:id="748" w:name="_Toc2589738"/>
      <w:bookmarkStart w:id="749" w:name="_Toc2589871"/>
      <w:bookmarkStart w:id="750" w:name="_Toc2590010"/>
      <w:bookmarkStart w:id="751" w:name="_Toc3393204"/>
      <w:bookmarkStart w:id="752" w:name="_Toc3399213"/>
      <w:bookmarkStart w:id="753" w:name="_Toc3399363"/>
      <w:bookmarkStart w:id="754" w:name="_Toc3399508"/>
      <w:bookmarkStart w:id="755" w:name="_Toc3399700"/>
      <w:bookmarkStart w:id="756" w:name="_Toc3399844"/>
      <w:bookmarkStart w:id="757" w:name="_Toc3399988"/>
      <w:bookmarkStart w:id="758" w:name="_Toc3400307"/>
      <w:bookmarkStart w:id="759" w:name="_Toc3400432"/>
      <w:bookmarkStart w:id="760" w:name="_Toc3400552"/>
      <w:bookmarkStart w:id="761" w:name="_Toc3557026"/>
      <w:bookmarkStart w:id="762" w:name="_Toc3559231"/>
      <w:bookmarkStart w:id="763" w:name="_Toc3914443"/>
      <w:bookmarkStart w:id="764" w:name="_Toc3914565"/>
      <w:bookmarkStart w:id="765" w:name="_Toc3915551"/>
      <w:bookmarkStart w:id="766" w:name="_Toc3916158"/>
      <w:bookmarkStart w:id="767" w:name="_Toc3917068"/>
      <w:bookmarkStart w:id="768" w:name="_Toc3917718"/>
      <w:bookmarkStart w:id="769" w:name="_Toc3988474"/>
      <w:bookmarkStart w:id="770" w:name="_Toc3989483"/>
      <w:bookmarkStart w:id="771" w:name="_Toc3990127"/>
      <w:bookmarkStart w:id="772" w:name="_Toc3991703"/>
      <w:bookmarkStart w:id="773" w:name="_Toc3992608"/>
      <w:bookmarkStart w:id="774" w:name="_Toc4000375"/>
      <w:bookmarkStart w:id="775" w:name="_Toc4426372"/>
      <w:bookmarkStart w:id="776" w:name="_Toc4426501"/>
      <w:bookmarkStart w:id="777" w:name="_Toc4426686"/>
      <w:bookmarkStart w:id="778" w:name="_Toc4426815"/>
      <w:bookmarkStart w:id="779" w:name="_Toc4428413"/>
      <w:bookmarkStart w:id="780" w:name="_Toc4429844"/>
      <w:bookmarkStart w:id="781" w:name="_Toc4429973"/>
      <w:bookmarkStart w:id="782" w:name="_Toc4430099"/>
      <w:bookmarkStart w:id="783" w:name="_Toc4430224"/>
      <w:bookmarkStart w:id="784" w:name="_Toc4430347"/>
      <w:bookmarkStart w:id="785" w:name="_Toc4430469"/>
      <w:bookmarkStart w:id="786" w:name="_Toc4430590"/>
      <w:bookmarkStart w:id="787" w:name="_Toc4431386"/>
      <w:bookmarkStart w:id="788" w:name="_Toc4431505"/>
      <w:bookmarkStart w:id="789" w:name="_Toc4431626"/>
      <w:bookmarkStart w:id="790" w:name="_Toc4431747"/>
      <w:bookmarkStart w:id="791" w:name="_Toc4433446"/>
      <w:bookmarkStart w:id="792" w:name="_Toc4433708"/>
      <w:bookmarkStart w:id="793" w:name="_Toc4433829"/>
      <w:bookmarkStart w:id="794" w:name="_Toc4434377"/>
      <w:bookmarkStart w:id="795" w:name="_Toc4436222"/>
      <w:bookmarkStart w:id="796" w:name="_Toc4436344"/>
      <w:bookmarkStart w:id="797" w:name="_Toc4436465"/>
      <w:bookmarkStart w:id="798" w:name="_Toc4436733"/>
      <w:bookmarkStart w:id="799" w:name="_Toc4436901"/>
      <w:bookmarkStart w:id="800" w:name="_Toc4437127"/>
      <w:bookmarkStart w:id="801" w:name="_Toc4437362"/>
      <w:bookmarkStart w:id="802" w:name="_Toc4438124"/>
      <w:bookmarkStart w:id="803" w:name="_Toc4438369"/>
      <w:bookmarkStart w:id="804" w:name="_Toc4438488"/>
      <w:bookmarkStart w:id="805" w:name="_Toc4438607"/>
      <w:bookmarkStart w:id="806" w:name="_Toc4491360"/>
      <w:bookmarkStart w:id="807" w:name="_Toc4492921"/>
      <w:bookmarkStart w:id="808" w:name="_Toc4588552"/>
      <w:bookmarkStart w:id="809" w:name="_Toc4592905"/>
      <w:bookmarkStart w:id="810" w:name="_Toc4593030"/>
      <w:bookmarkStart w:id="811" w:name="_Toc4596204"/>
      <w:bookmarkStart w:id="812" w:name="_Toc4596320"/>
      <w:bookmarkStart w:id="813" w:name="_Toc4601190"/>
      <w:bookmarkStart w:id="814" w:name="_Toc4601477"/>
      <w:bookmarkStart w:id="815" w:name="_Toc4604055"/>
      <w:bookmarkStart w:id="816" w:name="_Toc4604170"/>
      <w:bookmarkStart w:id="817" w:name="_Toc4605300"/>
      <w:bookmarkStart w:id="818" w:name="_Toc4660189"/>
      <w:bookmarkStart w:id="819" w:name="_Toc4660304"/>
      <w:bookmarkStart w:id="820" w:name="_Toc4683292"/>
      <w:bookmarkStart w:id="821" w:name="_Toc4683408"/>
      <w:bookmarkStart w:id="822" w:name="_Toc4684397"/>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743"/>
    </w:p>
    <w:p w14:paraId="36A28C6E" w14:textId="77777777" w:rsidR="00B7243F" w:rsidRPr="00B7243F" w:rsidRDefault="00B7243F"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823" w:name="_Toc7189773"/>
      <w:bookmarkStart w:id="824" w:name="_Toc7190003"/>
      <w:bookmarkStart w:id="825" w:name="_Toc7190357"/>
      <w:bookmarkStart w:id="826" w:name="_Toc7190806"/>
      <w:bookmarkStart w:id="827" w:name="_Toc7191543"/>
      <w:bookmarkStart w:id="828" w:name="_Toc7447168"/>
      <w:bookmarkStart w:id="829" w:name="_Toc7447973"/>
      <w:bookmarkEnd w:id="823"/>
      <w:bookmarkEnd w:id="824"/>
      <w:bookmarkEnd w:id="825"/>
      <w:bookmarkEnd w:id="826"/>
      <w:bookmarkEnd w:id="827"/>
      <w:bookmarkEnd w:id="828"/>
      <w:bookmarkEnd w:id="829"/>
    </w:p>
    <w:p w14:paraId="3D52EF40" w14:textId="77777777" w:rsidR="00DA3F05" w:rsidRPr="00DA3F05" w:rsidRDefault="00DA3F05" w:rsidP="00DA3F05">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830" w:name="_Toc7191544"/>
      <w:bookmarkStart w:id="831" w:name="_Toc7447169"/>
      <w:bookmarkStart w:id="832" w:name="_Toc7447974"/>
      <w:bookmarkEnd w:id="830"/>
      <w:bookmarkEnd w:id="831"/>
      <w:bookmarkEnd w:id="832"/>
    </w:p>
    <w:p w14:paraId="3B4FE11F" w14:textId="37D9E5D5" w:rsidR="004700E2" w:rsidRPr="004700E2" w:rsidRDefault="004700E2" w:rsidP="00DA3F05">
      <w:pPr>
        <w:pStyle w:val="3"/>
      </w:pPr>
      <w:bookmarkStart w:id="833" w:name="_Toc7447975"/>
      <w:r w:rsidRPr="004700E2">
        <w:t>Состояние конкуренции: тенденции и проблемы</w:t>
      </w:r>
      <w:bookmarkEnd w:id="833"/>
    </w:p>
    <w:p w14:paraId="027C34D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Меры по развитию конкуренции на рынках социальных услуг предусмотрены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w:t>
      </w:r>
    </w:p>
    <w:p w14:paraId="7203AFA9" w14:textId="6B0C808A"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Указанная «дорожная карта» определяет тенденции развития конкуренции</w:t>
      </w:r>
      <w:r w:rsidR="00A9411C">
        <w:rPr>
          <w:rFonts w:ascii="Times New Roman" w:hAnsi="Times New Roman" w:cs="Times New Roman"/>
          <w:sz w:val="28"/>
          <w:szCs w:val="28"/>
          <w:lang w:eastAsia="ru-RU"/>
        </w:rPr>
        <w:t>,</w:t>
      </w:r>
      <w:r w:rsidRPr="004700E2">
        <w:rPr>
          <w:rFonts w:ascii="Times New Roman" w:hAnsi="Times New Roman" w:cs="Times New Roman"/>
          <w:sz w:val="28"/>
          <w:szCs w:val="28"/>
          <w:lang w:eastAsia="ru-RU"/>
        </w:rPr>
        <w:t xml:space="preserve"> в том числе и на рынках, связанных с социальной сферой. Через призму развития конкуренции между участниками рынков социальной сферы ФАС России предполагает решение имеющихся проблем с обеспечением нуждающихся в технических средствах реабилитации, оказанием им социальных услуг, повышением качества производимой продукции. Так, например, на рынках социальных услуг предусмотрены следующие мероприятия:</w:t>
      </w:r>
    </w:p>
    <w:p w14:paraId="1276CFE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1.</w:t>
      </w:r>
      <w:r w:rsidRPr="004700E2">
        <w:rPr>
          <w:rFonts w:ascii="Times New Roman" w:hAnsi="Times New Roman" w:cs="Times New Roman"/>
          <w:sz w:val="28"/>
          <w:szCs w:val="28"/>
          <w:lang w:eastAsia="ru-RU"/>
        </w:rPr>
        <w:tab/>
        <w:t xml:space="preserve">Разработка и утверждение типовых контрактов,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w:t>
      </w:r>
    </w:p>
    <w:p w14:paraId="73126B84"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предусмотрено в целях урегулирования порядка проведения государственных закупок технических средств реабилитации отдельных видов уполномоченными органами (Фонд социального страхования Российской Федерации и органы исполнительной власти субъектов Российской Федерации), осуществляющими переданные полномочия по обеспечению инвалидов техническими средствами реабилитации и услугами, и применение типовых контрактов, включающих требования к гарантийному сроку, профессиональному сервисному обслуживанию и логистике, осуществляемой производителем продукции (уполномоченным им лицом), технических заданий, включающих единые требования к техническим и функциональным характеристикам технических средств реабилитации соответствующего вида (со ссылкой на ГОСТы), а также повышения качества отечественных технических средств реабилитации (услуг) инвалидов, выдаваемых за счет средств федерального бюджета.</w:t>
      </w:r>
    </w:p>
    <w:p w14:paraId="24B3934D"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2.</w:t>
      </w:r>
      <w:r w:rsidRPr="004700E2">
        <w:rPr>
          <w:rFonts w:ascii="Times New Roman" w:hAnsi="Times New Roman" w:cs="Times New Roman"/>
          <w:sz w:val="28"/>
          <w:szCs w:val="28"/>
          <w:lang w:eastAsia="ru-RU"/>
        </w:rPr>
        <w:tab/>
        <w:t>Внесение изменений в Федеральный закон «О социальной защите инвалидов в Российской Федерации» и статью 8 Федерального закона «Об обязательном социальном страховании от несчастных случаев на производстве и профессиональных заболеваний» в части внедрения механизма обеспечения инвалидов техническими средствами реабилитации путем предоставления электронного сертификата на отдельные виды технических средств реабилитации (трости опорные и тактильные, костыли, опоры, поручни, кресла-коляски, не требующие индивидуального изготовления, и с электроприводом, малогабаритные, противопролежневые матрацы и подушки, специальные устройства для чтения «говорящих книг», для оптической коррекции слабовидения, телевизоры с телетекстом для приема программ со скрытыми субтитрами, телефонные устройства с текстовым выходом и др.), в том числе с использованием возможностей федеральной государственной информационной системы «Федеральный реестр инвалидов».</w:t>
      </w:r>
    </w:p>
    <w:p w14:paraId="1826BDA1"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направлено на увеличение доли технических средств реабилитации, получаемых непосредственно инвалидами от поставщиков и производителей данной продукции, усиление конкуренции между производителями и поставщиками, улучшение качества производимой продукции и предоставляемых услуг с учетом требований заказчиков, сокращение маршрута инвалида при получении технических средств реабилитации.</w:t>
      </w:r>
    </w:p>
    <w:p w14:paraId="214575FF"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3. Внесение изменений в законодательство Российской Федерации в части усиления административной ответственности за ограничение работников в праве выбора кредитной организации в целях перечисления заработной платы в безналичном порядке.</w:t>
      </w:r>
    </w:p>
    <w:p w14:paraId="00CC8D6F" w14:textId="59AC2A1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направлено на создание условий для обеспечения прав работников при выборе кредитной организации для зачисления на открытый в ней счет заработной платы (внесение изменений в статью 5.27 Кодекса </w:t>
      </w:r>
      <w:r w:rsidR="00A9411C">
        <w:rPr>
          <w:rFonts w:ascii="Times New Roman" w:hAnsi="Times New Roman" w:cs="Times New Roman"/>
          <w:sz w:val="28"/>
          <w:szCs w:val="28"/>
          <w:lang w:eastAsia="ru-RU"/>
        </w:rPr>
        <w:t xml:space="preserve">Российской Федерации </w:t>
      </w:r>
      <w:r w:rsidRPr="004700E2">
        <w:rPr>
          <w:rFonts w:ascii="Times New Roman" w:hAnsi="Times New Roman" w:cs="Times New Roman"/>
          <w:sz w:val="28"/>
          <w:szCs w:val="28"/>
          <w:lang w:eastAsia="ru-RU"/>
        </w:rPr>
        <w:t>об административных правонарушениях).</w:t>
      </w:r>
    </w:p>
    <w:p w14:paraId="425A8DFA"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4. Утверждение профессионального стандарта в сфере конкурентного права.</w:t>
      </w:r>
    </w:p>
    <w:p w14:paraId="27058192"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предусмотрено в целях создания современных квалификационных требований к работникам в сфере конкурентного права, создание современных квалификационных требований к работникам в сфере конкурентного права. </w:t>
      </w:r>
    </w:p>
    <w:p w14:paraId="45EF0608" w14:textId="1948838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Ожидаемыми результатами развития конкуренции в сфере социальных услуг является обеспечение возможности участия в оказании социальных услуг негосударственным организациям на недискриминационной основе.</w:t>
      </w:r>
    </w:p>
    <w:p w14:paraId="5E81AA6E" w14:textId="77777777" w:rsidR="004700E2" w:rsidRDefault="004700E2" w:rsidP="004700E2">
      <w:pPr>
        <w:rPr>
          <w:lang w:eastAsia="ru-RU"/>
        </w:rPr>
      </w:pPr>
    </w:p>
    <w:p w14:paraId="0F09A164" w14:textId="31CCD5B3" w:rsidR="004700E2" w:rsidRPr="004700E2" w:rsidRDefault="004700E2" w:rsidP="00DA3F05">
      <w:pPr>
        <w:pStyle w:val="3"/>
      </w:pPr>
      <w:bookmarkStart w:id="834" w:name="_Toc7447976"/>
      <w:r w:rsidRPr="004700E2">
        <w:t>Достигнутые результаты развития конкуренции и предложения по развитию конкуренции</w:t>
      </w:r>
      <w:bookmarkEnd w:id="834"/>
    </w:p>
    <w:p w14:paraId="7F813258" w14:textId="01D1A585"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соответствии с информацией</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размещенной на сайте Министерства труда и социального развития Российской Федерации</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w:t>
      </w:r>
      <w:r w:rsidR="009616C5">
        <w:rPr>
          <w:rFonts w:ascii="Times New Roman" w:eastAsia="Times New Roman" w:hAnsi="Times New Roman" w:cs="Times New Roman"/>
          <w:sz w:val="28"/>
          <w:szCs w:val="28"/>
          <w:lang w:eastAsia="ru-RU"/>
        </w:rPr>
        <w:t>в связи с чем</w:t>
      </w:r>
      <w:r w:rsidR="002D2F13">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sz w:val="28"/>
          <w:szCs w:val="28"/>
          <w:lang w:eastAsia="ru-RU"/>
        </w:rPr>
        <w:t xml:space="preserve">удалось достигнуть следующих результатов. </w:t>
      </w:r>
    </w:p>
    <w:p w14:paraId="1A7562F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24616C87"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488D3AA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6D0F062E"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746D0EC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w:t>
      </w:r>
    </w:p>
    <w:p w14:paraId="16DD53CC"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43E468B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w:t>
      </w:r>
    </w:p>
    <w:p w14:paraId="2C910EE4" w14:textId="77777777" w:rsidR="004700E2" w:rsidRPr="004700E2" w:rsidRDefault="004700E2" w:rsidP="004700E2">
      <w:pPr>
        <w:autoSpaceDE w:val="0"/>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 По информации субъектов Российской Федерации в 39 субъектах Российской Федерации реализуются технологии сопровождаемого проживания инвалидов, в 18 субъектах проведены подготовительные работы. 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53F50A55"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w:t>
      </w:r>
    </w:p>
    <w:p w14:paraId="7A9A3FFC"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Принят приказ Минтруда России от 24 декабря 2018 г. № 834н </w:t>
      </w:r>
      <w:r w:rsidRPr="004700E2">
        <w:rPr>
          <w:rFonts w:ascii="Times New Roman" w:hAnsi="Times New Roman" w:cs="Times New Roman"/>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w:t>
      </w:r>
    </w:p>
    <w:p w14:paraId="0A958FF9"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Трудового кодекса Российской Федерации». </w:t>
      </w:r>
    </w:p>
    <w:p w14:paraId="26C10CD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color w:val="000000"/>
          <w:sz w:val="28"/>
          <w:szCs w:val="28"/>
          <w:lang w:eastAsia="ru-RU"/>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4700E2">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color w:val="000000"/>
          <w:sz w:val="28"/>
          <w:szCs w:val="28"/>
          <w:lang w:eastAsia="ru-RU"/>
        </w:rPr>
        <w:t>праву».</w:t>
      </w:r>
    </w:p>
    <w:p w14:paraId="57155ABB" w14:textId="77777777" w:rsidR="004700E2" w:rsidRPr="004700E2" w:rsidRDefault="004700E2" w:rsidP="004700E2">
      <w:pPr>
        <w:autoSpaceDE w:val="0"/>
        <w:spacing w:after="0" w:line="240" w:lineRule="auto"/>
        <w:ind w:firstLine="709"/>
        <w:jc w:val="both"/>
        <w:rPr>
          <w:rFonts w:ascii="Times New Roman" w:eastAsia="Times New Roman" w:hAnsi="Times New Roman" w:cs="Times New Roman"/>
          <w:sz w:val="28"/>
          <w:szCs w:val="28"/>
        </w:rPr>
      </w:pPr>
      <w:r w:rsidRPr="004700E2">
        <w:rPr>
          <w:rFonts w:ascii="Times New Roman" w:hAnsi="Times New Roman" w:cs="Times New Roman"/>
          <w:iCs/>
          <w:sz w:val="28"/>
          <w:szCs w:val="28"/>
        </w:rPr>
        <w:t xml:space="preserve">Принят приказ Минтруда России </w:t>
      </w:r>
      <w:r w:rsidRPr="004700E2">
        <w:rPr>
          <w:rFonts w:ascii="Times New Roman" w:eastAsia="Times New Roman" w:hAnsi="Times New Roman" w:cs="Times New Roman"/>
          <w:sz w:val="28"/>
          <w:szCs w:val="28"/>
        </w:rPr>
        <w:t>от 30 ноября 2018 г. № 762</w:t>
      </w:r>
      <w:r w:rsidRPr="004700E2">
        <w:rPr>
          <w:rFonts w:ascii="Times New Roman"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4700E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6946A999"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56E5417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w:t>
      </w:r>
    </w:p>
    <w:p w14:paraId="340DB89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w:t>
      </w:r>
    </w:p>
    <w:p w14:paraId="0D6E64F3"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4700E2">
        <w:rPr>
          <w:rFonts w:ascii="Times New Roman" w:eastAsia="Times New Roman" w:hAnsi="Times New Roman" w:cs="Times New Roman"/>
          <w:sz w:val="28"/>
          <w:szCs w:val="28"/>
          <w:lang w:eastAsia="ru-RU"/>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2F741C26" w14:textId="70596D8E"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необходимым в последующем продолжение работы над разработкой типовых контрактов, включение технических средств реабилитации в Каталог товаров, работ, услуг, внедрение электронного сертификата </w:t>
      </w:r>
      <w:r w:rsidRPr="004700E2">
        <w:rPr>
          <w:rFonts w:ascii="Times New Roman" w:eastAsia="Times New Roman" w:hAnsi="Times New Roman" w:cs="Times New Roman"/>
          <w:sz w:val="28"/>
          <w:szCs w:val="28"/>
        </w:rPr>
        <w:t>на отдельные виды технических средств реабилитации, что позволит улучшить доступ различных производителей на товарные рынки социальных товаров, работ и услуг, постоянно совершенствовать предлагаемый товар, позитивно влияя на обеспечение и качество жизни инвалидов.</w:t>
      </w:r>
    </w:p>
    <w:p w14:paraId="0AEAE265" w14:textId="77777777" w:rsidR="005E5F6F" w:rsidRPr="002300FE" w:rsidRDefault="00883C8E" w:rsidP="00EF64DA">
      <w:pPr>
        <w:pStyle w:val="2"/>
      </w:pPr>
      <w:bookmarkStart w:id="835" w:name="_Toc7447977"/>
      <w:r w:rsidRPr="00FD751F">
        <w:t xml:space="preserve">В сфере </w:t>
      </w:r>
      <w:r w:rsidRPr="00611557">
        <w:t>агропромышленного</w:t>
      </w:r>
      <w:r w:rsidRPr="00FD751F">
        <w:t xml:space="preserve"> комплекса</w:t>
      </w:r>
      <w:bookmarkStart w:id="836" w:name="_Toc1061895"/>
      <w:bookmarkStart w:id="837" w:name="_Toc1062011"/>
      <w:bookmarkStart w:id="838" w:name="_Toc1062133"/>
      <w:bookmarkStart w:id="839" w:name="_Toc1062246"/>
      <w:bookmarkStart w:id="840" w:name="_Toc2589742"/>
      <w:bookmarkStart w:id="841" w:name="_Toc2589875"/>
      <w:bookmarkStart w:id="842" w:name="_Toc2590014"/>
      <w:bookmarkStart w:id="843" w:name="_Toc3393208"/>
      <w:bookmarkStart w:id="844" w:name="_Toc3399217"/>
      <w:bookmarkStart w:id="845" w:name="_Toc3399367"/>
      <w:bookmarkStart w:id="846" w:name="_Toc3399512"/>
      <w:bookmarkStart w:id="847" w:name="_Toc3399704"/>
      <w:bookmarkStart w:id="848" w:name="_Toc3399848"/>
      <w:bookmarkStart w:id="849" w:name="_Toc3399992"/>
      <w:bookmarkStart w:id="850" w:name="_Toc3400311"/>
      <w:bookmarkStart w:id="851" w:name="_Toc3400436"/>
      <w:bookmarkStart w:id="852" w:name="_Toc3400556"/>
      <w:bookmarkStart w:id="853" w:name="_Toc3557030"/>
      <w:bookmarkStart w:id="854" w:name="_Toc3559235"/>
      <w:bookmarkStart w:id="855" w:name="_Toc3914447"/>
      <w:bookmarkStart w:id="856" w:name="_Toc3914569"/>
      <w:bookmarkStart w:id="857" w:name="_Toc3915555"/>
      <w:bookmarkStart w:id="858" w:name="_Toc3916162"/>
      <w:bookmarkStart w:id="859" w:name="_Toc3917072"/>
      <w:bookmarkStart w:id="860" w:name="_Toc3917722"/>
      <w:bookmarkStart w:id="861" w:name="_Toc3988478"/>
      <w:bookmarkStart w:id="862" w:name="_Toc3989487"/>
      <w:bookmarkStart w:id="863" w:name="_Toc3990131"/>
      <w:bookmarkStart w:id="864" w:name="_Toc3991707"/>
      <w:bookmarkStart w:id="865" w:name="_Toc3992612"/>
      <w:bookmarkStart w:id="866" w:name="_Toc4000379"/>
      <w:bookmarkStart w:id="867" w:name="_Toc4426376"/>
      <w:bookmarkStart w:id="868" w:name="_Toc4426505"/>
      <w:bookmarkStart w:id="869" w:name="_Toc4426690"/>
      <w:bookmarkStart w:id="870" w:name="_Toc4426819"/>
      <w:bookmarkStart w:id="871" w:name="_Toc4428417"/>
      <w:bookmarkStart w:id="872" w:name="_Toc4429848"/>
      <w:bookmarkStart w:id="873" w:name="_Toc4429977"/>
      <w:bookmarkStart w:id="874" w:name="_Toc4430103"/>
      <w:bookmarkStart w:id="875" w:name="_Toc4430228"/>
      <w:bookmarkStart w:id="876" w:name="_Toc4430351"/>
      <w:bookmarkStart w:id="877" w:name="_Toc4430473"/>
      <w:bookmarkStart w:id="878" w:name="_Toc4430594"/>
      <w:bookmarkStart w:id="879" w:name="_Toc4431390"/>
      <w:bookmarkStart w:id="880" w:name="_Toc4431509"/>
      <w:bookmarkStart w:id="881" w:name="_Toc4431630"/>
      <w:bookmarkStart w:id="882" w:name="_Toc4431751"/>
      <w:bookmarkStart w:id="883" w:name="_Toc4433450"/>
      <w:bookmarkStart w:id="884" w:name="_Toc4433712"/>
      <w:bookmarkStart w:id="885" w:name="_Toc4433833"/>
      <w:bookmarkStart w:id="886" w:name="_Toc4434381"/>
      <w:bookmarkStart w:id="887" w:name="_Toc4436226"/>
      <w:bookmarkStart w:id="888" w:name="_Toc4436348"/>
      <w:bookmarkStart w:id="889" w:name="_Toc4436469"/>
      <w:bookmarkStart w:id="890" w:name="_Toc4436737"/>
      <w:bookmarkStart w:id="891" w:name="_Toc4436905"/>
      <w:bookmarkStart w:id="892" w:name="_Toc4437131"/>
      <w:bookmarkStart w:id="893" w:name="_Toc4437366"/>
      <w:bookmarkStart w:id="894" w:name="_Toc4438128"/>
      <w:bookmarkStart w:id="895" w:name="_Toc4438373"/>
      <w:bookmarkStart w:id="896" w:name="_Toc4438492"/>
      <w:bookmarkStart w:id="897" w:name="_Toc4438611"/>
      <w:bookmarkStart w:id="898" w:name="_Toc4491364"/>
      <w:bookmarkStart w:id="899" w:name="_Toc4492925"/>
      <w:bookmarkStart w:id="900" w:name="_Toc4588556"/>
      <w:bookmarkStart w:id="901" w:name="_Toc4592909"/>
      <w:bookmarkStart w:id="902" w:name="_Toc4593034"/>
      <w:bookmarkStart w:id="903" w:name="_Toc4596208"/>
      <w:bookmarkStart w:id="904" w:name="_Toc4596324"/>
      <w:bookmarkStart w:id="905" w:name="_Toc4601194"/>
      <w:bookmarkStart w:id="906" w:name="_Toc4601481"/>
      <w:bookmarkStart w:id="907" w:name="_Toc4604059"/>
      <w:bookmarkStart w:id="908" w:name="_Toc4604174"/>
      <w:bookmarkStart w:id="909" w:name="_Toc4605304"/>
      <w:bookmarkStart w:id="910" w:name="_Toc4660193"/>
      <w:bookmarkStart w:id="911" w:name="_Toc4660308"/>
      <w:bookmarkStart w:id="912" w:name="_Toc4683296"/>
      <w:bookmarkStart w:id="913" w:name="_Toc4683412"/>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835"/>
    </w:p>
    <w:p w14:paraId="6F4195BA" w14:textId="77777777" w:rsidR="00B7243F" w:rsidRPr="00B7243F" w:rsidRDefault="00B7243F"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914" w:name="_Toc7189777"/>
      <w:bookmarkStart w:id="915" w:name="_Toc7190007"/>
      <w:bookmarkStart w:id="916" w:name="_Toc7190361"/>
      <w:bookmarkStart w:id="917" w:name="_Toc7190810"/>
      <w:bookmarkStart w:id="918" w:name="_Toc7191548"/>
      <w:bookmarkStart w:id="919" w:name="_Toc7447173"/>
      <w:bookmarkStart w:id="920" w:name="_Toc7447978"/>
      <w:bookmarkEnd w:id="914"/>
      <w:bookmarkEnd w:id="915"/>
      <w:bookmarkEnd w:id="916"/>
      <w:bookmarkEnd w:id="917"/>
      <w:bookmarkEnd w:id="918"/>
      <w:bookmarkEnd w:id="919"/>
      <w:bookmarkEnd w:id="920"/>
    </w:p>
    <w:p w14:paraId="45842E57" w14:textId="77777777" w:rsidR="00DA3F05" w:rsidRPr="00DA3F05" w:rsidRDefault="00DA3F05" w:rsidP="00DA3F05">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921" w:name="_Toc7191549"/>
      <w:bookmarkStart w:id="922" w:name="_Toc7447174"/>
      <w:bookmarkStart w:id="923" w:name="_Toc7447979"/>
      <w:bookmarkEnd w:id="921"/>
      <w:bookmarkEnd w:id="922"/>
      <w:bookmarkEnd w:id="923"/>
    </w:p>
    <w:p w14:paraId="6FFBF1F6" w14:textId="66DCF3DC" w:rsidR="002300FE" w:rsidRDefault="00883C8E" w:rsidP="00DA3F05">
      <w:pPr>
        <w:pStyle w:val="3"/>
      </w:pPr>
      <w:bookmarkStart w:id="924" w:name="_Toc7447980"/>
      <w:r w:rsidRPr="00FD751F">
        <w:t>Состояние конкуренции: тенденции и проблемы</w:t>
      </w:r>
      <w:bookmarkStart w:id="925" w:name="_Toc6834341"/>
      <w:bookmarkStart w:id="926" w:name="_Toc6834628"/>
      <w:bookmarkStart w:id="927" w:name="_Toc6834831"/>
      <w:bookmarkEnd w:id="925"/>
      <w:bookmarkEnd w:id="926"/>
      <w:bookmarkEnd w:id="927"/>
      <w:bookmarkEnd w:id="924"/>
    </w:p>
    <w:p w14:paraId="2F7E7031" w14:textId="77777777" w:rsidR="009B1974" w:rsidRDefault="009B1974" w:rsidP="002300FE">
      <w:pPr>
        <w:autoSpaceDE w:val="0"/>
        <w:autoSpaceDN w:val="0"/>
        <w:adjustRightInd w:val="0"/>
        <w:spacing w:after="0" w:line="240" w:lineRule="auto"/>
        <w:ind w:firstLine="709"/>
        <w:jc w:val="center"/>
        <w:rPr>
          <w:rFonts w:ascii="Times New Roman" w:hAnsi="Times New Roman" w:cs="Times New Roman"/>
          <w:b/>
          <w:bCs/>
          <w:sz w:val="28"/>
          <w:szCs w:val="28"/>
        </w:rPr>
      </w:pPr>
    </w:p>
    <w:p w14:paraId="20A2CB2A" w14:textId="77777777" w:rsidR="002300FE" w:rsidRPr="002300FE" w:rsidRDefault="002300FE" w:rsidP="002300FE">
      <w:pPr>
        <w:autoSpaceDE w:val="0"/>
        <w:autoSpaceDN w:val="0"/>
        <w:adjustRightInd w:val="0"/>
        <w:spacing w:after="0" w:line="240" w:lineRule="auto"/>
        <w:ind w:firstLine="709"/>
        <w:jc w:val="center"/>
        <w:rPr>
          <w:rFonts w:ascii="Times New Roman" w:hAnsi="Times New Roman" w:cs="Times New Roman"/>
          <w:b/>
          <w:bCs/>
          <w:sz w:val="28"/>
          <w:szCs w:val="28"/>
        </w:rPr>
      </w:pPr>
      <w:r w:rsidRPr="002300FE">
        <w:rPr>
          <w:rFonts w:ascii="Times New Roman" w:hAnsi="Times New Roman" w:cs="Times New Roman"/>
          <w:b/>
          <w:bCs/>
          <w:sz w:val="28"/>
          <w:szCs w:val="28"/>
        </w:rPr>
        <w:t>Рынок сахара</w:t>
      </w:r>
    </w:p>
    <w:p w14:paraId="2058C90D" w14:textId="77777777" w:rsidR="002300FE" w:rsidRPr="002300FE" w:rsidRDefault="002300FE" w:rsidP="002300FE">
      <w:pPr>
        <w:autoSpaceDE w:val="0"/>
        <w:autoSpaceDN w:val="0"/>
        <w:adjustRightInd w:val="0"/>
        <w:spacing w:after="0" w:line="240" w:lineRule="auto"/>
        <w:ind w:firstLine="567"/>
        <w:jc w:val="both"/>
        <w:rPr>
          <w:rFonts w:ascii="Times New Roman" w:hAnsi="Times New Roman" w:cs="Times New Roman"/>
          <w:sz w:val="28"/>
          <w:szCs w:val="28"/>
        </w:rPr>
      </w:pPr>
      <w:r w:rsidRPr="002300FE">
        <w:rPr>
          <w:rFonts w:ascii="Times New Roman" w:hAnsi="Times New Roman" w:cs="Times New Roman"/>
          <w:sz w:val="28"/>
          <w:szCs w:val="28"/>
        </w:rPr>
        <w:t>Сахар-песок включен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 от 15 июля 2010 г. № 530.</w:t>
      </w:r>
    </w:p>
    <w:p w14:paraId="0925B372" w14:textId="77777777" w:rsidR="002300FE" w:rsidRPr="002300FE" w:rsidRDefault="002300FE" w:rsidP="002300F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00FE">
        <w:rPr>
          <w:rFonts w:ascii="Times New Roman" w:hAnsi="Times New Roman" w:cs="Times New Roman"/>
          <w:sz w:val="28"/>
          <w:szCs w:val="28"/>
        </w:rPr>
        <w:t xml:space="preserve">В связи с многочисленными обращениями граждан, поступивших в ФАС России в </w:t>
      </w:r>
      <w:r w:rsidRPr="002300FE">
        <w:rPr>
          <w:rFonts w:ascii="Times New Roman" w:hAnsi="Times New Roman" w:cs="Times New Roman"/>
          <w:sz w:val="28"/>
          <w:szCs w:val="28"/>
          <w:lang w:val="en-US"/>
        </w:rPr>
        <w:t>IV</w:t>
      </w:r>
      <w:r w:rsidRPr="002300FE">
        <w:rPr>
          <w:rFonts w:ascii="Times New Roman" w:hAnsi="Times New Roman" w:cs="Times New Roman"/>
          <w:sz w:val="28"/>
          <w:szCs w:val="28"/>
        </w:rPr>
        <w:t xml:space="preserve"> квартале 2018 года, касающихся повышения потребительских цен на сахар, ФАС России был проведен анализ состояния конкуренции на рынке сахара, а также причин роста оптово-отпускных цен на данный товар. </w:t>
      </w:r>
    </w:p>
    <w:p w14:paraId="0661C6FA" w14:textId="77777777" w:rsidR="002300FE" w:rsidRPr="002300FE" w:rsidRDefault="002300FE" w:rsidP="002300FE">
      <w:pPr>
        <w:spacing w:after="0" w:line="240" w:lineRule="auto"/>
        <w:ind w:firstLine="539"/>
        <w:jc w:val="both"/>
        <w:rPr>
          <w:rFonts w:ascii="Times New Roman" w:eastAsia="Times New Roman" w:hAnsi="Times New Roman" w:cs="Times New Roman"/>
          <w:sz w:val="28"/>
          <w:szCs w:val="28"/>
          <w:lang w:eastAsia="ru-RU"/>
        </w:rPr>
      </w:pPr>
      <w:r w:rsidRPr="002300FE">
        <w:rPr>
          <w:rFonts w:ascii="Times New Roman" w:eastAsia="Times New Roman" w:hAnsi="Times New Roman" w:cs="Times New Roman"/>
          <w:sz w:val="28"/>
          <w:szCs w:val="28"/>
          <w:lang w:eastAsia="ru-RU"/>
        </w:rPr>
        <w:t>По результатам проведенного анализа было установлено следующее.</w:t>
      </w:r>
    </w:p>
    <w:p w14:paraId="701B1EE3" w14:textId="77777777" w:rsidR="002300FE" w:rsidRPr="002300FE" w:rsidRDefault="002300FE" w:rsidP="002300FE">
      <w:pPr>
        <w:spacing w:after="0" w:line="240" w:lineRule="auto"/>
        <w:ind w:right="-143" w:firstLine="539"/>
        <w:jc w:val="both"/>
        <w:rPr>
          <w:rFonts w:ascii="Times New Roman" w:hAnsi="Times New Roman" w:cs="Times New Roman"/>
          <w:sz w:val="28"/>
          <w:szCs w:val="28"/>
        </w:rPr>
      </w:pPr>
      <w:r w:rsidRPr="002300FE">
        <w:rPr>
          <w:rFonts w:ascii="Times New Roman" w:hAnsi="Times New Roman" w:cs="Times New Roman"/>
          <w:sz w:val="28"/>
          <w:szCs w:val="28"/>
        </w:rPr>
        <w:t>Объем производства сахара в 2017/2018 сельскохозяйственном году, произведенного из всех видов сырья, составил 6 257 279 тонн, объем реализации в указанный период составил 5 296 491 тонн. Основной объем сахара произведен из сахарной свеклы и только около 1 % от общего объема производства произведено из импортного сахара-сырца.</w:t>
      </w:r>
    </w:p>
    <w:p w14:paraId="5B7CE1E6" w14:textId="77777777" w:rsidR="002300FE" w:rsidRPr="002300FE" w:rsidRDefault="002300FE" w:rsidP="005379DE">
      <w:pPr>
        <w:spacing w:after="0" w:line="240" w:lineRule="auto"/>
        <w:ind w:firstLine="709"/>
        <w:jc w:val="both"/>
        <w:rPr>
          <w:rFonts w:ascii="Times New Roman" w:eastAsia="Times New Roman" w:hAnsi="Times New Roman" w:cs="Times New Roman"/>
          <w:sz w:val="28"/>
          <w:szCs w:val="28"/>
          <w:lang w:eastAsia="ru-RU"/>
        </w:rPr>
      </w:pPr>
      <w:r w:rsidRPr="002300FE">
        <w:rPr>
          <w:rFonts w:ascii="Times New Roman" w:eastAsia="Times New Roman" w:hAnsi="Times New Roman" w:cs="Times New Roman"/>
          <w:sz w:val="28"/>
          <w:szCs w:val="28"/>
          <w:lang w:eastAsia="ru-RU"/>
        </w:rPr>
        <w:t xml:space="preserve">На рынке сахара действуют как вертикально-интегрированные структуры полного цикла, включающие производство сахарной свеклы, ее переработку и реализацию через торговые дома, входящие с ними в одну группу лиц. Как правило, такие структуры объединяют несколько сахарных заводов. Также на рынке присутствуют независимые хозяйствующие субъекты, не имеющие своей сырьевой базой и занимающиеся исключительно производством и реализацией сахара, а также сельхозтоваропроизводители, имеющие договоры на переработку принадлежащей им сахарной свеклы по давальческим схемам </w:t>
      </w:r>
      <w:r w:rsidR="001006BD">
        <w:rPr>
          <w:rFonts w:ascii="Times New Roman" w:eastAsia="Times New Roman" w:hAnsi="Times New Roman" w:cs="Times New Roman"/>
          <w:sz w:val="28"/>
          <w:szCs w:val="28"/>
          <w:lang w:eastAsia="ru-RU"/>
        </w:rPr>
        <w:t xml:space="preserve">на сахарных заводах. </w:t>
      </w:r>
    </w:p>
    <w:p w14:paraId="60F32312" w14:textId="77777777" w:rsidR="002300FE" w:rsidRPr="002300FE" w:rsidRDefault="002300FE" w:rsidP="005379DE">
      <w:pPr>
        <w:spacing w:after="0" w:line="240" w:lineRule="auto"/>
        <w:ind w:firstLine="709"/>
        <w:jc w:val="both"/>
        <w:rPr>
          <w:rFonts w:ascii="Times New Roman" w:eastAsia="Times New Roman" w:hAnsi="Times New Roman" w:cs="Times New Roman"/>
          <w:sz w:val="28"/>
          <w:szCs w:val="28"/>
          <w:lang w:eastAsia="ru-RU"/>
        </w:rPr>
      </w:pPr>
      <w:r w:rsidRPr="002300FE">
        <w:rPr>
          <w:rFonts w:ascii="Times New Roman" w:eastAsia="Times New Roman" w:hAnsi="Times New Roman" w:cs="Times New Roman"/>
          <w:sz w:val="28"/>
          <w:szCs w:val="28"/>
          <w:lang w:eastAsia="ru-RU"/>
        </w:rPr>
        <w:t xml:space="preserve"> Всего в 2018 году на территории Российской Федерации действовало 75 сахарных заводов, расположенных </w:t>
      </w:r>
      <w:r w:rsidRPr="002300FE">
        <w:rPr>
          <w:rFonts w:ascii="Times New Roman" w:hAnsi="Times New Roman" w:cs="Times New Roman"/>
          <w:sz w:val="28"/>
          <w:szCs w:val="28"/>
        </w:rPr>
        <w:t>в 22 регионах Российской Федерации и</w:t>
      </w:r>
      <w:r w:rsidRPr="002300FE">
        <w:rPr>
          <w:sz w:val="28"/>
          <w:szCs w:val="28"/>
        </w:rPr>
        <w:t xml:space="preserve"> </w:t>
      </w:r>
      <w:r w:rsidRPr="002300FE">
        <w:rPr>
          <w:rFonts w:ascii="Times New Roman" w:eastAsia="Times New Roman" w:hAnsi="Times New Roman" w:cs="Times New Roman"/>
          <w:sz w:val="28"/>
          <w:szCs w:val="28"/>
          <w:lang w:eastAsia="ru-RU"/>
        </w:rPr>
        <w:t xml:space="preserve">осуществляющих деятельность по производству и реализации сахара. </w:t>
      </w:r>
    </w:p>
    <w:p w14:paraId="6A9566AB" w14:textId="77777777" w:rsidR="002300FE" w:rsidRPr="002300FE" w:rsidRDefault="002300FE" w:rsidP="005379DE">
      <w:pPr>
        <w:spacing w:after="0" w:line="240" w:lineRule="auto"/>
        <w:ind w:firstLine="709"/>
        <w:jc w:val="both"/>
        <w:rPr>
          <w:rFonts w:ascii="Times New Roman" w:eastAsia="Times New Roman" w:hAnsi="Times New Roman" w:cs="Times New Roman"/>
          <w:color w:val="000000"/>
          <w:sz w:val="28"/>
          <w:szCs w:val="28"/>
          <w:lang w:eastAsia="ru-RU"/>
        </w:rPr>
      </w:pPr>
      <w:r w:rsidRPr="002300FE">
        <w:rPr>
          <w:rFonts w:ascii="Times New Roman" w:eastAsia="Times New Roman" w:hAnsi="Times New Roman" w:cs="Times New Roman"/>
          <w:color w:val="000000"/>
          <w:sz w:val="28"/>
          <w:szCs w:val="28"/>
          <w:lang w:eastAsia="ru-RU"/>
        </w:rPr>
        <w:t xml:space="preserve">Сахарные заводы преимущественно расположены в европейской части Российской Федерации. </w:t>
      </w:r>
    </w:p>
    <w:p w14:paraId="00909500" w14:textId="77777777" w:rsidR="002300FE" w:rsidRPr="002300FE" w:rsidRDefault="002300FE" w:rsidP="00865AE2">
      <w:pPr>
        <w:spacing w:after="0" w:line="240" w:lineRule="auto"/>
        <w:ind w:firstLine="709"/>
        <w:jc w:val="both"/>
        <w:rPr>
          <w:rFonts w:ascii="Times New Roman" w:hAnsi="Times New Roman" w:cs="Times New Roman"/>
          <w:sz w:val="28"/>
          <w:szCs w:val="28"/>
        </w:rPr>
      </w:pPr>
      <w:r w:rsidRPr="002300FE">
        <w:rPr>
          <w:rFonts w:ascii="Times New Roman" w:hAnsi="Times New Roman" w:cs="Times New Roman"/>
          <w:sz w:val="28"/>
          <w:szCs w:val="28"/>
        </w:rPr>
        <w:t>Ниже приведены доли хозяйствующих субъектов (групп лиц) в различные периоды времени в соответствии с анализами рынка сахара, проведенными ФАС России в 2011 г., в 2016 г. и в 2018 г.</w:t>
      </w:r>
    </w:p>
    <w:p w14:paraId="45B0E389" w14:textId="77777777" w:rsidR="002300FE" w:rsidRPr="002300FE" w:rsidRDefault="002300FE" w:rsidP="005379DE">
      <w:pPr>
        <w:widowControl w:val="0"/>
        <w:suppressAutoHyphens/>
        <w:autoSpaceDN w:val="0"/>
        <w:spacing w:after="0" w:line="240" w:lineRule="auto"/>
        <w:ind w:firstLine="709"/>
        <w:jc w:val="both"/>
        <w:textAlignment w:val="baseline"/>
        <w:rPr>
          <w:rFonts w:ascii="Times New Roman" w:hAnsi="Times New Roman" w:cs="Times New Roman"/>
          <w:sz w:val="28"/>
          <w:szCs w:val="28"/>
        </w:rPr>
      </w:pPr>
      <w:r w:rsidRPr="002300FE">
        <w:rPr>
          <w:rFonts w:ascii="Times New Roman" w:hAnsi="Times New Roman" w:cs="Times New Roman"/>
          <w:sz w:val="28"/>
          <w:szCs w:val="28"/>
        </w:rPr>
        <w:t>Как следует из таблицы, лидерами рынка являются ГК «Продимекс» (</w:t>
      </w:r>
      <w:r w:rsidRPr="002300FE">
        <w:rPr>
          <w:rFonts w:ascii="Times New Roman" w:eastAsia="SimSun" w:hAnsi="Times New Roman" w:cs="Times New Roman"/>
          <w:kern w:val="3"/>
          <w:sz w:val="28"/>
          <w:szCs w:val="28"/>
          <w:lang w:eastAsia="zh-CN" w:bidi="hi-IN"/>
        </w:rPr>
        <w:t xml:space="preserve">16 сахарных заводов), ГК «Доминант» (7 заводов), ГК «Сюкден (3 завода), ООО «Русагро» (9 заводов) и </w:t>
      </w:r>
      <w:r w:rsidRPr="002300FE">
        <w:rPr>
          <w:rFonts w:ascii="Times New Roman" w:eastAsia="SimSun" w:hAnsi="Times New Roman" w:cs="Times New Roman"/>
          <w:color w:val="000000"/>
          <w:kern w:val="3"/>
          <w:sz w:val="28"/>
          <w:szCs w:val="28"/>
          <w:lang w:eastAsia="zh-CN" w:bidi="hi-IN"/>
        </w:rPr>
        <w:t>АО фирма «Агрокомплекс» им. Н.И. Ткачева» (4 завода</w:t>
      </w:r>
      <w:r w:rsidRPr="002300FE">
        <w:rPr>
          <w:rFonts w:ascii="Times New Roman" w:eastAsia="SimSun" w:hAnsi="Times New Roman" w:cs="Times New Roman"/>
          <w:kern w:val="3"/>
          <w:sz w:val="28"/>
          <w:szCs w:val="28"/>
          <w:lang w:eastAsia="zh-CN" w:bidi="hi-IN"/>
        </w:rPr>
        <w:t xml:space="preserve">). На их долю в 2017/2018 году приходилось более 50 % от общего объема реализации сахара на российском рынке. </w:t>
      </w:r>
    </w:p>
    <w:p w14:paraId="2E15E400" w14:textId="77777777" w:rsidR="002300FE" w:rsidRPr="002300FE" w:rsidRDefault="002300FE" w:rsidP="005379DE">
      <w:pPr>
        <w:widowControl w:val="0"/>
        <w:suppressAutoHyphens/>
        <w:autoSpaceDN w:val="0"/>
        <w:spacing w:after="0" w:line="240" w:lineRule="auto"/>
        <w:ind w:firstLine="709"/>
        <w:jc w:val="right"/>
        <w:textAlignment w:val="baseline"/>
        <w:rPr>
          <w:rFonts w:ascii="Times New Roman" w:hAnsi="Times New Roman" w:cs="Times New Roman"/>
          <w:sz w:val="28"/>
          <w:szCs w:val="28"/>
        </w:rPr>
      </w:pPr>
    </w:p>
    <w:p w14:paraId="18D8A227" w14:textId="77777777" w:rsidR="002300FE" w:rsidRPr="002300FE" w:rsidRDefault="002300FE" w:rsidP="002300FE">
      <w:pPr>
        <w:widowControl w:val="0"/>
        <w:suppressAutoHyphens/>
        <w:autoSpaceDN w:val="0"/>
        <w:spacing w:after="0" w:line="240" w:lineRule="auto"/>
        <w:ind w:firstLine="540"/>
        <w:jc w:val="right"/>
        <w:textAlignment w:val="baseline"/>
        <w:rPr>
          <w:rFonts w:ascii="Times New Roman" w:hAnsi="Times New Roman" w:cs="Times New Roman"/>
          <w:sz w:val="28"/>
          <w:szCs w:val="28"/>
        </w:rPr>
      </w:pPr>
      <w:r w:rsidRPr="002300FE">
        <w:rPr>
          <w:rFonts w:ascii="Times New Roman" w:hAnsi="Times New Roman" w:cs="Times New Roman"/>
          <w:sz w:val="28"/>
          <w:szCs w:val="28"/>
        </w:rPr>
        <w:t>Таблица.</w:t>
      </w:r>
    </w:p>
    <w:p w14:paraId="49D176F4" w14:textId="77777777" w:rsidR="002300FE" w:rsidRPr="002300FE" w:rsidRDefault="002300FE" w:rsidP="002300FE">
      <w:pPr>
        <w:widowControl w:val="0"/>
        <w:suppressAutoHyphens/>
        <w:autoSpaceDN w:val="0"/>
        <w:spacing w:after="0" w:line="240" w:lineRule="auto"/>
        <w:ind w:firstLine="540"/>
        <w:jc w:val="both"/>
        <w:textAlignment w:val="baseline"/>
        <w:rPr>
          <w:rFonts w:ascii="Times New Roman" w:hAnsi="Times New Roman" w:cs="Times New Roman"/>
          <w:sz w:val="28"/>
          <w:szCs w:val="28"/>
        </w:rPr>
      </w:pPr>
    </w:p>
    <w:tbl>
      <w:tblPr>
        <w:tblStyle w:val="42"/>
        <w:tblW w:w="0" w:type="auto"/>
        <w:tblLook w:val="04A0" w:firstRow="1" w:lastRow="0" w:firstColumn="1" w:lastColumn="0" w:noHBand="0" w:noVBand="1"/>
      </w:tblPr>
      <w:tblGrid>
        <w:gridCol w:w="3327"/>
        <w:gridCol w:w="1678"/>
        <w:gridCol w:w="1842"/>
        <w:gridCol w:w="1985"/>
      </w:tblGrid>
      <w:tr w:rsidR="002300FE" w:rsidRPr="002300FE" w14:paraId="5B887EA9" w14:textId="77777777" w:rsidTr="00F11D4C">
        <w:tc>
          <w:tcPr>
            <w:tcW w:w="3279" w:type="dxa"/>
            <w:vMerge w:val="restart"/>
          </w:tcPr>
          <w:p w14:paraId="03CD3EBE" w14:textId="77777777" w:rsidR="002300FE" w:rsidRPr="002300FE" w:rsidRDefault="002300FE" w:rsidP="002300FE">
            <w:pPr>
              <w:autoSpaceDE w:val="0"/>
              <w:autoSpaceDN w:val="0"/>
              <w:adjustRightInd w:val="0"/>
              <w:jc w:val="center"/>
              <w:rPr>
                <w:b/>
                <w:sz w:val="28"/>
                <w:szCs w:val="28"/>
              </w:rPr>
            </w:pPr>
            <w:r w:rsidRPr="002300FE">
              <w:rPr>
                <w:b/>
                <w:sz w:val="24"/>
                <w:szCs w:val="28"/>
              </w:rPr>
              <w:t>Наименование производителя (группы лиц)</w:t>
            </w:r>
          </w:p>
        </w:tc>
        <w:tc>
          <w:tcPr>
            <w:tcW w:w="5505" w:type="dxa"/>
            <w:gridSpan w:val="3"/>
          </w:tcPr>
          <w:p w14:paraId="73ECB92A" w14:textId="77777777" w:rsidR="002300FE" w:rsidRPr="002300FE" w:rsidRDefault="002300FE" w:rsidP="002300FE">
            <w:pPr>
              <w:autoSpaceDE w:val="0"/>
              <w:autoSpaceDN w:val="0"/>
              <w:adjustRightInd w:val="0"/>
              <w:jc w:val="center"/>
              <w:rPr>
                <w:b/>
                <w:sz w:val="24"/>
                <w:szCs w:val="24"/>
              </w:rPr>
            </w:pPr>
            <w:r w:rsidRPr="002300FE">
              <w:rPr>
                <w:b/>
                <w:sz w:val="24"/>
                <w:szCs w:val="24"/>
              </w:rPr>
              <w:t>Доля на рынке</w:t>
            </w:r>
          </w:p>
        </w:tc>
      </w:tr>
      <w:tr w:rsidR="002300FE" w:rsidRPr="002300FE" w14:paraId="5C501BDC" w14:textId="77777777" w:rsidTr="00F11D4C">
        <w:tc>
          <w:tcPr>
            <w:tcW w:w="3279" w:type="dxa"/>
            <w:vMerge/>
          </w:tcPr>
          <w:p w14:paraId="1E7003B8" w14:textId="77777777" w:rsidR="002300FE" w:rsidRPr="002300FE" w:rsidRDefault="002300FE" w:rsidP="002300FE">
            <w:pPr>
              <w:autoSpaceDE w:val="0"/>
              <w:autoSpaceDN w:val="0"/>
              <w:adjustRightInd w:val="0"/>
              <w:jc w:val="center"/>
              <w:rPr>
                <w:sz w:val="28"/>
                <w:szCs w:val="28"/>
              </w:rPr>
            </w:pPr>
          </w:p>
        </w:tc>
        <w:tc>
          <w:tcPr>
            <w:tcW w:w="1678" w:type="dxa"/>
          </w:tcPr>
          <w:p w14:paraId="4A4B7A04" w14:textId="77777777" w:rsidR="002300FE" w:rsidRPr="002300FE" w:rsidRDefault="002300FE" w:rsidP="002300FE">
            <w:pPr>
              <w:autoSpaceDE w:val="0"/>
              <w:autoSpaceDN w:val="0"/>
              <w:adjustRightInd w:val="0"/>
              <w:jc w:val="center"/>
              <w:rPr>
                <w:b/>
                <w:sz w:val="24"/>
                <w:szCs w:val="24"/>
              </w:rPr>
            </w:pPr>
            <w:r w:rsidRPr="002300FE">
              <w:rPr>
                <w:b/>
                <w:sz w:val="24"/>
                <w:szCs w:val="24"/>
              </w:rPr>
              <w:t>2013 г.</w:t>
            </w:r>
          </w:p>
        </w:tc>
        <w:tc>
          <w:tcPr>
            <w:tcW w:w="1842" w:type="dxa"/>
          </w:tcPr>
          <w:p w14:paraId="4C94D2EE" w14:textId="77777777" w:rsidR="002300FE" w:rsidRPr="002300FE" w:rsidRDefault="002300FE" w:rsidP="002300FE">
            <w:pPr>
              <w:autoSpaceDE w:val="0"/>
              <w:autoSpaceDN w:val="0"/>
              <w:adjustRightInd w:val="0"/>
              <w:jc w:val="center"/>
              <w:rPr>
                <w:b/>
                <w:sz w:val="24"/>
                <w:szCs w:val="24"/>
              </w:rPr>
            </w:pPr>
            <w:r w:rsidRPr="002300FE">
              <w:rPr>
                <w:b/>
                <w:sz w:val="24"/>
                <w:szCs w:val="24"/>
              </w:rPr>
              <w:t>2014 г.</w:t>
            </w:r>
          </w:p>
        </w:tc>
        <w:tc>
          <w:tcPr>
            <w:tcW w:w="1985" w:type="dxa"/>
          </w:tcPr>
          <w:p w14:paraId="046CC862" w14:textId="77777777" w:rsidR="002300FE" w:rsidRPr="002300FE" w:rsidRDefault="002300FE" w:rsidP="002300FE">
            <w:pPr>
              <w:autoSpaceDE w:val="0"/>
              <w:autoSpaceDN w:val="0"/>
              <w:adjustRightInd w:val="0"/>
              <w:jc w:val="center"/>
              <w:rPr>
                <w:b/>
                <w:sz w:val="24"/>
                <w:szCs w:val="24"/>
              </w:rPr>
            </w:pPr>
            <w:r w:rsidRPr="002300FE">
              <w:rPr>
                <w:b/>
                <w:sz w:val="24"/>
                <w:szCs w:val="24"/>
              </w:rPr>
              <w:t>2017/2018 с.г.</w:t>
            </w:r>
          </w:p>
        </w:tc>
      </w:tr>
      <w:tr w:rsidR="002300FE" w:rsidRPr="002300FE" w14:paraId="10AB7191" w14:textId="77777777" w:rsidTr="00F11D4C">
        <w:tc>
          <w:tcPr>
            <w:tcW w:w="3279" w:type="dxa"/>
          </w:tcPr>
          <w:p w14:paraId="0849B2F9" w14:textId="77777777" w:rsidR="002300FE" w:rsidRPr="002300FE" w:rsidRDefault="002300FE" w:rsidP="002300FE">
            <w:pPr>
              <w:autoSpaceDE w:val="0"/>
              <w:autoSpaceDN w:val="0"/>
              <w:adjustRightInd w:val="0"/>
              <w:jc w:val="center"/>
              <w:rPr>
                <w:sz w:val="24"/>
                <w:szCs w:val="24"/>
              </w:rPr>
            </w:pPr>
            <w:r w:rsidRPr="002300FE">
              <w:rPr>
                <w:color w:val="000000"/>
                <w:sz w:val="24"/>
                <w:szCs w:val="24"/>
              </w:rPr>
              <w:t>Группа компаний «Продимекс»</w:t>
            </w:r>
          </w:p>
        </w:tc>
        <w:tc>
          <w:tcPr>
            <w:tcW w:w="1678" w:type="dxa"/>
          </w:tcPr>
          <w:p w14:paraId="0E63AB17" w14:textId="77777777" w:rsidR="002300FE" w:rsidRPr="002300FE" w:rsidRDefault="002300FE" w:rsidP="002300FE">
            <w:pPr>
              <w:autoSpaceDE w:val="0"/>
              <w:autoSpaceDN w:val="0"/>
              <w:adjustRightInd w:val="0"/>
              <w:jc w:val="center"/>
              <w:rPr>
                <w:sz w:val="24"/>
                <w:szCs w:val="24"/>
              </w:rPr>
            </w:pPr>
            <w:r w:rsidRPr="002300FE">
              <w:rPr>
                <w:sz w:val="24"/>
                <w:szCs w:val="24"/>
              </w:rPr>
              <w:t>14,06</w:t>
            </w:r>
          </w:p>
        </w:tc>
        <w:tc>
          <w:tcPr>
            <w:tcW w:w="1842" w:type="dxa"/>
          </w:tcPr>
          <w:p w14:paraId="20A7406A" w14:textId="77777777" w:rsidR="002300FE" w:rsidRPr="002300FE" w:rsidRDefault="002300FE" w:rsidP="002300FE">
            <w:pPr>
              <w:autoSpaceDE w:val="0"/>
              <w:autoSpaceDN w:val="0"/>
              <w:adjustRightInd w:val="0"/>
              <w:jc w:val="center"/>
              <w:rPr>
                <w:sz w:val="24"/>
                <w:szCs w:val="24"/>
              </w:rPr>
            </w:pPr>
            <w:r w:rsidRPr="002300FE">
              <w:rPr>
                <w:sz w:val="24"/>
                <w:szCs w:val="24"/>
              </w:rPr>
              <w:t>15,02</w:t>
            </w:r>
          </w:p>
        </w:tc>
        <w:tc>
          <w:tcPr>
            <w:tcW w:w="1985" w:type="dxa"/>
          </w:tcPr>
          <w:p w14:paraId="4B5ED8AE" w14:textId="77777777" w:rsidR="002300FE" w:rsidRPr="002300FE" w:rsidRDefault="002300FE" w:rsidP="002300FE">
            <w:pPr>
              <w:autoSpaceDE w:val="0"/>
              <w:autoSpaceDN w:val="0"/>
              <w:adjustRightInd w:val="0"/>
              <w:jc w:val="center"/>
              <w:rPr>
                <w:sz w:val="24"/>
                <w:szCs w:val="24"/>
              </w:rPr>
            </w:pPr>
            <w:r w:rsidRPr="002300FE">
              <w:rPr>
                <w:sz w:val="24"/>
                <w:szCs w:val="24"/>
              </w:rPr>
              <w:t>16,5</w:t>
            </w:r>
          </w:p>
        </w:tc>
      </w:tr>
      <w:tr w:rsidR="002300FE" w:rsidRPr="002300FE" w14:paraId="60C9B36A" w14:textId="77777777" w:rsidTr="00F11D4C">
        <w:tc>
          <w:tcPr>
            <w:tcW w:w="3279" w:type="dxa"/>
          </w:tcPr>
          <w:p w14:paraId="1C307FCD" w14:textId="77777777" w:rsidR="002300FE" w:rsidRPr="002300FE" w:rsidRDefault="002300FE" w:rsidP="002300FE">
            <w:pPr>
              <w:autoSpaceDE w:val="0"/>
              <w:autoSpaceDN w:val="0"/>
              <w:adjustRightInd w:val="0"/>
              <w:jc w:val="center"/>
              <w:rPr>
                <w:sz w:val="24"/>
                <w:szCs w:val="24"/>
              </w:rPr>
            </w:pPr>
            <w:r w:rsidRPr="002300FE">
              <w:rPr>
                <w:color w:val="000000"/>
                <w:sz w:val="24"/>
                <w:szCs w:val="24"/>
              </w:rPr>
              <w:t>Группа компаний «Русагро»</w:t>
            </w:r>
          </w:p>
        </w:tc>
        <w:tc>
          <w:tcPr>
            <w:tcW w:w="1678" w:type="dxa"/>
          </w:tcPr>
          <w:p w14:paraId="0BA390D3" w14:textId="77777777" w:rsidR="002300FE" w:rsidRPr="002300FE" w:rsidRDefault="002300FE" w:rsidP="002300FE">
            <w:pPr>
              <w:autoSpaceDE w:val="0"/>
              <w:autoSpaceDN w:val="0"/>
              <w:adjustRightInd w:val="0"/>
              <w:jc w:val="center"/>
              <w:rPr>
                <w:sz w:val="24"/>
                <w:szCs w:val="24"/>
              </w:rPr>
            </w:pPr>
            <w:r w:rsidRPr="002300FE">
              <w:rPr>
                <w:sz w:val="24"/>
                <w:szCs w:val="24"/>
              </w:rPr>
              <w:t>9,89</w:t>
            </w:r>
          </w:p>
        </w:tc>
        <w:tc>
          <w:tcPr>
            <w:tcW w:w="1842" w:type="dxa"/>
          </w:tcPr>
          <w:p w14:paraId="1CF7AEB8" w14:textId="77777777" w:rsidR="002300FE" w:rsidRPr="002300FE" w:rsidRDefault="002300FE" w:rsidP="002300FE">
            <w:pPr>
              <w:autoSpaceDE w:val="0"/>
              <w:autoSpaceDN w:val="0"/>
              <w:adjustRightInd w:val="0"/>
              <w:jc w:val="center"/>
              <w:rPr>
                <w:sz w:val="24"/>
                <w:szCs w:val="24"/>
              </w:rPr>
            </w:pPr>
            <w:r w:rsidRPr="002300FE">
              <w:rPr>
                <w:sz w:val="24"/>
                <w:szCs w:val="24"/>
              </w:rPr>
              <w:t>9,95</w:t>
            </w:r>
          </w:p>
        </w:tc>
        <w:tc>
          <w:tcPr>
            <w:tcW w:w="1985" w:type="dxa"/>
          </w:tcPr>
          <w:p w14:paraId="64F687EE" w14:textId="77777777" w:rsidR="002300FE" w:rsidRPr="002300FE" w:rsidRDefault="002300FE" w:rsidP="002300FE">
            <w:pPr>
              <w:autoSpaceDE w:val="0"/>
              <w:autoSpaceDN w:val="0"/>
              <w:adjustRightInd w:val="0"/>
              <w:jc w:val="center"/>
              <w:rPr>
                <w:sz w:val="24"/>
                <w:szCs w:val="24"/>
              </w:rPr>
            </w:pPr>
            <w:r w:rsidRPr="002300FE">
              <w:rPr>
                <w:sz w:val="24"/>
                <w:szCs w:val="24"/>
              </w:rPr>
              <w:t>15,6</w:t>
            </w:r>
          </w:p>
        </w:tc>
      </w:tr>
      <w:tr w:rsidR="002300FE" w:rsidRPr="002300FE" w14:paraId="41122432" w14:textId="77777777" w:rsidTr="00F11D4C">
        <w:tc>
          <w:tcPr>
            <w:tcW w:w="3279" w:type="dxa"/>
          </w:tcPr>
          <w:p w14:paraId="34F4D04F" w14:textId="77777777" w:rsidR="002300FE" w:rsidRPr="002300FE" w:rsidRDefault="002300FE" w:rsidP="002300FE">
            <w:pPr>
              <w:autoSpaceDE w:val="0"/>
              <w:autoSpaceDN w:val="0"/>
              <w:adjustRightInd w:val="0"/>
              <w:jc w:val="center"/>
              <w:rPr>
                <w:color w:val="000000"/>
                <w:sz w:val="24"/>
                <w:szCs w:val="24"/>
              </w:rPr>
            </w:pPr>
            <w:r w:rsidRPr="002300FE">
              <w:rPr>
                <w:color w:val="000000"/>
                <w:sz w:val="24"/>
                <w:szCs w:val="24"/>
              </w:rPr>
              <w:t>Группа компаний «Доминант»</w:t>
            </w:r>
          </w:p>
        </w:tc>
        <w:tc>
          <w:tcPr>
            <w:tcW w:w="1678" w:type="dxa"/>
          </w:tcPr>
          <w:p w14:paraId="2EE848A2" w14:textId="77777777" w:rsidR="002300FE" w:rsidRPr="002300FE" w:rsidRDefault="002300FE" w:rsidP="002300FE">
            <w:pPr>
              <w:autoSpaceDE w:val="0"/>
              <w:autoSpaceDN w:val="0"/>
              <w:adjustRightInd w:val="0"/>
              <w:jc w:val="center"/>
              <w:rPr>
                <w:sz w:val="24"/>
                <w:szCs w:val="24"/>
              </w:rPr>
            </w:pPr>
            <w:r w:rsidRPr="002300FE">
              <w:rPr>
                <w:sz w:val="24"/>
                <w:szCs w:val="24"/>
              </w:rPr>
              <w:t>10,31</w:t>
            </w:r>
          </w:p>
        </w:tc>
        <w:tc>
          <w:tcPr>
            <w:tcW w:w="1842" w:type="dxa"/>
          </w:tcPr>
          <w:p w14:paraId="203731D7" w14:textId="77777777" w:rsidR="002300FE" w:rsidRPr="002300FE" w:rsidRDefault="002300FE" w:rsidP="002300FE">
            <w:pPr>
              <w:autoSpaceDE w:val="0"/>
              <w:autoSpaceDN w:val="0"/>
              <w:adjustRightInd w:val="0"/>
              <w:jc w:val="center"/>
              <w:rPr>
                <w:sz w:val="24"/>
                <w:szCs w:val="24"/>
              </w:rPr>
            </w:pPr>
            <w:r w:rsidRPr="002300FE">
              <w:rPr>
                <w:sz w:val="24"/>
                <w:szCs w:val="24"/>
              </w:rPr>
              <w:t>13,13</w:t>
            </w:r>
          </w:p>
        </w:tc>
        <w:tc>
          <w:tcPr>
            <w:tcW w:w="1985" w:type="dxa"/>
          </w:tcPr>
          <w:p w14:paraId="007FC76C" w14:textId="77777777" w:rsidR="002300FE" w:rsidRPr="002300FE" w:rsidRDefault="002300FE" w:rsidP="002300FE">
            <w:pPr>
              <w:autoSpaceDE w:val="0"/>
              <w:autoSpaceDN w:val="0"/>
              <w:adjustRightInd w:val="0"/>
              <w:jc w:val="center"/>
              <w:rPr>
                <w:sz w:val="24"/>
                <w:szCs w:val="24"/>
              </w:rPr>
            </w:pPr>
            <w:r w:rsidRPr="002300FE">
              <w:rPr>
                <w:sz w:val="24"/>
                <w:szCs w:val="24"/>
              </w:rPr>
              <w:t>12,6</w:t>
            </w:r>
          </w:p>
        </w:tc>
      </w:tr>
      <w:tr w:rsidR="002300FE" w:rsidRPr="002300FE" w14:paraId="389D164B" w14:textId="77777777" w:rsidTr="00F11D4C">
        <w:tc>
          <w:tcPr>
            <w:tcW w:w="3279" w:type="dxa"/>
          </w:tcPr>
          <w:p w14:paraId="70036136" w14:textId="77777777" w:rsidR="002300FE" w:rsidRPr="002300FE" w:rsidRDefault="002300FE" w:rsidP="002300FE">
            <w:pPr>
              <w:autoSpaceDE w:val="0"/>
              <w:autoSpaceDN w:val="0"/>
              <w:adjustRightInd w:val="0"/>
              <w:jc w:val="center"/>
              <w:rPr>
                <w:sz w:val="24"/>
                <w:szCs w:val="24"/>
              </w:rPr>
            </w:pPr>
            <w:r w:rsidRPr="002300FE">
              <w:rPr>
                <w:color w:val="000000"/>
                <w:sz w:val="24"/>
                <w:szCs w:val="24"/>
              </w:rPr>
              <w:t>Группа компаний «Сюкден»</w:t>
            </w:r>
          </w:p>
        </w:tc>
        <w:tc>
          <w:tcPr>
            <w:tcW w:w="1678" w:type="dxa"/>
          </w:tcPr>
          <w:p w14:paraId="4CB5521F" w14:textId="77777777" w:rsidR="002300FE" w:rsidRPr="002300FE" w:rsidRDefault="002300FE" w:rsidP="002300FE">
            <w:pPr>
              <w:autoSpaceDE w:val="0"/>
              <w:autoSpaceDN w:val="0"/>
              <w:adjustRightInd w:val="0"/>
              <w:jc w:val="center"/>
              <w:rPr>
                <w:sz w:val="24"/>
                <w:szCs w:val="24"/>
              </w:rPr>
            </w:pPr>
            <w:r w:rsidRPr="002300FE">
              <w:rPr>
                <w:sz w:val="24"/>
                <w:szCs w:val="24"/>
              </w:rPr>
              <w:t>4,42</w:t>
            </w:r>
          </w:p>
        </w:tc>
        <w:tc>
          <w:tcPr>
            <w:tcW w:w="1842" w:type="dxa"/>
          </w:tcPr>
          <w:p w14:paraId="631C52B1" w14:textId="77777777" w:rsidR="002300FE" w:rsidRPr="002300FE" w:rsidRDefault="002300FE" w:rsidP="002300FE">
            <w:pPr>
              <w:autoSpaceDE w:val="0"/>
              <w:autoSpaceDN w:val="0"/>
              <w:adjustRightInd w:val="0"/>
              <w:jc w:val="center"/>
              <w:rPr>
                <w:sz w:val="24"/>
                <w:szCs w:val="24"/>
              </w:rPr>
            </w:pPr>
            <w:r w:rsidRPr="002300FE">
              <w:rPr>
                <w:sz w:val="24"/>
                <w:szCs w:val="24"/>
              </w:rPr>
              <w:t>9,49</w:t>
            </w:r>
          </w:p>
        </w:tc>
        <w:tc>
          <w:tcPr>
            <w:tcW w:w="1985" w:type="dxa"/>
          </w:tcPr>
          <w:p w14:paraId="509D2B90" w14:textId="77777777" w:rsidR="002300FE" w:rsidRPr="002300FE" w:rsidRDefault="002300FE" w:rsidP="002300FE">
            <w:pPr>
              <w:autoSpaceDE w:val="0"/>
              <w:autoSpaceDN w:val="0"/>
              <w:adjustRightInd w:val="0"/>
              <w:jc w:val="center"/>
              <w:rPr>
                <w:sz w:val="24"/>
                <w:szCs w:val="24"/>
              </w:rPr>
            </w:pPr>
            <w:r w:rsidRPr="002300FE">
              <w:rPr>
                <w:sz w:val="24"/>
                <w:szCs w:val="24"/>
              </w:rPr>
              <w:t>7,1</w:t>
            </w:r>
          </w:p>
        </w:tc>
      </w:tr>
      <w:tr w:rsidR="002300FE" w:rsidRPr="002300FE" w14:paraId="62EE1296" w14:textId="77777777" w:rsidTr="00F11D4C">
        <w:tc>
          <w:tcPr>
            <w:tcW w:w="3279" w:type="dxa"/>
          </w:tcPr>
          <w:p w14:paraId="7D6D130F" w14:textId="77777777" w:rsidR="002300FE" w:rsidRPr="002300FE" w:rsidRDefault="002300FE" w:rsidP="002300FE">
            <w:pPr>
              <w:autoSpaceDE w:val="0"/>
              <w:autoSpaceDN w:val="0"/>
              <w:adjustRightInd w:val="0"/>
              <w:jc w:val="center"/>
              <w:rPr>
                <w:color w:val="000000"/>
                <w:sz w:val="24"/>
                <w:szCs w:val="24"/>
              </w:rPr>
            </w:pPr>
            <w:r w:rsidRPr="002300FE">
              <w:rPr>
                <w:color w:val="000000"/>
                <w:sz w:val="24"/>
                <w:szCs w:val="24"/>
              </w:rPr>
              <w:t>Группа «Разгуляй</w:t>
            </w:r>
          </w:p>
        </w:tc>
        <w:tc>
          <w:tcPr>
            <w:tcW w:w="1678" w:type="dxa"/>
          </w:tcPr>
          <w:p w14:paraId="5C812228" w14:textId="77777777" w:rsidR="002300FE" w:rsidRPr="002300FE" w:rsidRDefault="002300FE" w:rsidP="002300FE">
            <w:pPr>
              <w:autoSpaceDE w:val="0"/>
              <w:autoSpaceDN w:val="0"/>
              <w:adjustRightInd w:val="0"/>
              <w:jc w:val="center"/>
              <w:rPr>
                <w:sz w:val="24"/>
                <w:szCs w:val="24"/>
              </w:rPr>
            </w:pPr>
            <w:r w:rsidRPr="002300FE">
              <w:rPr>
                <w:sz w:val="24"/>
                <w:szCs w:val="24"/>
              </w:rPr>
              <w:t>6,04</w:t>
            </w:r>
          </w:p>
        </w:tc>
        <w:tc>
          <w:tcPr>
            <w:tcW w:w="1842" w:type="dxa"/>
          </w:tcPr>
          <w:p w14:paraId="61082E2C" w14:textId="77777777" w:rsidR="002300FE" w:rsidRPr="002300FE" w:rsidRDefault="002300FE" w:rsidP="002300FE">
            <w:pPr>
              <w:autoSpaceDE w:val="0"/>
              <w:autoSpaceDN w:val="0"/>
              <w:adjustRightInd w:val="0"/>
              <w:jc w:val="center"/>
              <w:rPr>
                <w:sz w:val="24"/>
                <w:szCs w:val="24"/>
              </w:rPr>
            </w:pPr>
            <w:r w:rsidRPr="002300FE">
              <w:rPr>
                <w:sz w:val="24"/>
                <w:szCs w:val="24"/>
              </w:rPr>
              <w:t>5,64</w:t>
            </w:r>
          </w:p>
        </w:tc>
        <w:tc>
          <w:tcPr>
            <w:tcW w:w="1985" w:type="dxa"/>
          </w:tcPr>
          <w:p w14:paraId="11E03F6E" w14:textId="77777777" w:rsidR="002300FE" w:rsidRPr="002300FE" w:rsidRDefault="002300FE" w:rsidP="002300FE">
            <w:pPr>
              <w:autoSpaceDE w:val="0"/>
              <w:autoSpaceDN w:val="0"/>
              <w:adjustRightInd w:val="0"/>
              <w:jc w:val="center"/>
              <w:rPr>
                <w:sz w:val="24"/>
                <w:szCs w:val="24"/>
              </w:rPr>
            </w:pPr>
            <w:r w:rsidRPr="002300FE">
              <w:rPr>
                <w:sz w:val="24"/>
                <w:szCs w:val="24"/>
              </w:rPr>
              <w:t>-</w:t>
            </w:r>
          </w:p>
        </w:tc>
      </w:tr>
      <w:tr w:rsidR="002300FE" w:rsidRPr="002300FE" w14:paraId="5239CC81" w14:textId="77777777" w:rsidTr="00F11D4C">
        <w:tc>
          <w:tcPr>
            <w:tcW w:w="3279" w:type="dxa"/>
          </w:tcPr>
          <w:p w14:paraId="624BE419" w14:textId="77777777" w:rsidR="002300FE" w:rsidRPr="002300FE" w:rsidRDefault="002300FE" w:rsidP="002300FE">
            <w:pPr>
              <w:autoSpaceDE w:val="0"/>
              <w:autoSpaceDN w:val="0"/>
              <w:adjustRightInd w:val="0"/>
              <w:jc w:val="center"/>
              <w:rPr>
                <w:sz w:val="24"/>
                <w:szCs w:val="24"/>
              </w:rPr>
            </w:pPr>
            <w:r w:rsidRPr="002300FE">
              <w:rPr>
                <w:color w:val="000000"/>
                <w:sz w:val="24"/>
                <w:szCs w:val="24"/>
              </w:rPr>
              <w:t>Группа АО фирма «Агрокомплекс им. Н.И. Ткачева</w:t>
            </w:r>
          </w:p>
        </w:tc>
        <w:tc>
          <w:tcPr>
            <w:tcW w:w="1678" w:type="dxa"/>
          </w:tcPr>
          <w:p w14:paraId="147A8A98" w14:textId="77777777" w:rsidR="002300FE" w:rsidRPr="002300FE" w:rsidRDefault="002300FE" w:rsidP="002300FE">
            <w:pPr>
              <w:autoSpaceDE w:val="0"/>
              <w:autoSpaceDN w:val="0"/>
              <w:adjustRightInd w:val="0"/>
              <w:jc w:val="center"/>
              <w:rPr>
                <w:sz w:val="24"/>
                <w:szCs w:val="24"/>
              </w:rPr>
            </w:pPr>
            <w:r w:rsidRPr="002300FE">
              <w:rPr>
                <w:sz w:val="24"/>
                <w:szCs w:val="24"/>
              </w:rPr>
              <w:t>1,29</w:t>
            </w:r>
          </w:p>
        </w:tc>
        <w:tc>
          <w:tcPr>
            <w:tcW w:w="1842" w:type="dxa"/>
          </w:tcPr>
          <w:p w14:paraId="3C23B832" w14:textId="77777777" w:rsidR="002300FE" w:rsidRPr="002300FE" w:rsidRDefault="002300FE" w:rsidP="002300FE">
            <w:pPr>
              <w:autoSpaceDE w:val="0"/>
              <w:autoSpaceDN w:val="0"/>
              <w:adjustRightInd w:val="0"/>
              <w:jc w:val="center"/>
              <w:rPr>
                <w:sz w:val="24"/>
                <w:szCs w:val="24"/>
              </w:rPr>
            </w:pPr>
            <w:r w:rsidRPr="002300FE">
              <w:rPr>
                <w:sz w:val="24"/>
                <w:szCs w:val="24"/>
              </w:rPr>
              <w:t>1,48</w:t>
            </w:r>
          </w:p>
        </w:tc>
        <w:tc>
          <w:tcPr>
            <w:tcW w:w="1985" w:type="dxa"/>
          </w:tcPr>
          <w:p w14:paraId="415E1AE0" w14:textId="77777777" w:rsidR="002300FE" w:rsidRPr="002300FE" w:rsidRDefault="002300FE" w:rsidP="002300FE">
            <w:pPr>
              <w:autoSpaceDE w:val="0"/>
              <w:autoSpaceDN w:val="0"/>
              <w:adjustRightInd w:val="0"/>
              <w:jc w:val="center"/>
              <w:rPr>
                <w:sz w:val="24"/>
                <w:szCs w:val="24"/>
              </w:rPr>
            </w:pPr>
            <w:r w:rsidRPr="002300FE">
              <w:rPr>
                <w:sz w:val="24"/>
                <w:szCs w:val="24"/>
              </w:rPr>
              <w:t>3,9</w:t>
            </w:r>
          </w:p>
        </w:tc>
      </w:tr>
      <w:tr w:rsidR="002300FE" w:rsidRPr="002300FE" w14:paraId="3CAFDCC9" w14:textId="77777777" w:rsidTr="00F11D4C">
        <w:tc>
          <w:tcPr>
            <w:tcW w:w="3279" w:type="dxa"/>
          </w:tcPr>
          <w:p w14:paraId="0E67557F" w14:textId="77777777" w:rsidR="002300FE" w:rsidRPr="002300FE" w:rsidRDefault="002300FE" w:rsidP="002300FE">
            <w:pPr>
              <w:autoSpaceDE w:val="0"/>
              <w:autoSpaceDN w:val="0"/>
              <w:adjustRightInd w:val="0"/>
              <w:jc w:val="center"/>
              <w:rPr>
                <w:color w:val="000000"/>
                <w:sz w:val="24"/>
                <w:szCs w:val="24"/>
              </w:rPr>
            </w:pPr>
            <w:r w:rsidRPr="002300FE">
              <w:rPr>
                <w:color w:val="000000"/>
                <w:sz w:val="24"/>
                <w:szCs w:val="24"/>
              </w:rPr>
              <w:t>Прочие хозяйствующие субъекты</w:t>
            </w:r>
          </w:p>
        </w:tc>
        <w:tc>
          <w:tcPr>
            <w:tcW w:w="1678" w:type="dxa"/>
          </w:tcPr>
          <w:p w14:paraId="2D479A71" w14:textId="77777777" w:rsidR="002300FE" w:rsidRPr="002300FE" w:rsidRDefault="002300FE" w:rsidP="002300FE">
            <w:pPr>
              <w:autoSpaceDE w:val="0"/>
              <w:autoSpaceDN w:val="0"/>
              <w:adjustRightInd w:val="0"/>
              <w:jc w:val="center"/>
              <w:rPr>
                <w:sz w:val="24"/>
                <w:szCs w:val="24"/>
              </w:rPr>
            </w:pPr>
            <w:r w:rsidRPr="002300FE">
              <w:rPr>
                <w:sz w:val="24"/>
                <w:szCs w:val="24"/>
              </w:rPr>
              <w:t>31,5</w:t>
            </w:r>
          </w:p>
        </w:tc>
        <w:tc>
          <w:tcPr>
            <w:tcW w:w="1842" w:type="dxa"/>
          </w:tcPr>
          <w:p w14:paraId="2EFCA875" w14:textId="77777777" w:rsidR="002300FE" w:rsidRPr="002300FE" w:rsidRDefault="002300FE" w:rsidP="002300FE">
            <w:pPr>
              <w:autoSpaceDE w:val="0"/>
              <w:autoSpaceDN w:val="0"/>
              <w:adjustRightInd w:val="0"/>
              <w:jc w:val="center"/>
              <w:rPr>
                <w:sz w:val="24"/>
                <w:szCs w:val="24"/>
              </w:rPr>
            </w:pPr>
            <w:r w:rsidRPr="002300FE">
              <w:rPr>
                <w:sz w:val="24"/>
                <w:szCs w:val="24"/>
              </w:rPr>
              <w:t>27,3</w:t>
            </w:r>
          </w:p>
        </w:tc>
        <w:tc>
          <w:tcPr>
            <w:tcW w:w="1985" w:type="dxa"/>
          </w:tcPr>
          <w:p w14:paraId="2DD76E51" w14:textId="77777777" w:rsidR="002300FE" w:rsidRPr="002300FE" w:rsidRDefault="002300FE" w:rsidP="002300FE">
            <w:pPr>
              <w:autoSpaceDE w:val="0"/>
              <w:autoSpaceDN w:val="0"/>
              <w:adjustRightInd w:val="0"/>
              <w:jc w:val="center"/>
              <w:rPr>
                <w:sz w:val="24"/>
                <w:szCs w:val="24"/>
              </w:rPr>
            </w:pPr>
            <w:r w:rsidRPr="002300FE">
              <w:rPr>
                <w:sz w:val="24"/>
                <w:szCs w:val="24"/>
              </w:rPr>
              <w:t>28,9</w:t>
            </w:r>
          </w:p>
        </w:tc>
      </w:tr>
      <w:tr w:rsidR="002300FE" w:rsidRPr="002300FE" w14:paraId="0747B308" w14:textId="77777777" w:rsidTr="00F11D4C">
        <w:tc>
          <w:tcPr>
            <w:tcW w:w="3279" w:type="dxa"/>
          </w:tcPr>
          <w:p w14:paraId="41B5F02C" w14:textId="77777777" w:rsidR="002300FE" w:rsidRPr="002300FE" w:rsidRDefault="002300FE" w:rsidP="002300FE">
            <w:pPr>
              <w:autoSpaceDE w:val="0"/>
              <w:autoSpaceDN w:val="0"/>
              <w:adjustRightInd w:val="0"/>
              <w:jc w:val="center"/>
              <w:rPr>
                <w:sz w:val="24"/>
                <w:szCs w:val="24"/>
              </w:rPr>
            </w:pPr>
            <w:r w:rsidRPr="002300FE">
              <w:rPr>
                <w:color w:val="000000"/>
                <w:sz w:val="24"/>
                <w:szCs w:val="24"/>
              </w:rPr>
              <w:t>Сельхозтоваропроизводители, собственники сахара, произведенного по давальческим схемам</w:t>
            </w:r>
          </w:p>
        </w:tc>
        <w:tc>
          <w:tcPr>
            <w:tcW w:w="1678" w:type="dxa"/>
          </w:tcPr>
          <w:p w14:paraId="7BCBAA10" w14:textId="77777777" w:rsidR="002300FE" w:rsidRPr="002300FE" w:rsidRDefault="002300FE" w:rsidP="002300FE">
            <w:pPr>
              <w:autoSpaceDE w:val="0"/>
              <w:autoSpaceDN w:val="0"/>
              <w:adjustRightInd w:val="0"/>
              <w:jc w:val="center"/>
              <w:rPr>
                <w:sz w:val="24"/>
                <w:szCs w:val="24"/>
              </w:rPr>
            </w:pPr>
            <w:r w:rsidRPr="002300FE">
              <w:rPr>
                <w:sz w:val="24"/>
                <w:szCs w:val="24"/>
              </w:rPr>
              <w:t>14,9</w:t>
            </w:r>
          </w:p>
        </w:tc>
        <w:tc>
          <w:tcPr>
            <w:tcW w:w="1842" w:type="dxa"/>
          </w:tcPr>
          <w:p w14:paraId="4F481F19" w14:textId="77777777" w:rsidR="002300FE" w:rsidRPr="002300FE" w:rsidRDefault="002300FE" w:rsidP="002300FE">
            <w:pPr>
              <w:autoSpaceDE w:val="0"/>
              <w:autoSpaceDN w:val="0"/>
              <w:adjustRightInd w:val="0"/>
              <w:jc w:val="center"/>
              <w:rPr>
                <w:sz w:val="24"/>
                <w:szCs w:val="24"/>
              </w:rPr>
            </w:pPr>
            <w:r w:rsidRPr="002300FE">
              <w:rPr>
                <w:sz w:val="24"/>
                <w:szCs w:val="24"/>
              </w:rPr>
              <w:t>11,19</w:t>
            </w:r>
          </w:p>
        </w:tc>
        <w:tc>
          <w:tcPr>
            <w:tcW w:w="1985" w:type="dxa"/>
          </w:tcPr>
          <w:p w14:paraId="1CDDE284" w14:textId="77777777" w:rsidR="002300FE" w:rsidRPr="002300FE" w:rsidRDefault="002300FE" w:rsidP="002300FE">
            <w:pPr>
              <w:autoSpaceDE w:val="0"/>
              <w:autoSpaceDN w:val="0"/>
              <w:adjustRightInd w:val="0"/>
              <w:jc w:val="center"/>
              <w:rPr>
                <w:sz w:val="24"/>
                <w:szCs w:val="24"/>
              </w:rPr>
            </w:pPr>
            <w:r w:rsidRPr="002300FE">
              <w:rPr>
                <w:sz w:val="24"/>
                <w:szCs w:val="24"/>
              </w:rPr>
              <w:t>14,7</w:t>
            </w:r>
          </w:p>
        </w:tc>
      </w:tr>
    </w:tbl>
    <w:p w14:paraId="64ABDB8C" w14:textId="77777777" w:rsidR="002300FE" w:rsidRPr="002300FE" w:rsidRDefault="002300FE" w:rsidP="002300FE">
      <w:pPr>
        <w:widowControl w:val="0"/>
        <w:suppressAutoHyphens/>
        <w:autoSpaceDN w:val="0"/>
        <w:spacing w:after="0" w:line="240" w:lineRule="auto"/>
        <w:ind w:firstLine="540"/>
        <w:jc w:val="both"/>
        <w:textAlignment w:val="baseline"/>
        <w:rPr>
          <w:rFonts w:ascii="Times New Roman" w:hAnsi="Times New Roman" w:cs="Times New Roman"/>
          <w:sz w:val="28"/>
          <w:szCs w:val="28"/>
        </w:rPr>
      </w:pPr>
    </w:p>
    <w:p w14:paraId="3012790E" w14:textId="301A36D2" w:rsidR="002300FE" w:rsidRPr="002300FE" w:rsidRDefault="002300FE" w:rsidP="005379D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300FE">
        <w:rPr>
          <w:rFonts w:ascii="Times New Roman" w:hAnsi="Times New Roman" w:cs="Times New Roman"/>
          <w:color w:val="000000"/>
          <w:sz w:val="28"/>
          <w:szCs w:val="28"/>
        </w:rPr>
        <w:t>На рынке сахара продолжаются процессы экономической концентрации (в 2017- 2018 годах ФАС России было рассмотрено 7 сделок на рынке сахара). О</w:t>
      </w:r>
      <w:r w:rsidRPr="002300FE">
        <w:rPr>
          <w:rFonts w:ascii="Times New Roman" w:hAnsi="Times New Roman" w:cs="Times New Roman"/>
          <w:sz w:val="28"/>
          <w:szCs w:val="28"/>
        </w:rPr>
        <w:t xml:space="preserve">днако данные процессы, </w:t>
      </w:r>
      <w:r w:rsidRPr="002300FE">
        <w:rPr>
          <w:rFonts w:ascii="Times New Roman" w:hAnsi="Times New Roman" w:cs="Times New Roman"/>
          <w:color w:val="000000"/>
          <w:sz w:val="28"/>
          <w:szCs w:val="28"/>
        </w:rPr>
        <w:t xml:space="preserve">исходя из положений статьи 5 </w:t>
      </w:r>
      <w:r w:rsidR="004A5E39">
        <w:rPr>
          <w:rFonts w:ascii="Times New Roman" w:hAnsi="Times New Roman" w:cs="Times New Roman"/>
          <w:color w:val="000000"/>
          <w:sz w:val="28"/>
          <w:szCs w:val="28"/>
        </w:rPr>
        <w:t>Закона о защите конкуренции</w:t>
      </w:r>
      <w:r w:rsidRPr="002300FE">
        <w:rPr>
          <w:rFonts w:ascii="Times New Roman" w:hAnsi="Times New Roman" w:cs="Times New Roman"/>
          <w:color w:val="000000"/>
          <w:sz w:val="28"/>
          <w:szCs w:val="28"/>
        </w:rPr>
        <w:t xml:space="preserve">, в том числе в соответствии с частью 3 указанной статьи, не привели к возникновению у хозяйствующих субъектов (групп лиц), действующих на рынке сахара доминирующего положения. </w:t>
      </w:r>
    </w:p>
    <w:p w14:paraId="4FBAD6D7" w14:textId="77777777" w:rsidR="002300FE" w:rsidRPr="002300FE" w:rsidRDefault="002300FE" w:rsidP="005379DE">
      <w:pPr>
        <w:autoSpaceDE w:val="0"/>
        <w:autoSpaceDN w:val="0"/>
        <w:adjustRightInd w:val="0"/>
        <w:spacing w:after="0" w:line="240" w:lineRule="auto"/>
        <w:ind w:firstLine="709"/>
        <w:jc w:val="both"/>
        <w:rPr>
          <w:rFonts w:ascii="Times New Roman" w:hAnsi="Times New Roman" w:cs="Times New Roman"/>
          <w:sz w:val="28"/>
          <w:szCs w:val="28"/>
        </w:rPr>
      </w:pPr>
      <w:r w:rsidRPr="002300FE">
        <w:rPr>
          <w:rFonts w:ascii="Times New Roman" w:hAnsi="Times New Roman" w:cs="Times New Roman"/>
          <w:sz w:val="28"/>
          <w:szCs w:val="28"/>
        </w:rPr>
        <w:t xml:space="preserve">В ценовом плане для рынка сахара характерна стабильность спроса и его неэластичность по цене. При этом рынок существенно реагирует на изменение предложения сахара (как это было в 2016/2017 сельскохозяйственном году, когда предложение сахара превышало спрос на него на внутреннем рынке). В связи с этим, учитывая, что производство и переработка сахарной свеклы носит сезонный характер, для рынка сахара характерно сезонное колебание цен. </w:t>
      </w:r>
    </w:p>
    <w:p w14:paraId="4DD0DE41" w14:textId="77777777" w:rsidR="002300FE" w:rsidRPr="002300FE" w:rsidRDefault="002300FE" w:rsidP="005379DE">
      <w:pPr>
        <w:autoSpaceDE w:val="0"/>
        <w:autoSpaceDN w:val="0"/>
        <w:adjustRightInd w:val="0"/>
        <w:spacing w:after="0" w:line="240" w:lineRule="auto"/>
        <w:ind w:firstLine="709"/>
        <w:jc w:val="both"/>
        <w:rPr>
          <w:rFonts w:ascii="Times New Roman" w:hAnsi="Times New Roman" w:cs="Times New Roman"/>
          <w:sz w:val="28"/>
          <w:szCs w:val="28"/>
        </w:rPr>
      </w:pPr>
      <w:r w:rsidRPr="002300FE">
        <w:rPr>
          <w:rFonts w:ascii="Times New Roman" w:hAnsi="Times New Roman" w:cs="Times New Roman"/>
          <w:sz w:val="28"/>
          <w:szCs w:val="28"/>
        </w:rPr>
        <w:t xml:space="preserve">Среди основных причин, вызвавших повышение цен на сахар в </w:t>
      </w:r>
      <w:r w:rsidRPr="002300FE">
        <w:rPr>
          <w:rFonts w:ascii="Times New Roman" w:hAnsi="Times New Roman" w:cs="Times New Roman"/>
          <w:sz w:val="28"/>
          <w:szCs w:val="28"/>
          <w:lang w:val="en-US"/>
        </w:rPr>
        <w:t>IV</w:t>
      </w:r>
      <w:r w:rsidRPr="002300FE">
        <w:rPr>
          <w:rFonts w:ascii="Times New Roman" w:hAnsi="Times New Roman" w:cs="Times New Roman"/>
          <w:sz w:val="28"/>
          <w:szCs w:val="28"/>
        </w:rPr>
        <w:t xml:space="preserve"> квартале 2018 года можно выделить следующие:</w:t>
      </w:r>
    </w:p>
    <w:p w14:paraId="60EB4FE2" w14:textId="77777777" w:rsidR="002300FE" w:rsidRPr="002300FE" w:rsidRDefault="002300FE" w:rsidP="005379DE">
      <w:pPr>
        <w:autoSpaceDE w:val="0"/>
        <w:autoSpaceDN w:val="0"/>
        <w:adjustRightInd w:val="0"/>
        <w:spacing w:after="0" w:line="240" w:lineRule="auto"/>
        <w:ind w:firstLine="709"/>
        <w:jc w:val="both"/>
        <w:rPr>
          <w:rFonts w:ascii="Times New Roman" w:hAnsi="Times New Roman" w:cs="Times New Roman"/>
          <w:sz w:val="28"/>
          <w:szCs w:val="28"/>
        </w:rPr>
      </w:pPr>
      <w:r w:rsidRPr="002300FE">
        <w:rPr>
          <w:rFonts w:ascii="Times New Roman" w:hAnsi="Times New Roman" w:cs="Times New Roman"/>
          <w:sz w:val="28"/>
          <w:szCs w:val="28"/>
        </w:rPr>
        <w:t>- рост себестоимости производства сахара, в том числе за счет роста стоимости закупаемого сырья и, прежде всего сахарной свеклы, которая в структуре себестоимости производства занимает более 65 %. Наибольший рост стоимости закупаемого сырья пришелся на октябрь 2018 года: в этот период рост цен на сахарную свеклу, в зависимости от региона, составил от 20 до 40 % по сравнению с аналогичным периодом 2018 года;</w:t>
      </w:r>
    </w:p>
    <w:p w14:paraId="3E647D00" w14:textId="77777777" w:rsidR="002300FE" w:rsidRPr="002300FE" w:rsidRDefault="002300FE" w:rsidP="005379DE">
      <w:pPr>
        <w:autoSpaceDE w:val="0"/>
        <w:autoSpaceDN w:val="0"/>
        <w:adjustRightInd w:val="0"/>
        <w:spacing w:after="0" w:line="240" w:lineRule="auto"/>
        <w:ind w:firstLine="709"/>
        <w:jc w:val="both"/>
        <w:rPr>
          <w:rFonts w:ascii="Times New Roman" w:hAnsi="Times New Roman" w:cs="Times New Roman"/>
          <w:sz w:val="28"/>
          <w:szCs w:val="28"/>
        </w:rPr>
      </w:pPr>
      <w:r w:rsidRPr="002300FE">
        <w:rPr>
          <w:rFonts w:ascii="Times New Roman" w:hAnsi="Times New Roman" w:cs="Times New Roman"/>
          <w:sz w:val="28"/>
          <w:szCs w:val="28"/>
        </w:rPr>
        <w:t>- ожидания рынка по снижению предложения сахарной свеклы в 2017/2018 сельскохозяйственном году, и соответственно, производства сахара, более чем на 10 %.</w:t>
      </w:r>
    </w:p>
    <w:p w14:paraId="301C320E" w14:textId="77777777" w:rsidR="002300FE" w:rsidRDefault="00883C8E" w:rsidP="00DA3F05">
      <w:pPr>
        <w:pStyle w:val="3"/>
      </w:pPr>
      <w:bookmarkStart w:id="928" w:name="_Toc7447981"/>
      <w:r w:rsidRPr="00FD751F">
        <w:t>Достигнутые результаты развития конкуренции и предложения по развитию конкуренции</w:t>
      </w:r>
      <w:bookmarkStart w:id="929" w:name="_Toc6834342"/>
      <w:bookmarkStart w:id="930" w:name="_Toc6834629"/>
      <w:bookmarkStart w:id="931" w:name="_Toc6834832"/>
      <w:bookmarkEnd w:id="929"/>
      <w:bookmarkEnd w:id="930"/>
      <w:bookmarkEnd w:id="931"/>
      <w:bookmarkEnd w:id="928"/>
    </w:p>
    <w:p w14:paraId="44B920BF" w14:textId="77777777" w:rsidR="002300FE" w:rsidRPr="002300FE" w:rsidRDefault="002300FE" w:rsidP="002300FE">
      <w:pPr>
        <w:spacing w:after="0" w:line="240" w:lineRule="auto"/>
        <w:ind w:right="-1" w:firstLine="567"/>
        <w:jc w:val="both"/>
        <w:rPr>
          <w:rFonts w:ascii="Times New Roman" w:eastAsia="Cambria" w:hAnsi="Times New Roman" w:cs="Times New Roman"/>
          <w:sz w:val="28"/>
          <w:szCs w:val="28"/>
        </w:rPr>
      </w:pPr>
      <w:r w:rsidRPr="002300FE">
        <w:rPr>
          <w:rFonts w:ascii="Times New Roman" w:eastAsia="Cambria" w:hAnsi="Times New Roman" w:cs="Times New Roman"/>
          <w:sz w:val="28"/>
          <w:szCs w:val="28"/>
        </w:rPr>
        <w:t xml:space="preserve">В Докладе о состоянии конкуренции в Российской Федерации за 2016 год было отмечено, что для получения объективных ценовых индикаторов на рынке сахара белого необходимо внедрение биржевого механизма на данном рынке. </w:t>
      </w:r>
    </w:p>
    <w:p w14:paraId="0D2A1B2D" w14:textId="77777777" w:rsidR="002300FE" w:rsidRPr="002300FE" w:rsidRDefault="002300FE" w:rsidP="002300FE">
      <w:pPr>
        <w:spacing w:after="0" w:line="240" w:lineRule="auto"/>
        <w:ind w:right="-1" w:firstLine="567"/>
        <w:jc w:val="both"/>
        <w:rPr>
          <w:rFonts w:ascii="Times New Roman" w:eastAsia="Cambria" w:hAnsi="Times New Roman" w:cs="Times New Roman"/>
          <w:sz w:val="28"/>
          <w:szCs w:val="28"/>
        </w:rPr>
      </w:pPr>
      <w:r w:rsidRPr="002300FE">
        <w:rPr>
          <w:rFonts w:ascii="Times New Roman" w:eastAsia="Cambria" w:hAnsi="Times New Roman" w:cs="Times New Roman"/>
          <w:sz w:val="28"/>
          <w:szCs w:val="28"/>
        </w:rPr>
        <w:t xml:space="preserve">В настоящее время при Биржевом комитете ФАС России сформирован подкомитет по продовольственным товарам, в рамках которого, в том числе рассматриваются вопросы организации биржевых торгов сахаром. </w:t>
      </w:r>
    </w:p>
    <w:p w14:paraId="23615462" w14:textId="77777777" w:rsidR="002300FE" w:rsidRPr="002300FE" w:rsidRDefault="002300FE" w:rsidP="002300FE">
      <w:pPr>
        <w:overflowPunct w:val="0"/>
        <w:autoSpaceDE w:val="0"/>
        <w:autoSpaceDN w:val="0"/>
        <w:adjustRightInd w:val="0"/>
        <w:spacing w:after="0" w:line="240" w:lineRule="auto"/>
        <w:ind w:firstLine="709"/>
        <w:jc w:val="both"/>
        <w:textAlignment w:val="baseline"/>
        <w:rPr>
          <w:rFonts w:ascii="Times New Roman" w:eastAsia="Cambria" w:hAnsi="Times New Roman" w:cs="Times New Roman"/>
          <w:sz w:val="28"/>
          <w:szCs w:val="28"/>
        </w:rPr>
      </w:pPr>
      <w:r w:rsidRPr="002300FE">
        <w:rPr>
          <w:rFonts w:ascii="Times New Roman" w:eastAsia="Cambria" w:hAnsi="Times New Roman" w:cs="Times New Roman"/>
          <w:sz w:val="28"/>
          <w:szCs w:val="28"/>
        </w:rPr>
        <w:t>Работа проводится в соответствии с Планом-графиком подготовки запуска торгов производными финансовыми инструментами, базисным активом которых является сахар, на биржевых торгах Акционерного  общества «Национальная товарная биржа», разработанным Группой «Московская Биржа» с участием ФАС России и Минсельхоза России.</w:t>
      </w:r>
    </w:p>
    <w:p w14:paraId="67EEEE91" w14:textId="77777777" w:rsidR="002300FE" w:rsidRPr="002300FE" w:rsidRDefault="002300FE" w:rsidP="002300FE">
      <w:pPr>
        <w:widowControl w:val="0"/>
        <w:shd w:val="clear" w:color="auto" w:fill="FFFFFF"/>
        <w:tabs>
          <w:tab w:val="left" w:pos="0"/>
        </w:tabs>
        <w:spacing w:after="0" w:line="240" w:lineRule="auto"/>
        <w:ind w:right="-1" w:firstLine="709"/>
        <w:jc w:val="both"/>
        <w:rPr>
          <w:rFonts w:ascii="Times New Roman" w:eastAsia="Trebuchet MS" w:hAnsi="Times New Roman" w:cs="Times New Roman"/>
          <w:sz w:val="28"/>
          <w:szCs w:val="28"/>
          <w:shd w:val="clear" w:color="auto" w:fill="FFFFFF"/>
        </w:rPr>
      </w:pPr>
      <w:r w:rsidRPr="002300FE">
        <w:rPr>
          <w:rFonts w:ascii="Times New Roman" w:eastAsia="Trebuchet MS" w:hAnsi="Times New Roman" w:cs="Times New Roman"/>
          <w:sz w:val="28"/>
          <w:szCs w:val="28"/>
          <w:shd w:val="clear" w:color="auto" w:fill="FFFFFF"/>
        </w:rPr>
        <w:t>По итогам 2018 года оборот по сделкам форвард с сахаром составил более 40 тыс.тонн (более 1,3 млрд.руб.), аккредитовано 15 сахарных складов.</w:t>
      </w:r>
    </w:p>
    <w:p w14:paraId="54432F01" w14:textId="77777777" w:rsidR="002300FE" w:rsidRPr="002300FE" w:rsidRDefault="002300FE" w:rsidP="00FB053E">
      <w:pPr>
        <w:spacing w:after="0" w:line="240" w:lineRule="auto"/>
        <w:ind w:firstLine="709"/>
        <w:jc w:val="both"/>
        <w:rPr>
          <w:rFonts w:ascii="Times New Roman" w:eastAsia="Times New Roman" w:hAnsi="Times New Roman" w:cs="Times New Roman"/>
          <w:sz w:val="28"/>
          <w:szCs w:val="28"/>
          <w:lang w:eastAsia="ru-RU"/>
        </w:rPr>
      </w:pPr>
      <w:r w:rsidRPr="002300FE">
        <w:rPr>
          <w:rFonts w:ascii="Times New Roman" w:eastAsia="Trebuchet MS" w:hAnsi="Times New Roman" w:cs="Times New Roman"/>
          <w:sz w:val="28"/>
          <w:szCs w:val="28"/>
          <w:shd w:val="clear" w:color="auto" w:fill="FFFFFF"/>
          <w:lang w:eastAsia="ru-RU"/>
        </w:rPr>
        <w:t xml:space="preserve">Кроме того, с целью получения объективных ценовых индикаторов на рынке сахара внесено предложение о включении сахара в перечень товаров, информация о внебиржевых сделках в отношении которых подлежит представлению на биржу в соответствии с </w:t>
      </w:r>
      <w:r w:rsidRPr="002300FE">
        <w:rPr>
          <w:rFonts w:ascii="Times New Roman" w:eastAsia="Times New Roman" w:hAnsi="Times New Roman" w:cs="Times New Roman"/>
          <w:sz w:val="28"/>
          <w:szCs w:val="28"/>
          <w:lang w:eastAsia="ru-RU"/>
        </w:rPr>
        <w:t>Положением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утвержденным постановлением Правительства Российской Федерации от 23.07.2013 № 623.</w:t>
      </w:r>
    </w:p>
    <w:p w14:paraId="306F1CA5" w14:textId="78B41458" w:rsidR="002300FE" w:rsidRPr="002300FE" w:rsidRDefault="002300FE" w:rsidP="002300FE">
      <w:pPr>
        <w:spacing w:after="0" w:line="240" w:lineRule="auto"/>
        <w:ind w:right="-1" w:firstLine="567"/>
        <w:jc w:val="both"/>
        <w:rPr>
          <w:rFonts w:ascii="Times New Roman" w:eastAsia="Cambria" w:hAnsi="Times New Roman" w:cs="Times New Roman"/>
          <w:sz w:val="28"/>
          <w:szCs w:val="28"/>
        </w:rPr>
      </w:pPr>
      <w:r w:rsidRPr="002300FE">
        <w:rPr>
          <w:rFonts w:ascii="Times New Roman" w:eastAsia="Cambria" w:hAnsi="Times New Roman" w:cs="Times New Roman"/>
          <w:sz w:val="28"/>
          <w:szCs w:val="28"/>
        </w:rPr>
        <w:t>В связи с тем, что сахарные заводы расположены преимущественно на европейской территории Российской Федерации, произведенные запасы сахара белого, в основном, хранятся на складах готовой продукции сахарных заводов, которые расположены в свеклосеющих регионах Ц</w:t>
      </w:r>
      <w:r w:rsidR="00494BB1">
        <w:rPr>
          <w:rFonts w:ascii="Times New Roman" w:eastAsia="Cambria" w:hAnsi="Times New Roman" w:cs="Times New Roman"/>
          <w:sz w:val="28"/>
          <w:szCs w:val="28"/>
        </w:rPr>
        <w:t>ентрального федерального округа</w:t>
      </w:r>
      <w:r w:rsidRPr="002300FE">
        <w:rPr>
          <w:rFonts w:ascii="Times New Roman" w:eastAsia="Cambria" w:hAnsi="Times New Roman" w:cs="Times New Roman"/>
          <w:sz w:val="28"/>
          <w:szCs w:val="28"/>
        </w:rPr>
        <w:t>, Ю</w:t>
      </w:r>
      <w:r w:rsidR="00494BB1">
        <w:rPr>
          <w:rFonts w:ascii="Times New Roman" w:eastAsia="Cambria" w:hAnsi="Times New Roman" w:cs="Times New Roman"/>
          <w:sz w:val="28"/>
          <w:szCs w:val="28"/>
        </w:rPr>
        <w:t>жн</w:t>
      </w:r>
      <w:r w:rsidR="00E8788D">
        <w:rPr>
          <w:rFonts w:ascii="Times New Roman" w:eastAsia="Cambria" w:hAnsi="Times New Roman" w:cs="Times New Roman"/>
          <w:sz w:val="28"/>
          <w:szCs w:val="28"/>
        </w:rPr>
        <w:t>ого</w:t>
      </w:r>
      <w:r w:rsidR="00494BB1">
        <w:rPr>
          <w:rFonts w:ascii="Times New Roman" w:eastAsia="Cambria" w:hAnsi="Times New Roman" w:cs="Times New Roman"/>
          <w:sz w:val="28"/>
          <w:szCs w:val="28"/>
        </w:rPr>
        <w:t xml:space="preserve"> федеральн</w:t>
      </w:r>
      <w:r w:rsidR="00E8788D">
        <w:rPr>
          <w:rFonts w:ascii="Times New Roman" w:eastAsia="Cambria" w:hAnsi="Times New Roman" w:cs="Times New Roman"/>
          <w:sz w:val="28"/>
          <w:szCs w:val="28"/>
        </w:rPr>
        <w:t>ого</w:t>
      </w:r>
      <w:r w:rsidR="00494BB1">
        <w:rPr>
          <w:rFonts w:ascii="Times New Roman" w:eastAsia="Cambria" w:hAnsi="Times New Roman" w:cs="Times New Roman"/>
          <w:sz w:val="28"/>
          <w:szCs w:val="28"/>
        </w:rPr>
        <w:t xml:space="preserve"> округ</w:t>
      </w:r>
      <w:r w:rsidR="00E8788D">
        <w:rPr>
          <w:rFonts w:ascii="Times New Roman" w:eastAsia="Cambria" w:hAnsi="Times New Roman" w:cs="Times New Roman"/>
          <w:sz w:val="28"/>
          <w:szCs w:val="28"/>
        </w:rPr>
        <w:t>а</w:t>
      </w:r>
      <w:r w:rsidRPr="002300FE">
        <w:rPr>
          <w:rFonts w:ascii="Times New Roman" w:eastAsia="Cambria" w:hAnsi="Times New Roman" w:cs="Times New Roman"/>
          <w:sz w:val="28"/>
          <w:szCs w:val="28"/>
        </w:rPr>
        <w:t xml:space="preserve"> и П</w:t>
      </w:r>
      <w:r w:rsidR="00494BB1">
        <w:rPr>
          <w:rFonts w:ascii="Times New Roman" w:eastAsia="Cambria" w:hAnsi="Times New Roman" w:cs="Times New Roman"/>
          <w:sz w:val="28"/>
          <w:szCs w:val="28"/>
        </w:rPr>
        <w:t>риволжск</w:t>
      </w:r>
      <w:r w:rsidR="00E8788D">
        <w:rPr>
          <w:rFonts w:ascii="Times New Roman" w:eastAsia="Cambria" w:hAnsi="Times New Roman" w:cs="Times New Roman"/>
          <w:sz w:val="28"/>
          <w:szCs w:val="28"/>
        </w:rPr>
        <w:t xml:space="preserve">ого </w:t>
      </w:r>
      <w:r w:rsidR="00494BB1">
        <w:rPr>
          <w:rFonts w:ascii="Times New Roman" w:eastAsia="Cambria" w:hAnsi="Times New Roman" w:cs="Times New Roman"/>
          <w:sz w:val="28"/>
          <w:szCs w:val="28"/>
        </w:rPr>
        <w:t>федеральн</w:t>
      </w:r>
      <w:r w:rsidR="00E8788D">
        <w:rPr>
          <w:rFonts w:ascii="Times New Roman" w:eastAsia="Cambria" w:hAnsi="Times New Roman" w:cs="Times New Roman"/>
          <w:sz w:val="28"/>
          <w:szCs w:val="28"/>
        </w:rPr>
        <w:t>ого</w:t>
      </w:r>
      <w:r w:rsidR="00494BB1">
        <w:rPr>
          <w:rFonts w:ascii="Times New Roman" w:eastAsia="Cambria" w:hAnsi="Times New Roman" w:cs="Times New Roman"/>
          <w:sz w:val="28"/>
          <w:szCs w:val="28"/>
        </w:rPr>
        <w:t xml:space="preserve"> округ</w:t>
      </w:r>
      <w:r w:rsidR="00A93286">
        <w:rPr>
          <w:rFonts w:ascii="Times New Roman" w:eastAsia="Cambria" w:hAnsi="Times New Roman" w:cs="Times New Roman"/>
          <w:sz w:val="28"/>
          <w:szCs w:val="28"/>
        </w:rPr>
        <w:t>а</w:t>
      </w:r>
      <w:r w:rsidRPr="002300FE">
        <w:rPr>
          <w:rFonts w:ascii="Times New Roman" w:eastAsia="Cambria" w:hAnsi="Times New Roman" w:cs="Times New Roman"/>
          <w:sz w:val="28"/>
          <w:szCs w:val="28"/>
        </w:rPr>
        <w:t xml:space="preserve">. Из 75 сахарных заводов, которые вели переработку сахарной свеклы в 2018 году, только один завод располагается за Уралом, в Алтайском крае. </w:t>
      </w:r>
    </w:p>
    <w:p w14:paraId="31AAB345" w14:textId="7A1B1686" w:rsidR="002300FE" w:rsidRPr="002300FE" w:rsidRDefault="002300FE" w:rsidP="002300FE">
      <w:pPr>
        <w:spacing w:after="0" w:line="240" w:lineRule="auto"/>
        <w:ind w:right="-1" w:firstLine="567"/>
        <w:jc w:val="both"/>
        <w:rPr>
          <w:rFonts w:ascii="Times New Roman" w:eastAsia="Cambria" w:hAnsi="Times New Roman" w:cs="Times New Roman"/>
          <w:sz w:val="28"/>
          <w:szCs w:val="28"/>
        </w:rPr>
      </w:pPr>
      <w:r w:rsidRPr="002300FE">
        <w:rPr>
          <w:rFonts w:ascii="Times New Roman" w:eastAsia="Cambria" w:hAnsi="Times New Roman" w:cs="Times New Roman"/>
          <w:sz w:val="28"/>
          <w:szCs w:val="28"/>
        </w:rPr>
        <w:t>При этом из-за высоких барьеров входа на рынок, к кот</w:t>
      </w:r>
      <w:r w:rsidR="00A93286">
        <w:rPr>
          <w:rFonts w:ascii="Times New Roman" w:eastAsia="Cambria" w:hAnsi="Times New Roman" w:cs="Times New Roman"/>
          <w:sz w:val="28"/>
          <w:szCs w:val="28"/>
        </w:rPr>
        <w:t>орым можно отнести, в том числе</w:t>
      </w:r>
      <w:r w:rsidRPr="002300FE">
        <w:rPr>
          <w:rFonts w:ascii="Times New Roman" w:eastAsia="Cambria" w:hAnsi="Times New Roman" w:cs="Times New Roman"/>
          <w:sz w:val="28"/>
          <w:szCs w:val="28"/>
        </w:rPr>
        <w:t xml:space="preserve"> необходимость осуществления значительных первоначальных капитальных вложений при длительных сроках окупаемости этих вложений; наличие на рынке вертикально-интегрированных структур, владеющих собственной сырьевой базой; избыток производственных мощностей; высокие экологические требования, строительство новых сахарных заводов на территории Российской Федерации экономически невыгодно.</w:t>
      </w:r>
    </w:p>
    <w:p w14:paraId="7CAC22EC" w14:textId="77777777" w:rsidR="002300FE" w:rsidRPr="002300FE" w:rsidRDefault="002300FE" w:rsidP="002300FE">
      <w:pPr>
        <w:spacing w:after="0" w:line="240" w:lineRule="auto"/>
        <w:ind w:right="-1" w:firstLine="567"/>
        <w:jc w:val="both"/>
        <w:rPr>
          <w:rFonts w:ascii="Times New Roman" w:eastAsia="Cambria" w:hAnsi="Times New Roman" w:cs="Times New Roman"/>
          <w:sz w:val="28"/>
          <w:szCs w:val="28"/>
        </w:rPr>
      </w:pPr>
      <w:r w:rsidRPr="002300FE">
        <w:rPr>
          <w:rFonts w:ascii="Times New Roman" w:eastAsia="Cambria" w:hAnsi="Times New Roman" w:cs="Times New Roman"/>
          <w:sz w:val="28"/>
          <w:szCs w:val="28"/>
        </w:rPr>
        <w:t xml:space="preserve">Такая неравномерность размещения заводов по территории Российской Федерации создает определенные ограничения в доступности сахара для населения в определенных регионах в краткосрочный период времени. </w:t>
      </w:r>
    </w:p>
    <w:p w14:paraId="72C4B529" w14:textId="77777777" w:rsidR="002300FE" w:rsidRPr="002300FE" w:rsidRDefault="002300FE" w:rsidP="002300FE">
      <w:pPr>
        <w:spacing w:after="0" w:line="240" w:lineRule="auto"/>
        <w:ind w:right="-1" w:firstLine="709"/>
        <w:jc w:val="both"/>
        <w:rPr>
          <w:rFonts w:ascii="Times New Roman" w:eastAsia="Cambria" w:hAnsi="Times New Roman" w:cs="Times New Roman"/>
          <w:sz w:val="28"/>
          <w:szCs w:val="28"/>
        </w:rPr>
      </w:pPr>
      <w:r w:rsidRPr="002300FE">
        <w:rPr>
          <w:rFonts w:ascii="Times New Roman" w:eastAsia="Cambria" w:hAnsi="Times New Roman" w:cs="Times New Roman"/>
          <w:sz w:val="28"/>
          <w:szCs w:val="28"/>
        </w:rPr>
        <w:t>Кроме того, в Российской Федерации недостаточно складских емкостей и отсутствует достаточный капитал для хранения товарных запасов сахара, что в условиях наблюдающегося в последние годы профицита сахара, который по экспертным оценкам в настоящее время составляет более 150 тыс. т., может привести к снижению цен на сахар и соответствующему снижению доходности сельхозтоваропроизводителей.</w:t>
      </w:r>
    </w:p>
    <w:p w14:paraId="7F66E8CA" w14:textId="77777777" w:rsidR="002300FE" w:rsidRPr="002300FE" w:rsidRDefault="002300FE" w:rsidP="002300FE">
      <w:pPr>
        <w:spacing w:after="0" w:line="240" w:lineRule="auto"/>
        <w:ind w:right="-1" w:firstLine="567"/>
        <w:contextualSpacing/>
        <w:jc w:val="both"/>
        <w:rPr>
          <w:rFonts w:ascii="Times New Roman" w:eastAsia="Cambria" w:hAnsi="Times New Roman" w:cs="Times New Roman"/>
          <w:sz w:val="28"/>
          <w:szCs w:val="28"/>
        </w:rPr>
      </w:pPr>
      <w:r w:rsidRPr="002300FE">
        <w:rPr>
          <w:rFonts w:ascii="Times New Roman" w:eastAsia="Calibri" w:hAnsi="Times New Roman" w:cs="Times New Roman"/>
          <w:sz w:val="28"/>
          <w:szCs w:val="28"/>
        </w:rPr>
        <w:t xml:space="preserve">С целью стабилизации цен на сахар белый на внутреннем рынке и обеспечения равномерности размещения запасов сахара на территории Российской Федерации ФАС России </w:t>
      </w:r>
      <w:r w:rsidRPr="002300FE">
        <w:rPr>
          <w:rFonts w:ascii="Times New Roman" w:eastAsia="Cambria" w:hAnsi="Times New Roman" w:cs="Times New Roman"/>
          <w:sz w:val="28"/>
          <w:szCs w:val="28"/>
        </w:rPr>
        <w:t xml:space="preserve">предлагает рассмотреть вопрос о государственном субсидировании строительства сахарных складов в рамках инвестиционных программ. </w:t>
      </w:r>
    </w:p>
    <w:p w14:paraId="29FD9A2D" w14:textId="77777777" w:rsidR="002300FE" w:rsidRPr="002300FE" w:rsidRDefault="002300FE" w:rsidP="002300FE">
      <w:pPr>
        <w:spacing w:after="0" w:line="240" w:lineRule="auto"/>
        <w:ind w:right="-1" w:firstLine="567"/>
        <w:contextualSpacing/>
        <w:jc w:val="both"/>
        <w:rPr>
          <w:rFonts w:ascii="Times New Roman" w:eastAsia="Calibri" w:hAnsi="Times New Roman" w:cs="Times New Roman"/>
          <w:noProof/>
          <w:sz w:val="28"/>
          <w:szCs w:val="28"/>
          <w:lang w:eastAsia="ru-RU"/>
        </w:rPr>
      </w:pPr>
      <w:r w:rsidRPr="002300FE">
        <w:rPr>
          <w:rFonts w:ascii="Times New Roman" w:eastAsia="Cambria" w:hAnsi="Times New Roman" w:cs="Times New Roman"/>
          <w:sz w:val="28"/>
          <w:szCs w:val="28"/>
        </w:rPr>
        <w:t xml:space="preserve">Помимо этого, ФАС России считает, что инструментом санации внутреннего рынка от избытка сахара, обеспечивающим поддержание доходности сельхозтоваропроизводителей, могут быть </w:t>
      </w:r>
      <w:r w:rsidRPr="002300FE">
        <w:rPr>
          <w:rFonts w:ascii="Times New Roman" w:eastAsia="Calibri" w:hAnsi="Times New Roman" w:cs="Times New Roman"/>
          <w:sz w:val="28"/>
          <w:szCs w:val="28"/>
        </w:rPr>
        <w:t>г</w:t>
      </w:r>
      <w:r w:rsidRPr="002300FE">
        <w:rPr>
          <w:rFonts w:ascii="Times New Roman" w:eastAsia="Cambria" w:hAnsi="Times New Roman" w:cs="Times New Roman"/>
          <w:sz w:val="28"/>
          <w:szCs w:val="28"/>
        </w:rPr>
        <w:t xml:space="preserve">осударственные закупочные интервенции на рынке сахара белого с последующим его экспортом. </w:t>
      </w:r>
    </w:p>
    <w:p w14:paraId="01106F84" w14:textId="77777777" w:rsidR="001006BD" w:rsidRPr="001006BD" w:rsidRDefault="001006BD" w:rsidP="001006BD">
      <w:pPr>
        <w:widowControl w:val="0"/>
        <w:suppressAutoHyphens/>
        <w:spacing w:after="0" w:line="100" w:lineRule="atLeast"/>
        <w:ind w:firstLine="709"/>
        <w:jc w:val="center"/>
        <w:rPr>
          <w:rFonts w:ascii="Times New Roman" w:eastAsia="Andale Sans UI" w:hAnsi="Times New Roman" w:cs="Times New Roman"/>
          <w:kern w:val="1"/>
          <w:sz w:val="28"/>
          <w:szCs w:val="28"/>
        </w:rPr>
      </w:pPr>
      <w:r w:rsidRPr="001006BD">
        <w:rPr>
          <w:rFonts w:ascii="Times New Roman" w:eastAsia="Andale Sans UI" w:hAnsi="Times New Roman" w:cs="Times New Roman"/>
          <w:b/>
          <w:bCs/>
          <w:kern w:val="1"/>
          <w:sz w:val="28"/>
          <w:szCs w:val="28"/>
        </w:rPr>
        <w:t>Рынок соевого шрота</w:t>
      </w:r>
    </w:p>
    <w:p w14:paraId="6E92D326"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 xml:space="preserve">Указом Президента Российской Федерации от 7 мая 2018 г. № 204 </w:t>
      </w:r>
      <w:r>
        <w:rPr>
          <w:rFonts w:ascii="Times New Roman" w:eastAsia="Andale Sans UI" w:hAnsi="Times New Roman" w:cs="Times New Roman"/>
          <w:kern w:val="1"/>
          <w:sz w:val="28"/>
          <w:szCs w:val="28"/>
        </w:rPr>
        <w:t xml:space="preserve">                      </w:t>
      </w:r>
      <w:r w:rsidRPr="001006BD">
        <w:rPr>
          <w:rFonts w:ascii="Times New Roman" w:eastAsia="Andale Sans UI" w:hAnsi="Times New Roman" w:cs="Times New Roman"/>
          <w:kern w:val="1"/>
          <w:sz w:val="28"/>
          <w:szCs w:val="28"/>
        </w:rPr>
        <w:t xml:space="preserve">«О национальных целях и стратегических задачах развития Российской Федерации на период до 2024 года» одной из приоритетных целей определено </w:t>
      </w:r>
      <w:r w:rsidRPr="001006BD">
        <w:rPr>
          <w:rFonts w:ascii="Times New Roman" w:eastAsia="Arial" w:hAnsi="Times New Roman" w:cs="Arial"/>
          <w:kern w:val="1"/>
          <w:sz w:val="28"/>
          <w:szCs w:val="28"/>
        </w:rPr>
        <w:t>создание в базовых отраслях экономики, прежде всего в обрабатывающей промышленности и агропромышленном комплексе, высокопроизводительного экспортно ориентированного сектора. Э</w:t>
      </w:r>
      <w:r w:rsidRPr="001006BD">
        <w:rPr>
          <w:rFonts w:ascii="Times New Roman" w:eastAsia="Andale Sans UI" w:hAnsi="Times New Roman" w:cs="Times New Roman"/>
          <w:kern w:val="1"/>
          <w:sz w:val="28"/>
          <w:szCs w:val="28"/>
        </w:rPr>
        <w:t>кспорт сельскохозяйственной продукции и продовольствия</w:t>
      </w:r>
      <w:r w:rsidR="005A0B9A">
        <w:rPr>
          <w:rFonts w:ascii="Times New Roman" w:eastAsia="Andale Sans UI" w:hAnsi="Times New Roman" w:cs="Times New Roman"/>
          <w:kern w:val="1"/>
          <w:sz w:val="28"/>
          <w:szCs w:val="28"/>
        </w:rPr>
        <w:t xml:space="preserve"> </w:t>
      </w:r>
      <w:r w:rsidRPr="001006BD">
        <w:rPr>
          <w:rFonts w:ascii="Times New Roman" w:eastAsia="Andale Sans UI" w:hAnsi="Times New Roman" w:cs="Times New Roman"/>
          <w:kern w:val="1"/>
          <w:sz w:val="28"/>
          <w:szCs w:val="28"/>
        </w:rPr>
        <w:t>в течение ближайших шести лет должен достичь 45 млрд. долларов в год (в 2017 году экспорт составил немного менее 21 млрд. долларов). В реализации поставленной задачи свою роль должен сыграть экспорт товаров с высокой добавленной стоимостью, в частности, мяса и мясной продукции. В этих целях необходимо обеспечить конкурентоспособную себестоимость этих товаров.</w:t>
      </w:r>
    </w:p>
    <w:p w14:paraId="11BB3B7D"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Корма являются основной составляющей в структуре себестоимости скота и птицы. Их доля достигает 70%. При этом российское животноводство и птицеводство нуждается сегодня в высокопротеиновых кормах.</w:t>
      </w:r>
    </w:p>
    <w:p w14:paraId="56E5F1F7"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Соевый шрот — продукт переработки сои является важнейшим компонентом для производства кормов для сельскохозяйственных животных и птицы. В структуре комбикорма на него приходится от 20 до 30 %.</w:t>
      </w:r>
    </w:p>
    <w:p w14:paraId="4E807C7A" w14:textId="5B96B58C"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Сельскохозя</w:t>
      </w:r>
      <w:r w:rsidR="00A93286">
        <w:rPr>
          <w:rFonts w:ascii="Times New Roman" w:eastAsia="Andale Sans UI" w:hAnsi="Times New Roman" w:cs="Times New Roman"/>
          <w:kern w:val="1"/>
          <w:sz w:val="28"/>
          <w:szCs w:val="28"/>
        </w:rPr>
        <w:t>йственные предприятия России, не</w:t>
      </w:r>
      <w:r w:rsidRPr="001006BD">
        <w:rPr>
          <w:rFonts w:ascii="Times New Roman" w:eastAsia="Andale Sans UI" w:hAnsi="Times New Roman" w:cs="Times New Roman"/>
          <w:kern w:val="1"/>
          <w:sz w:val="28"/>
          <w:szCs w:val="28"/>
        </w:rPr>
        <w:t>смотря на активное развитие направления выращивания сои, не удовлетворяют спрос на данную культуру со стороны переработчиков. Российский рынок сои обеспечивает потребности перерабатывающей отрасли в сырье (порядка 5 млн. тонн) не более чем на 72%.</w:t>
      </w:r>
    </w:p>
    <w:p w14:paraId="323435CE"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 xml:space="preserve">Рынок сои в России может быть разделен на два крупных региональных рынка, практически не связанных на сегодня друг с другом: «Запад» (Европейская часть России: Центральный, Северо-Западный, Приволжский, Южный и Северо-Кавказский федеральные округа) и «Восток» (Дальний Восток, Сибирь и Урал). При этом более половины российской сои производится в Дальневосточном федеральном округе. </w:t>
      </w:r>
    </w:p>
    <w:p w14:paraId="1800DF61" w14:textId="625302CA"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 xml:space="preserve">На постоянной основе на российском рынке соевой </w:t>
      </w:r>
      <w:r w:rsidR="00A93286" w:rsidRPr="001006BD">
        <w:rPr>
          <w:rFonts w:ascii="Times New Roman" w:eastAsia="Andale Sans UI" w:hAnsi="Times New Roman" w:cs="Times New Roman"/>
          <w:kern w:val="1"/>
          <w:sz w:val="28"/>
          <w:szCs w:val="28"/>
        </w:rPr>
        <w:t>переработки действуют</w:t>
      </w:r>
      <w:r w:rsidRPr="001006BD">
        <w:rPr>
          <w:rFonts w:ascii="Times New Roman" w:eastAsia="Andale Sans UI" w:hAnsi="Times New Roman" w:cs="Times New Roman"/>
          <w:kern w:val="1"/>
          <w:sz w:val="28"/>
          <w:szCs w:val="28"/>
        </w:rPr>
        <w:t xml:space="preserve"> 7 компаний. Крупнейший переработчик сои (70%) — ГК «С</w:t>
      </w:r>
      <w:r w:rsidR="00F648CD">
        <w:rPr>
          <w:rFonts w:ascii="Times New Roman" w:eastAsia="Andale Sans UI" w:hAnsi="Times New Roman" w:cs="Times New Roman"/>
          <w:kern w:val="1"/>
          <w:sz w:val="28"/>
          <w:szCs w:val="28"/>
        </w:rPr>
        <w:t>о</w:t>
      </w:r>
      <w:r w:rsidRPr="001006BD">
        <w:rPr>
          <w:rFonts w:ascii="Times New Roman" w:eastAsia="Andale Sans UI" w:hAnsi="Times New Roman" w:cs="Times New Roman"/>
          <w:kern w:val="1"/>
          <w:sz w:val="28"/>
          <w:szCs w:val="28"/>
        </w:rPr>
        <w:t>дружество» (ЗАО «Агропродукт», З</w:t>
      </w:r>
      <w:r w:rsidR="00F648CD">
        <w:rPr>
          <w:rFonts w:ascii="Times New Roman" w:eastAsia="Andale Sans UI" w:hAnsi="Times New Roman" w:cs="Times New Roman"/>
          <w:kern w:val="1"/>
          <w:sz w:val="28"/>
          <w:szCs w:val="28"/>
        </w:rPr>
        <w:t>АО «Содруженство-Соя», г. Калинин</w:t>
      </w:r>
      <w:r w:rsidRPr="001006BD">
        <w:rPr>
          <w:rFonts w:ascii="Times New Roman" w:eastAsia="Andale Sans UI" w:hAnsi="Times New Roman" w:cs="Times New Roman"/>
          <w:kern w:val="1"/>
          <w:sz w:val="28"/>
          <w:szCs w:val="28"/>
        </w:rPr>
        <w:t>град), второй ведущий участник рынка ГК «ЭФКО» («Алексееевский  сое</w:t>
      </w:r>
      <w:r w:rsidR="00F648CD">
        <w:rPr>
          <w:rFonts w:ascii="Times New Roman" w:eastAsia="Andale Sans UI" w:hAnsi="Times New Roman" w:cs="Times New Roman"/>
          <w:kern w:val="1"/>
          <w:sz w:val="28"/>
          <w:szCs w:val="28"/>
        </w:rPr>
        <w:t>вый комбинат», Белгородская область</w:t>
      </w:r>
      <w:r w:rsidRPr="001006BD">
        <w:rPr>
          <w:rFonts w:ascii="Times New Roman" w:eastAsia="Andale Sans UI" w:hAnsi="Times New Roman" w:cs="Times New Roman"/>
          <w:kern w:val="1"/>
          <w:sz w:val="28"/>
          <w:szCs w:val="28"/>
        </w:rPr>
        <w:t>). Остальные индустриальные переработчики сои расположены за Уралом. Наибольшие мощности имеет АмурАгроцентр («АмурскийМЭЗ», Амурская область). Важными участниками рынка соевого шрота являются также «Иркутский МЖК» (Иркутская область), «Приморская соя» (Приморский край), холдинг «Юг Сибири» (Бийский МЭЗ», Алтайский край, «Продекс-Омск», Омская область), холдинг «Соя АНК» (Амурская область).</w:t>
      </w:r>
    </w:p>
    <w:p w14:paraId="748640E9" w14:textId="7F43B1E2"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 xml:space="preserve"> Ориентируясь на наиболее доступное сырье, перерабатывающие предприятия европейской части России используют сырье, произрастающее на территории Центрального федерального округа, а дальневосточные </w:t>
      </w:r>
      <w:r w:rsidR="00F648CD" w:rsidRPr="001006BD">
        <w:rPr>
          <w:rFonts w:ascii="Times New Roman" w:eastAsia="Andale Sans UI" w:hAnsi="Times New Roman" w:cs="Times New Roman"/>
          <w:kern w:val="1"/>
          <w:sz w:val="28"/>
          <w:szCs w:val="28"/>
        </w:rPr>
        <w:t>переработчики</w:t>
      </w:r>
      <w:r w:rsidRPr="001006BD">
        <w:rPr>
          <w:rFonts w:ascii="Times New Roman" w:eastAsia="Andale Sans UI" w:hAnsi="Times New Roman" w:cs="Times New Roman"/>
          <w:kern w:val="1"/>
          <w:sz w:val="28"/>
          <w:szCs w:val="28"/>
        </w:rPr>
        <w:t xml:space="preserve"> используют местную сою.</w:t>
      </w:r>
    </w:p>
    <w:p w14:paraId="5D751F15"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Порядка трети мощностей переработки соевых бобов расположено в Калининградской области и принадлежит Группе компаний «Содружество».</w:t>
      </w:r>
    </w:p>
    <w:p w14:paraId="71364CF5"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 xml:space="preserve">Недостаток из-за естественных погодных условий высококачественной российской сои (высокопротеиновая дальневосточная и южная соя покрывает потребности в высокобелковом сырье всего на 20-30%) не позволяет производить продукцию, отвечающую сегодняшним запросам животноводческой отрасли. </w:t>
      </w:r>
    </w:p>
    <w:p w14:paraId="4B333529"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В связи с этим, для покрытия потребности различных отраслей пищевой  промышленности в соевом белке, осуществляется импорт соевых бобов из различных стран Южной и Северной Америки, гарантирующих высокий уровень протеина, для переработки на территории Российской Федерации.</w:t>
      </w:r>
    </w:p>
    <w:p w14:paraId="068B3DF0"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Единственным получателем импортной сои в России является  Калининградская область - ГК «Содружество», которая в отличие от других российских переработчиков ввиду удаленности от основных российских рынков сырья и ориентации на производство высокопротеинового шрота, использует преимущественно импортное сырье (Бразилии и Парагвая).</w:t>
      </w:r>
    </w:p>
    <w:p w14:paraId="26D3E413" w14:textId="6CBEA24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 xml:space="preserve">Представленные ниже графики наглядно демонстрируют высокую корреляцию динамики стоимости сырья (сои), как российского, так и </w:t>
      </w:r>
      <w:r w:rsidR="0055757C" w:rsidRPr="001006BD">
        <w:rPr>
          <w:rFonts w:ascii="Times New Roman" w:eastAsia="Andale Sans UI" w:hAnsi="Times New Roman" w:cs="Times New Roman"/>
          <w:kern w:val="1"/>
          <w:sz w:val="28"/>
          <w:szCs w:val="28"/>
        </w:rPr>
        <w:t>импортного, и</w:t>
      </w:r>
      <w:r w:rsidRPr="001006BD">
        <w:rPr>
          <w:rFonts w:ascii="Times New Roman" w:eastAsia="Andale Sans UI" w:hAnsi="Times New Roman" w:cs="Times New Roman"/>
          <w:kern w:val="1"/>
          <w:sz w:val="28"/>
          <w:szCs w:val="28"/>
        </w:rPr>
        <w:t xml:space="preserve"> цен реализации соевого шрота.</w:t>
      </w:r>
    </w:p>
    <w:p w14:paraId="29E1761C"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497CD568"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5513CA53"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4624" behindDoc="0" locked="0" layoutInCell="1" allowOverlap="1" wp14:anchorId="2AE02AB3" wp14:editId="74D2DED4">
            <wp:simplePos x="0" y="0"/>
            <wp:positionH relativeFrom="column">
              <wp:align>center</wp:align>
            </wp:positionH>
            <wp:positionV relativeFrom="paragraph">
              <wp:posOffset>0</wp:posOffset>
            </wp:positionV>
            <wp:extent cx="5487035" cy="339534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7035" cy="3395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345C04B"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55EEFDE6"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4C8F35BF"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5648" behindDoc="0" locked="0" layoutInCell="1" allowOverlap="1" wp14:anchorId="58BB67FF" wp14:editId="28917A94">
            <wp:simplePos x="0" y="0"/>
            <wp:positionH relativeFrom="column">
              <wp:align>center</wp:align>
            </wp:positionH>
            <wp:positionV relativeFrom="paragraph">
              <wp:posOffset>0</wp:posOffset>
            </wp:positionV>
            <wp:extent cx="5487035" cy="3193415"/>
            <wp:effectExtent l="0" t="0" r="0" b="698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7035" cy="3193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0DCE62"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6672" behindDoc="0" locked="0" layoutInCell="1" allowOverlap="1" wp14:anchorId="70184A8B" wp14:editId="6EF09AF9">
            <wp:simplePos x="0" y="0"/>
            <wp:positionH relativeFrom="column">
              <wp:posOffset>327660</wp:posOffset>
            </wp:positionH>
            <wp:positionV relativeFrom="paragraph">
              <wp:posOffset>83185</wp:posOffset>
            </wp:positionV>
            <wp:extent cx="5717540" cy="4073525"/>
            <wp:effectExtent l="0" t="0" r="0" b="317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7540" cy="4073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5B351F5"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 xml:space="preserve"> Рентабельность предприятий-переработчиков сои, в том числе ГК «Содружество» по чистой прибыли, составила в 2017 г. - первом полугодии 2018 года 0-3%.</w:t>
      </w:r>
    </w:p>
    <w:p w14:paraId="4B5BDB00"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 xml:space="preserve">Как видно из графиков, начиная с декабря 2017 года наблюдается повышательная динамика цен на сою и соевый шрот. </w:t>
      </w:r>
    </w:p>
    <w:p w14:paraId="1DED7548"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Причиной тому явились следующие факторы:</w:t>
      </w:r>
    </w:p>
    <w:p w14:paraId="39B8FC4F"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1. Изменение нормативно-правового регулирования в данной сфере.</w:t>
      </w:r>
    </w:p>
    <w:p w14:paraId="08B44289" w14:textId="77777777" w:rsidR="001006BD" w:rsidRPr="001006BD" w:rsidRDefault="001006BD" w:rsidP="001006BD">
      <w:pPr>
        <w:widowControl w:val="0"/>
        <w:suppressAutoHyphens/>
        <w:spacing w:after="0" w:line="240" w:lineRule="auto"/>
        <w:ind w:firstLine="691"/>
        <w:jc w:val="both"/>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t xml:space="preserve">В </w:t>
      </w:r>
      <w:r w:rsidRPr="001006BD">
        <w:rPr>
          <w:rFonts w:ascii="Times New Roman" w:eastAsia="Andale Sans UI" w:hAnsi="Times New Roman" w:cs="Times New Roman"/>
          <w:kern w:val="1"/>
          <w:sz w:val="28"/>
          <w:szCs w:val="28"/>
        </w:rPr>
        <w:t xml:space="preserve">2016 году Россельхознадзором введен запрет на ввоз в Россию шрота из гибридной ГМО-сои (указание Россельхознадзора от 19 июля 2016 года </w:t>
      </w:r>
      <w:r>
        <w:rPr>
          <w:rFonts w:ascii="Times New Roman" w:eastAsia="Andale Sans UI" w:hAnsi="Times New Roman" w:cs="Times New Roman"/>
          <w:kern w:val="1"/>
          <w:sz w:val="28"/>
          <w:szCs w:val="28"/>
        </w:rPr>
        <w:t xml:space="preserve">                 </w:t>
      </w:r>
      <w:r w:rsidRPr="001006BD">
        <w:rPr>
          <w:rFonts w:ascii="Times New Roman" w:eastAsia="Andale Sans UI" w:hAnsi="Times New Roman" w:cs="Times New Roman"/>
          <w:kern w:val="1"/>
          <w:sz w:val="28"/>
          <w:szCs w:val="28"/>
        </w:rPr>
        <w:t>№ ФС-НВ-7/13261). Заместить выпадающий объем поставок соевого шрота оказалось непросто (н</w:t>
      </w:r>
      <w:r w:rsidRPr="001006BD">
        <w:rPr>
          <w:rFonts w:ascii="Times New Roman" w:eastAsia="Andale Sans UI" w:hAnsi="Times New Roman" w:cs="Times New Roman"/>
          <w:b/>
          <w:kern w:val="1"/>
          <w:sz w:val="28"/>
          <w:szCs w:val="28"/>
        </w:rPr>
        <w:t xml:space="preserve">а </w:t>
      </w:r>
      <w:r w:rsidRPr="001006BD">
        <w:rPr>
          <w:rFonts w:ascii="Times New Roman" w:eastAsia="Andale Sans UI" w:hAnsi="Times New Roman" w:cs="Times New Roman"/>
          <w:kern w:val="1"/>
          <w:sz w:val="28"/>
          <w:szCs w:val="28"/>
        </w:rPr>
        <w:t>ГМО-сою приходится около 90% мирового урожая, импортные поставки продукта ее переработки (соевого шрота) обеспечивали до 20% его потребления в России)</w:t>
      </w:r>
      <w:r w:rsidRPr="001006BD">
        <w:rPr>
          <w:rFonts w:ascii="Times New Roman" w:eastAsia="Andale Sans UI" w:hAnsi="Times New Roman" w:cs="Times New Roman"/>
          <w:b/>
          <w:kern w:val="1"/>
          <w:sz w:val="28"/>
          <w:szCs w:val="28"/>
        </w:rPr>
        <w:t>.</w:t>
      </w:r>
      <w:r w:rsidRPr="001006BD">
        <w:rPr>
          <w:rFonts w:ascii="Times New Roman" w:eastAsia="Andale Sans UI" w:hAnsi="Times New Roman" w:cs="Times New Roman"/>
          <w:kern w:val="1"/>
          <w:sz w:val="28"/>
          <w:szCs w:val="28"/>
        </w:rPr>
        <w:t xml:space="preserve"> В связи с этим объем доступной сои сниз</w:t>
      </w:r>
      <w:r>
        <w:rPr>
          <w:rFonts w:ascii="Times New Roman" w:eastAsia="Andale Sans UI" w:hAnsi="Times New Roman" w:cs="Times New Roman"/>
          <w:kern w:val="1"/>
          <w:sz w:val="28"/>
          <w:szCs w:val="28"/>
        </w:rPr>
        <w:t>ился, что вызвало повышение цен</w:t>
      </w:r>
      <w:r w:rsidRPr="001006BD">
        <w:rPr>
          <w:rFonts w:ascii="Times New Roman" w:eastAsia="Andale Sans UI" w:hAnsi="Times New Roman" w:cs="Times New Roman"/>
          <w:kern w:val="1"/>
          <w:sz w:val="28"/>
          <w:szCs w:val="28"/>
        </w:rPr>
        <w:t xml:space="preserve"> на продукцию отечественных производителей. </w:t>
      </w:r>
    </w:p>
    <w:p w14:paraId="06694176" w14:textId="7264EFD4" w:rsidR="001006BD" w:rsidRPr="001006BD" w:rsidRDefault="001006BD" w:rsidP="001006BD">
      <w:pPr>
        <w:widowControl w:val="0"/>
        <w:suppressAutoHyphens/>
        <w:spacing w:after="0" w:line="240" w:lineRule="auto"/>
        <w:ind w:firstLine="691"/>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Наряду с этим с июля 2017 года вступило в силу постановление Правительства Российской Федерации от 23 сентября 2013 г. № 839 «О правилах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 включая указанную продукцию, ввозимую на территорию Российской Федерации», в соответствии с положениями которого регистрация соевых бобо</w:t>
      </w:r>
      <w:r w:rsidR="0055757C">
        <w:rPr>
          <w:rFonts w:ascii="Times New Roman" w:eastAsia="Andale Sans UI" w:hAnsi="Times New Roman" w:cs="Times New Roman"/>
          <w:kern w:val="1"/>
          <w:sz w:val="28"/>
          <w:szCs w:val="28"/>
        </w:rPr>
        <w:t>в и соевого шрота фактически не</w:t>
      </w:r>
      <w:r w:rsidRPr="001006BD">
        <w:rPr>
          <w:rFonts w:ascii="Times New Roman" w:eastAsia="Andale Sans UI" w:hAnsi="Times New Roman" w:cs="Times New Roman"/>
          <w:kern w:val="1"/>
          <w:sz w:val="28"/>
          <w:szCs w:val="28"/>
        </w:rPr>
        <w:t>возможна в связи с отсутствием Методических указаний по оценке по оценке биологичес</w:t>
      </w:r>
      <w:r>
        <w:rPr>
          <w:rFonts w:ascii="Times New Roman" w:eastAsia="Andale Sans UI" w:hAnsi="Times New Roman" w:cs="Times New Roman"/>
          <w:kern w:val="1"/>
          <w:sz w:val="28"/>
          <w:szCs w:val="28"/>
        </w:rPr>
        <w:t xml:space="preserve">кой безопасности использования </w:t>
      </w:r>
      <w:r w:rsidRPr="001006BD">
        <w:rPr>
          <w:rFonts w:ascii="Times New Roman" w:eastAsia="Andale Sans UI" w:hAnsi="Times New Roman" w:cs="Times New Roman"/>
          <w:kern w:val="1"/>
          <w:sz w:val="28"/>
          <w:szCs w:val="28"/>
        </w:rPr>
        <w:t>генно-инженерно-модифицированных организмов для производства кормов и кормовых добавок и Методических указаний по проведению молекулярно-генетических исследований генно-инженерно-модифицированных организмов для производства кормов и кормовых добавок.</w:t>
      </w:r>
    </w:p>
    <w:p w14:paraId="0F010E7B" w14:textId="50A2BE4B" w:rsidR="001006BD" w:rsidRPr="001006BD" w:rsidRDefault="001006BD" w:rsidP="0055757C">
      <w:pPr>
        <w:widowControl w:val="0"/>
        <w:suppressAutoHyphens/>
        <w:spacing w:after="0" w:line="240" w:lineRule="auto"/>
        <w:ind w:firstLine="709"/>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2. Состояние финан</w:t>
      </w:r>
      <w:r w:rsidR="0055757C">
        <w:rPr>
          <w:rFonts w:ascii="Times New Roman" w:eastAsia="Andale Sans UI" w:hAnsi="Times New Roman" w:cs="Times New Roman"/>
          <w:kern w:val="1"/>
          <w:sz w:val="28"/>
          <w:szCs w:val="28"/>
        </w:rPr>
        <w:t>совых рынков, девальвация рубля.</w:t>
      </w:r>
    </w:p>
    <w:p w14:paraId="36954A85" w14:textId="77777777" w:rsidR="001006BD" w:rsidRPr="001006BD" w:rsidRDefault="001006BD" w:rsidP="0055757C">
      <w:pPr>
        <w:widowControl w:val="0"/>
        <w:suppressAutoHyphens/>
        <w:spacing w:after="0" w:line="240" w:lineRule="auto"/>
        <w:ind w:firstLine="709"/>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3. Небл</w:t>
      </w:r>
      <w:r w:rsidR="005B6FB8">
        <w:rPr>
          <w:rFonts w:ascii="Times New Roman" w:eastAsia="Andale Sans UI" w:hAnsi="Times New Roman" w:cs="Times New Roman"/>
          <w:kern w:val="1"/>
          <w:sz w:val="28"/>
          <w:szCs w:val="28"/>
        </w:rPr>
        <w:t>агоприятная ситуация на мировом</w:t>
      </w:r>
      <w:r w:rsidRPr="001006BD">
        <w:rPr>
          <w:rFonts w:ascii="Times New Roman" w:eastAsia="Andale Sans UI" w:hAnsi="Times New Roman" w:cs="Times New Roman"/>
          <w:kern w:val="1"/>
          <w:sz w:val="28"/>
          <w:szCs w:val="28"/>
        </w:rPr>
        <w:t xml:space="preserve"> рынке.</w:t>
      </w:r>
    </w:p>
    <w:p w14:paraId="18588EE2" w14:textId="3F083E00" w:rsidR="001006BD" w:rsidRPr="001006BD" w:rsidRDefault="001006BD" w:rsidP="001006BD">
      <w:pPr>
        <w:widowControl w:val="0"/>
        <w:suppressAutoHyphens/>
        <w:spacing w:after="0" w:line="240" w:lineRule="auto"/>
        <w:ind w:firstLine="678"/>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 xml:space="preserve">Россия, являясь участником мирового аграрного рынка, зависит от многих внешних факторов, влияющих на формирование цен на сою и продукты ее переработки, на этом рынке, в частности от импортных котировок сои, являющегося важным биржевым товаром. Так, в 2018 году один из крупнейших производителей сои — Аргентина, из-за сложных погодных </w:t>
      </w:r>
      <w:r w:rsidR="0055757C" w:rsidRPr="001006BD">
        <w:rPr>
          <w:rFonts w:ascii="Times New Roman" w:eastAsia="Andale Sans UI" w:hAnsi="Times New Roman" w:cs="Times New Roman"/>
          <w:kern w:val="1"/>
          <w:sz w:val="28"/>
          <w:szCs w:val="28"/>
        </w:rPr>
        <w:t>условий потеряла</w:t>
      </w:r>
      <w:r w:rsidRPr="001006BD">
        <w:rPr>
          <w:rFonts w:ascii="Times New Roman" w:eastAsia="Andale Sans UI" w:hAnsi="Times New Roman" w:cs="Times New Roman"/>
          <w:kern w:val="1"/>
          <w:sz w:val="28"/>
          <w:szCs w:val="28"/>
        </w:rPr>
        <w:t xml:space="preserve"> значительную часть урожая, что повлекло рост цен на сою и соевый шрот на товарных биржах в марте 2018 года.</w:t>
      </w:r>
    </w:p>
    <w:p w14:paraId="186E4148" w14:textId="77777777" w:rsidR="001006BD" w:rsidRPr="001006BD" w:rsidRDefault="001006BD" w:rsidP="001006BD">
      <w:pPr>
        <w:widowControl w:val="0"/>
        <w:suppressAutoHyphens/>
        <w:spacing w:after="0" w:line="240" w:lineRule="auto"/>
        <w:ind w:firstLine="717"/>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 xml:space="preserve">Кроме того, из-за переориентации китайских переработчиков на новые рынки (Бразилии и Парагвая), как последствие торговой войны между США и Китаем, произошло повышение стоимости латиноамериканских бобов сои для российских переработчиков. </w:t>
      </w:r>
    </w:p>
    <w:p w14:paraId="58CB1E14" w14:textId="77777777" w:rsidR="001006BD" w:rsidRPr="001006BD" w:rsidRDefault="001006BD" w:rsidP="001006BD">
      <w:pPr>
        <w:widowControl w:val="0"/>
        <w:suppressAutoHyphens/>
        <w:spacing w:after="0" w:line="240" w:lineRule="auto"/>
        <w:ind w:firstLine="730"/>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4. Экспортный фактор:</w:t>
      </w:r>
    </w:p>
    <w:p w14:paraId="034DC494" w14:textId="77777777" w:rsidR="001006BD" w:rsidRPr="001006BD" w:rsidRDefault="001006BD" w:rsidP="001006BD">
      <w:pPr>
        <w:widowControl w:val="0"/>
        <w:suppressAutoHyphens/>
        <w:spacing w:after="0" w:line="240" w:lineRule="auto"/>
        <w:ind w:firstLine="709"/>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w:t>
      </w:r>
      <w:r>
        <w:rPr>
          <w:rFonts w:ascii="Times New Roman" w:eastAsia="Andale Sans UI" w:hAnsi="Times New Roman" w:cs="Times New Roman"/>
          <w:kern w:val="1"/>
          <w:sz w:val="28"/>
          <w:szCs w:val="28"/>
        </w:rPr>
        <w:tab/>
      </w:r>
      <w:r w:rsidRPr="001006BD">
        <w:rPr>
          <w:rFonts w:ascii="Times New Roman" w:eastAsia="Andale Sans UI" w:hAnsi="Times New Roman" w:cs="Times New Roman"/>
          <w:kern w:val="1"/>
          <w:sz w:val="28"/>
          <w:szCs w:val="28"/>
        </w:rPr>
        <w:t>высокая стоимость российских соевых бобов, прежде всего, из-за возможности свободного экспорта российской сои (соевые бобы в отличие от подсолнечника и рапса можно вывозить беспошлинно);</w:t>
      </w:r>
    </w:p>
    <w:p w14:paraId="597B170A" w14:textId="77777777" w:rsidR="001006BD" w:rsidRPr="001006BD" w:rsidRDefault="001006BD" w:rsidP="00F6030C">
      <w:pPr>
        <w:widowControl w:val="0"/>
        <w:numPr>
          <w:ilvl w:val="0"/>
          <w:numId w:val="45"/>
        </w:numPr>
        <w:suppressAutoHyphens/>
        <w:spacing w:after="0" w:line="240" w:lineRule="auto"/>
        <w:ind w:left="0" w:firstLine="709"/>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спрос на бобы сои со стороны предприятий КНР. Не ГМО-соя, выращенная на территории России, увеличивает темпы спроса в КНР (по итогам 2017 года, в Китай поставлено 89% (233 тыс. тонн) всей амурской сои),  следствие чему - увеличение цены.</w:t>
      </w:r>
    </w:p>
    <w:p w14:paraId="622FBA18" w14:textId="77777777" w:rsidR="001006BD" w:rsidRPr="001006BD" w:rsidRDefault="001006BD" w:rsidP="001006BD">
      <w:pPr>
        <w:widowControl w:val="0"/>
        <w:suppressAutoHyphens/>
        <w:spacing w:after="0" w:line="240" w:lineRule="auto"/>
        <w:ind w:firstLine="691"/>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Таким образом, вслед за мировыми повышательными тенденциями цены на российские соевые бобы стали постепе</w:t>
      </w:r>
      <w:r>
        <w:rPr>
          <w:rFonts w:ascii="Times New Roman" w:eastAsia="Andale Sans UI" w:hAnsi="Times New Roman" w:cs="Times New Roman"/>
          <w:kern w:val="1"/>
          <w:sz w:val="28"/>
          <w:szCs w:val="28"/>
        </w:rPr>
        <w:t xml:space="preserve">нно расти и достигли в третьем </w:t>
      </w:r>
      <w:r w:rsidRPr="001006BD">
        <w:rPr>
          <w:rFonts w:ascii="Times New Roman" w:eastAsia="Andale Sans UI" w:hAnsi="Times New Roman" w:cs="Times New Roman"/>
          <w:kern w:val="1"/>
          <w:sz w:val="28"/>
          <w:szCs w:val="28"/>
        </w:rPr>
        <w:t>квартале 2018 года среднего значения 31,8 тыс. руб. за тонну, что на 33% превысило среднемесячную стоимость сои в первом квартале 2018 года.</w:t>
      </w:r>
    </w:p>
    <w:p w14:paraId="5C0304EE"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 xml:space="preserve">Параллельно этому росли и цены на соевый шрот. </w:t>
      </w:r>
    </w:p>
    <w:p w14:paraId="7AE112F9" w14:textId="2B18FA9E"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 xml:space="preserve">Глобально российский рынок соевого шрота можно разделить на три составляющих: российский шрот из ГМО-сои, </w:t>
      </w:r>
      <w:r w:rsidR="0055757C" w:rsidRPr="001006BD">
        <w:rPr>
          <w:rFonts w:ascii="Times New Roman" w:eastAsia="Andale Sans UI" w:hAnsi="Times New Roman" w:cs="Times New Roman"/>
          <w:kern w:val="1"/>
          <w:sz w:val="28"/>
          <w:szCs w:val="28"/>
        </w:rPr>
        <w:t>российский</w:t>
      </w:r>
      <w:r w:rsidRPr="001006BD">
        <w:rPr>
          <w:rFonts w:ascii="Times New Roman" w:eastAsia="Andale Sans UI" w:hAnsi="Times New Roman" w:cs="Times New Roman"/>
          <w:kern w:val="1"/>
          <w:sz w:val="28"/>
          <w:szCs w:val="28"/>
        </w:rPr>
        <w:t xml:space="preserve"> не ГМО-шрот (за вычетом экспортных поставок)  и импортный ГМО-шрот.</w:t>
      </w:r>
    </w:p>
    <w:p w14:paraId="27A1C59B"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04269B90" w14:textId="77777777" w:rsidR="001006BD" w:rsidRPr="001006BD" w:rsidRDefault="001006BD" w:rsidP="001006BD">
      <w:pPr>
        <w:widowControl w:val="0"/>
        <w:suppressAutoHyphens/>
        <w:spacing w:after="0" w:line="240" w:lineRule="auto"/>
        <w:ind w:left="13"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3600" behindDoc="0" locked="0" layoutInCell="1" allowOverlap="1" wp14:anchorId="1F7632A1" wp14:editId="1480FAD2">
            <wp:simplePos x="0" y="0"/>
            <wp:positionH relativeFrom="column">
              <wp:align>center</wp:align>
            </wp:positionH>
            <wp:positionV relativeFrom="paragraph">
              <wp:posOffset>0</wp:posOffset>
            </wp:positionV>
            <wp:extent cx="6053455" cy="4247515"/>
            <wp:effectExtent l="0" t="0" r="4445" b="635"/>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3455" cy="4247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006BD">
        <w:rPr>
          <w:rFonts w:ascii="Times New Roman" w:eastAsia="Andale Sans UI" w:hAnsi="Times New Roman" w:cs="Times New Roman"/>
          <w:kern w:val="1"/>
          <w:sz w:val="26"/>
          <w:szCs w:val="26"/>
        </w:rPr>
        <w:t xml:space="preserve">    </w:t>
      </w:r>
    </w:p>
    <w:p w14:paraId="582A8507" w14:textId="2DF56C7A"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Из диаграммы видно, что если в 2010 году почти половину рынка соевого шрота составлял российский ГМО-шрот (46%), а оставшуюся часть делили между собой импортный ГМО-шрот (27%) и российский не ГМО-шрот (27%), то начиная с сезона 2016-2017 года импортного ГМО-шрота на рынке практически нет (его</w:t>
      </w:r>
      <w:r>
        <w:rPr>
          <w:rFonts w:ascii="Times New Roman" w:eastAsia="Andale Sans UI" w:hAnsi="Times New Roman" w:cs="Times New Roman"/>
          <w:kern w:val="1"/>
          <w:sz w:val="28"/>
          <w:szCs w:val="28"/>
        </w:rPr>
        <w:t xml:space="preserve"> доля</w:t>
      </w:r>
      <w:r w:rsidRPr="001006BD">
        <w:rPr>
          <w:rFonts w:ascii="Times New Roman" w:eastAsia="Andale Sans UI" w:hAnsi="Times New Roman" w:cs="Times New Roman"/>
          <w:kern w:val="1"/>
          <w:sz w:val="28"/>
          <w:szCs w:val="28"/>
        </w:rPr>
        <w:t xml:space="preserve"> 2%), а все большую часть рынка (53%) занимает российский не ГМО-шрот, </w:t>
      </w:r>
      <w:r w:rsidR="00C64CCF" w:rsidRPr="001006BD">
        <w:rPr>
          <w:rFonts w:ascii="Times New Roman" w:eastAsia="Andale Sans UI" w:hAnsi="Times New Roman" w:cs="Times New Roman"/>
          <w:kern w:val="1"/>
          <w:sz w:val="28"/>
          <w:szCs w:val="28"/>
        </w:rPr>
        <w:t>следует</w:t>
      </w:r>
      <w:r w:rsidRPr="001006BD">
        <w:rPr>
          <w:rFonts w:ascii="Times New Roman" w:eastAsia="Andale Sans UI" w:hAnsi="Times New Roman" w:cs="Times New Roman"/>
          <w:kern w:val="1"/>
          <w:sz w:val="28"/>
          <w:szCs w:val="28"/>
        </w:rPr>
        <w:t xml:space="preserve"> отметить при этом, что цены на не ГМО-шрот и сою выше, чем на ГМО-шрот и сою.</w:t>
      </w:r>
    </w:p>
    <w:p w14:paraId="723E53B4"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В условиях, когда Российская Федерация пока не может удовлетворить запросы животноводческой отрасли в  высокопротеиновых кормах (наибольшие показатели привесов достигаются при кормлении премиальными продуктами, высокопротеиновым шротом с содержанием сырого протеина 54% на абсолютное сухое вещество), представляется, возможным говорить о нерациональности решений, принимаемых государством с целью по</w:t>
      </w:r>
      <w:r>
        <w:rPr>
          <w:rFonts w:ascii="Times New Roman" w:eastAsia="Andale Sans UI" w:hAnsi="Times New Roman" w:cs="Times New Roman"/>
          <w:kern w:val="1"/>
          <w:sz w:val="28"/>
          <w:szCs w:val="28"/>
        </w:rPr>
        <w:t>ддержки участников сельхозрынка</w:t>
      </w:r>
      <w:r w:rsidRPr="001006BD">
        <w:rPr>
          <w:rFonts w:ascii="Times New Roman" w:eastAsia="Andale Sans UI" w:hAnsi="Times New Roman" w:cs="Times New Roman"/>
          <w:kern w:val="1"/>
          <w:sz w:val="28"/>
          <w:szCs w:val="28"/>
        </w:rPr>
        <w:t xml:space="preserve"> - введении ограничения на ввоз высокопротеинового ГМО-соевого шрота. Ограничение, в числе прочих факторов, повлекшее повышение цен на соевый шрот, не могло не сказаться негативным образом на состоянии комбикормовой промышленности, птицеводстве, животноводческой отрасли, поскольку соевый шрот занимает существенную долю в себестоимости комбикормов и, соответственно, конечного продукта (по оценке Института конъюнктуры аграрного рынка стоимость соевого шрота составляет 7-10% от стоимости мяса). При этом заменить данный компонент корма на другой (в особенности в птицеводческом секторе) весьма сложно.</w:t>
      </w:r>
      <w:r w:rsidRPr="001006BD">
        <w:rPr>
          <w:rFonts w:ascii="Times New Roman" w:eastAsia="Andale Sans UI" w:hAnsi="Times New Roman" w:cs="Times New Roman"/>
          <w:b/>
          <w:kern w:val="1"/>
          <w:sz w:val="28"/>
          <w:szCs w:val="28"/>
        </w:rPr>
        <w:t xml:space="preserve"> </w:t>
      </w:r>
    </w:p>
    <w:p w14:paraId="5C1E0B63"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Исходя из изложенного, в целях стабилизации ситуации в комбикормовой промышленности, от которой в значительной степени зависит конкурентоспособность отечественной продукции животноводства и птицеводства, необходимо:</w:t>
      </w:r>
    </w:p>
    <w:p w14:paraId="07A7BD7E"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1. Развитие селекционной деятельности, направленной на выведение сортов семян сои с высокими показателями по протеину и масличности, обеспечивающими высокое качество белкового компонента в промышленном сырье (соевых бобах) и продукте его переработки (соевом шроте).</w:t>
      </w:r>
    </w:p>
    <w:p w14:paraId="491D4D29" w14:textId="77777777" w:rsidR="001006BD" w:rsidRPr="001006BD" w:rsidRDefault="001006BD" w:rsidP="001006BD">
      <w:pPr>
        <w:widowControl w:val="0"/>
        <w:suppressAutoHyphens/>
        <w:spacing w:after="0" w:line="240" w:lineRule="auto"/>
        <w:ind w:firstLine="691"/>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2. Ускорить подгото</w:t>
      </w:r>
      <w:r>
        <w:rPr>
          <w:rFonts w:ascii="Times New Roman" w:eastAsia="Andale Sans UI" w:hAnsi="Times New Roman" w:cs="Times New Roman"/>
          <w:kern w:val="1"/>
          <w:sz w:val="28"/>
          <w:szCs w:val="28"/>
        </w:rPr>
        <w:t xml:space="preserve">вку и принятие необходимых для </w:t>
      </w:r>
      <w:r w:rsidRPr="001006BD">
        <w:rPr>
          <w:rFonts w:ascii="Times New Roman" w:eastAsia="Andale Sans UI" w:hAnsi="Times New Roman" w:cs="Times New Roman"/>
          <w:kern w:val="1"/>
          <w:sz w:val="28"/>
          <w:szCs w:val="28"/>
        </w:rPr>
        <w:t>регистрации соевых бобов и соевого шрота методических указаний по проведению молекулярно-генетических исследований генно-инженерно-модифицированных организмов и оценке биологической безопасности их использования для производства кормов и кормовых добавок;</w:t>
      </w:r>
    </w:p>
    <w:p w14:paraId="3F3BFD5E" w14:textId="766E0F4C" w:rsidR="001006BD" w:rsidRPr="00C64CCF" w:rsidRDefault="001006BD" w:rsidP="00C64CCF">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kern w:val="1"/>
          <w:sz w:val="28"/>
          <w:szCs w:val="28"/>
        </w:rPr>
        <w:t xml:space="preserve">3. Развитие биржевой торговли соей и соевым шротом в целях выявления справедливых рыночных цен (получения индикативных ценовых показателей). </w:t>
      </w:r>
    </w:p>
    <w:p w14:paraId="7B73CB33" w14:textId="77777777" w:rsidR="002300FE" w:rsidRPr="002300FE" w:rsidRDefault="002300FE" w:rsidP="002300FE">
      <w:pPr>
        <w:rPr>
          <w:lang w:eastAsia="ru-RU"/>
        </w:rPr>
      </w:pPr>
    </w:p>
    <w:p w14:paraId="24474B61" w14:textId="1E748901" w:rsidR="00883C8E" w:rsidRPr="00FD751F" w:rsidRDefault="00883C8E" w:rsidP="00EF64DA">
      <w:pPr>
        <w:pStyle w:val="2"/>
      </w:pPr>
      <w:bookmarkStart w:id="932" w:name="_Toc7447982"/>
      <w:r w:rsidRPr="00FD751F">
        <w:t>В сфере дорожного строительства</w:t>
      </w:r>
      <w:bookmarkEnd w:id="932"/>
    </w:p>
    <w:p w14:paraId="5E2398C9" w14:textId="77777777" w:rsidR="009B1974" w:rsidRDefault="009B1974" w:rsidP="000A54DA">
      <w:pPr>
        <w:spacing w:after="0"/>
        <w:ind w:firstLine="709"/>
        <w:jc w:val="both"/>
        <w:rPr>
          <w:rFonts w:ascii="Times New Roman" w:eastAsia="Times New Roman" w:hAnsi="Times New Roman"/>
          <w:sz w:val="28"/>
          <w:szCs w:val="28"/>
          <w:lang w:eastAsia="ru-RU"/>
        </w:rPr>
      </w:pPr>
      <w:bookmarkStart w:id="933" w:name="_Toc1061899"/>
      <w:bookmarkStart w:id="934" w:name="_Toc1062015"/>
      <w:bookmarkStart w:id="935" w:name="_Toc1062137"/>
      <w:bookmarkStart w:id="936" w:name="_Toc1062250"/>
      <w:bookmarkStart w:id="937" w:name="_Toc2589746"/>
      <w:bookmarkStart w:id="938" w:name="_Toc2589879"/>
      <w:bookmarkStart w:id="939" w:name="_Toc2590018"/>
      <w:bookmarkStart w:id="940" w:name="_Toc3393212"/>
      <w:bookmarkStart w:id="941" w:name="_Toc3399221"/>
      <w:bookmarkStart w:id="942" w:name="_Toc3399371"/>
      <w:bookmarkStart w:id="943" w:name="_Toc3399516"/>
      <w:bookmarkStart w:id="944" w:name="_Toc3399708"/>
      <w:bookmarkStart w:id="945" w:name="_Toc3399852"/>
      <w:bookmarkStart w:id="946" w:name="_Toc3399996"/>
      <w:bookmarkStart w:id="947" w:name="_Toc3400315"/>
      <w:bookmarkStart w:id="948" w:name="_Toc3400440"/>
      <w:bookmarkStart w:id="949" w:name="_Toc3400560"/>
      <w:bookmarkStart w:id="950" w:name="_Toc3557034"/>
      <w:bookmarkStart w:id="951" w:name="_Toc3559239"/>
      <w:bookmarkStart w:id="952" w:name="_Toc3914451"/>
      <w:bookmarkStart w:id="953" w:name="_Toc3914573"/>
      <w:bookmarkStart w:id="954" w:name="_Toc3915559"/>
      <w:bookmarkStart w:id="955" w:name="_Toc3916166"/>
      <w:bookmarkStart w:id="956" w:name="_Toc3917076"/>
      <w:bookmarkStart w:id="957" w:name="_Toc3917726"/>
      <w:bookmarkStart w:id="958" w:name="_Toc3988482"/>
      <w:bookmarkStart w:id="959" w:name="_Toc3989491"/>
      <w:bookmarkStart w:id="960" w:name="_Toc3990135"/>
      <w:bookmarkStart w:id="961" w:name="_Toc3991711"/>
      <w:bookmarkStart w:id="962" w:name="_Toc3992616"/>
      <w:bookmarkStart w:id="963" w:name="_Toc4000383"/>
      <w:bookmarkStart w:id="964" w:name="_Toc4426380"/>
      <w:bookmarkStart w:id="965" w:name="_Toc4426509"/>
      <w:bookmarkStart w:id="966" w:name="_Toc4426694"/>
      <w:bookmarkStart w:id="967" w:name="_Toc4426823"/>
      <w:bookmarkStart w:id="968" w:name="_Toc4428421"/>
      <w:bookmarkStart w:id="969" w:name="_Toc4429852"/>
      <w:bookmarkStart w:id="970" w:name="_Toc4429981"/>
      <w:bookmarkStart w:id="971" w:name="_Toc4430107"/>
      <w:bookmarkStart w:id="972" w:name="_Toc4430232"/>
      <w:bookmarkStart w:id="973" w:name="_Toc4430355"/>
      <w:bookmarkStart w:id="974" w:name="_Toc4430477"/>
      <w:bookmarkStart w:id="975" w:name="_Toc4430598"/>
      <w:bookmarkStart w:id="976" w:name="_Toc4431394"/>
      <w:bookmarkStart w:id="977" w:name="_Toc4431513"/>
      <w:bookmarkStart w:id="978" w:name="_Toc4431634"/>
      <w:bookmarkStart w:id="979" w:name="_Toc4431755"/>
      <w:bookmarkStart w:id="980" w:name="_Toc4433454"/>
      <w:bookmarkStart w:id="981" w:name="_Toc4433716"/>
      <w:bookmarkStart w:id="982" w:name="_Toc4433837"/>
      <w:bookmarkStart w:id="983" w:name="_Toc4434385"/>
      <w:bookmarkStart w:id="984" w:name="_Toc4436230"/>
      <w:bookmarkStart w:id="985" w:name="_Toc4436352"/>
      <w:bookmarkStart w:id="986" w:name="_Toc4436473"/>
      <w:bookmarkStart w:id="987" w:name="_Toc4436741"/>
      <w:bookmarkStart w:id="988" w:name="_Toc4436909"/>
      <w:bookmarkStart w:id="989" w:name="_Toc4437135"/>
      <w:bookmarkStart w:id="990" w:name="_Toc4437370"/>
      <w:bookmarkStart w:id="991" w:name="_Toc4438132"/>
      <w:bookmarkStart w:id="992" w:name="_Toc4438377"/>
      <w:bookmarkStart w:id="993" w:name="_Toc4438496"/>
      <w:bookmarkStart w:id="994" w:name="_Toc4438615"/>
      <w:bookmarkStart w:id="995" w:name="_Toc4491368"/>
      <w:bookmarkStart w:id="996" w:name="_Toc4492929"/>
      <w:bookmarkStart w:id="997" w:name="_Toc4588560"/>
      <w:bookmarkStart w:id="998" w:name="_Toc4592913"/>
      <w:bookmarkStart w:id="999" w:name="_Toc4593038"/>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16A93AFA" w14:textId="77777777" w:rsidR="000A54DA" w:rsidRPr="00481344" w:rsidRDefault="000A54DA" w:rsidP="000A54DA">
      <w:pPr>
        <w:spacing w:after="0"/>
        <w:ind w:firstLine="709"/>
        <w:jc w:val="both"/>
        <w:rPr>
          <w:rFonts w:ascii="Times New Roman" w:eastAsia="Times New Roman" w:hAnsi="Times New Roman"/>
          <w:sz w:val="28"/>
          <w:szCs w:val="28"/>
          <w:lang w:eastAsia="ru-RU"/>
        </w:rPr>
      </w:pPr>
      <w:r w:rsidRPr="00481344">
        <w:rPr>
          <w:rFonts w:ascii="Times New Roman" w:eastAsia="Times New Roman" w:hAnsi="Times New Roman"/>
          <w:sz w:val="28"/>
          <w:szCs w:val="28"/>
          <w:lang w:eastAsia="ru-RU"/>
        </w:rPr>
        <w:t>ФАС России был проведен анализ рынка работ по строительству, реконструкции, капитальному ремонту автомобильных дорог общего пользования регионального и межмуниципального значения за период с 01.01.2015 по 31.12.2016.</w:t>
      </w:r>
    </w:p>
    <w:p w14:paraId="75484822" w14:textId="77777777" w:rsidR="000A54DA" w:rsidRPr="00481344" w:rsidRDefault="000A54DA" w:rsidP="000A54DA">
      <w:pPr>
        <w:spacing w:after="0"/>
        <w:ind w:firstLine="709"/>
        <w:jc w:val="both"/>
        <w:rPr>
          <w:rFonts w:ascii="Times New Roman" w:eastAsia="Times New Roman" w:hAnsi="Times New Roman"/>
          <w:sz w:val="28"/>
          <w:szCs w:val="28"/>
          <w:lang w:eastAsia="ru-RU"/>
        </w:rPr>
      </w:pPr>
      <w:r w:rsidRPr="00481344">
        <w:rPr>
          <w:rFonts w:ascii="Times New Roman" w:eastAsia="Times New Roman" w:hAnsi="Times New Roman"/>
          <w:sz w:val="28"/>
          <w:szCs w:val="28"/>
          <w:lang w:eastAsia="ru-RU"/>
        </w:rPr>
        <w:t>Фактором, обуславливающим сложность выхода на рынок дорожного строительства, является высота «технологического барьера», то есть минимальный объем инвестиций, необходимых для создания компании - участника рынка, и минимальный годовой объем доходов, необходимых для обеспечения деятельности такой компании (основная доля таких инвестиций и расходов необходимая для закупки соответствующей техники). Также необходимо учитывать, что используемая при проведении дорожных работ техника является дорогостоящей и специфичной, поскольку имеет ограниченную сферу применения, а именно, в значительной части случаев не может быть использована при проведении работ, не связанных с дорожным хозяйством.</w:t>
      </w:r>
    </w:p>
    <w:p w14:paraId="71042CD8" w14:textId="77777777" w:rsidR="000A54DA" w:rsidRPr="00481344" w:rsidRDefault="000A54DA" w:rsidP="000A54DA">
      <w:pPr>
        <w:spacing w:after="0"/>
        <w:ind w:firstLine="709"/>
        <w:jc w:val="both"/>
        <w:rPr>
          <w:rFonts w:ascii="Times New Roman" w:eastAsia="Times New Roman" w:hAnsi="Times New Roman"/>
          <w:sz w:val="28"/>
          <w:szCs w:val="28"/>
          <w:lang w:eastAsia="ru-RU"/>
        </w:rPr>
      </w:pPr>
      <w:r w:rsidRPr="00481344">
        <w:rPr>
          <w:rFonts w:ascii="Times New Roman" w:eastAsia="Times New Roman" w:hAnsi="Times New Roman"/>
          <w:sz w:val="28"/>
          <w:szCs w:val="28"/>
          <w:lang w:eastAsia="ru-RU"/>
        </w:rPr>
        <w:t xml:space="preserve">Основным заказчиком работ, связанных с осуществлением дорожной деятельности на региональном и межмуниципальном уровне, являются уполномоченные региональные органы власти. Спрос на рынке является условно постоянным. В этой связи предложение на рынке тоже является условно постоянным. </w:t>
      </w:r>
    </w:p>
    <w:p w14:paraId="48395B45" w14:textId="77777777" w:rsidR="000A54DA" w:rsidRPr="00481344" w:rsidRDefault="000A54DA" w:rsidP="000A54DA">
      <w:pPr>
        <w:spacing w:after="0"/>
        <w:ind w:firstLine="709"/>
        <w:jc w:val="both"/>
        <w:rPr>
          <w:rFonts w:ascii="Times New Roman" w:eastAsia="Times New Roman" w:hAnsi="Times New Roman"/>
          <w:sz w:val="28"/>
          <w:szCs w:val="28"/>
          <w:lang w:eastAsia="ru-RU"/>
        </w:rPr>
      </w:pPr>
      <w:r w:rsidRPr="00481344">
        <w:rPr>
          <w:rFonts w:ascii="Times New Roman" w:eastAsia="Times New Roman" w:hAnsi="Times New Roman"/>
          <w:sz w:val="28"/>
          <w:szCs w:val="28"/>
          <w:lang w:eastAsia="ru-RU"/>
        </w:rPr>
        <w:t>Учитывая указанные факторы можно сделать вывод о сложности выхода на рынок строительства, реконструкции, капитального ремонта автомобильных дорог регионального и межмуниципального значения новых хозяйствующих субъектов.</w:t>
      </w:r>
    </w:p>
    <w:p w14:paraId="5B6F4932" w14:textId="77777777" w:rsidR="000A54DA" w:rsidRPr="00481344" w:rsidRDefault="000A54DA" w:rsidP="000A54DA">
      <w:pPr>
        <w:spacing w:after="0"/>
        <w:ind w:firstLine="709"/>
        <w:jc w:val="both"/>
        <w:rPr>
          <w:rFonts w:ascii="Times New Roman" w:eastAsia="Times New Roman" w:hAnsi="Times New Roman"/>
          <w:sz w:val="28"/>
          <w:szCs w:val="28"/>
          <w:lang w:eastAsia="ru-RU"/>
        </w:rPr>
      </w:pPr>
      <w:r w:rsidRPr="00481344">
        <w:rPr>
          <w:rFonts w:ascii="Times New Roman" w:eastAsia="Times New Roman" w:hAnsi="Times New Roman"/>
          <w:sz w:val="28"/>
          <w:szCs w:val="28"/>
          <w:lang w:eastAsia="ru-RU"/>
        </w:rPr>
        <w:t>В значительном количестве субъектов Российской Федерации хозяйственную деятельность на рынке дорожной деятельности продолжают вести либо хозяйствующие субъекты с организационно-правовой формой унитарного предприятия, либо приватизированные путем реорганизации, но остающиеся под контролем государства или органов местного самоуправления организации. Указанное свидетельствует об остающейся по-прежнему острой проблеме конкуренции с государственными и муниципальными унитарными предприятиями частных хозяйствующих субъектов на рынке строительства, реконструкции, капитального ремонта автомобильных дорог регионального и межмуниципального значения.</w:t>
      </w:r>
    </w:p>
    <w:p w14:paraId="5757E8EA" w14:textId="3A7785A4" w:rsidR="000A54DA" w:rsidRPr="00481344" w:rsidRDefault="000A54DA" w:rsidP="000A54DA">
      <w:pPr>
        <w:spacing w:after="0"/>
        <w:ind w:firstLine="709"/>
        <w:jc w:val="both"/>
        <w:rPr>
          <w:rFonts w:ascii="Times New Roman" w:eastAsia="Times New Roman" w:hAnsi="Times New Roman"/>
          <w:sz w:val="28"/>
          <w:szCs w:val="28"/>
          <w:lang w:eastAsia="ru-RU"/>
        </w:rPr>
      </w:pPr>
      <w:r w:rsidRPr="00481344">
        <w:rPr>
          <w:rFonts w:ascii="Times New Roman" w:eastAsia="Times New Roman" w:hAnsi="Times New Roman"/>
          <w:sz w:val="28"/>
          <w:szCs w:val="28"/>
          <w:lang w:eastAsia="ru-RU"/>
        </w:rPr>
        <w:t>Вместе с тем, с учетом поставленных Указом Президента Российской Федерации № 618 и утвержденным им Национальным планом развития конкуренции в Российской Федерации на 2018-2020 годы, а также Перечнем поручений Президента Российской Федерации № Пр-817ГС по итогам заседания Государственного совета Росс</w:t>
      </w:r>
      <w:r>
        <w:rPr>
          <w:rFonts w:ascii="Times New Roman" w:eastAsia="Times New Roman" w:hAnsi="Times New Roman"/>
          <w:sz w:val="28"/>
          <w:szCs w:val="28"/>
          <w:lang w:eastAsia="ru-RU"/>
        </w:rPr>
        <w:t>ийской Федерации от 05.04.2018</w:t>
      </w:r>
      <w:r w:rsidRPr="00481344">
        <w:rPr>
          <w:rFonts w:ascii="Times New Roman" w:eastAsia="Times New Roman" w:hAnsi="Times New Roman"/>
          <w:sz w:val="28"/>
          <w:szCs w:val="28"/>
          <w:lang w:eastAsia="ru-RU"/>
        </w:rPr>
        <w:t xml:space="preserve"> ФАС России и субъектами Российской Федерации ведется работа по сокращению доли государственного сектора на конкурентных рынках дорожной деятельности.</w:t>
      </w:r>
    </w:p>
    <w:p w14:paraId="628F4C78" w14:textId="77777777" w:rsidR="000A54DA" w:rsidRPr="00481344" w:rsidRDefault="000A54DA" w:rsidP="000A54DA">
      <w:pPr>
        <w:spacing w:after="0"/>
        <w:ind w:firstLine="709"/>
        <w:jc w:val="both"/>
        <w:rPr>
          <w:rFonts w:ascii="Times New Roman" w:eastAsia="Times New Roman" w:hAnsi="Times New Roman"/>
          <w:sz w:val="28"/>
          <w:szCs w:val="28"/>
          <w:lang w:eastAsia="ru-RU"/>
        </w:rPr>
      </w:pPr>
      <w:r w:rsidRPr="00481344">
        <w:rPr>
          <w:rFonts w:ascii="Times New Roman" w:eastAsia="Times New Roman" w:hAnsi="Times New Roman"/>
          <w:sz w:val="28"/>
          <w:szCs w:val="28"/>
          <w:lang w:eastAsia="ru-RU"/>
        </w:rPr>
        <w:t xml:space="preserve">Анализируя доли самостоятельно выполненных генеральными подрядчиками работ по строительству, реконструкции, капитальному ремонту автомобильных дорог регионального и межмуниципального значения можно сделать вывод о том, что крупные участники рынка, генеральные подрядчики, выступали посредниками между государственным заказчиком автодорожной деятельности и реальными исполнителями работ – субподрядчиками. Данное обстоятельство негативно влияет на стоимость заключенных контрактов на выполнения работ по строительству, реконструкции, капитальном ремонту автомобильных дорог регионального и межмуниципального значения и, как следствие, на эффективность расходования бюджетных средств. </w:t>
      </w:r>
    </w:p>
    <w:p w14:paraId="2E759447" w14:textId="77777777" w:rsidR="000A54DA" w:rsidRPr="00481344" w:rsidRDefault="000A54DA" w:rsidP="000A54DA">
      <w:pPr>
        <w:spacing w:after="0"/>
        <w:ind w:firstLine="709"/>
        <w:jc w:val="both"/>
        <w:rPr>
          <w:rFonts w:ascii="Times New Roman" w:eastAsia="Times New Roman" w:hAnsi="Times New Roman"/>
          <w:sz w:val="28"/>
          <w:szCs w:val="28"/>
          <w:lang w:eastAsia="ru-RU"/>
        </w:rPr>
      </w:pPr>
      <w:r w:rsidRPr="00481344">
        <w:rPr>
          <w:rFonts w:ascii="Times New Roman" w:eastAsia="Times New Roman" w:hAnsi="Times New Roman"/>
          <w:sz w:val="28"/>
          <w:szCs w:val="28"/>
          <w:lang w:eastAsia="ru-RU"/>
        </w:rPr>
        <w:t xml:space="preserve">Однако необходимо отметить, что постановлением Правительства Российской Федерации от 15.05.2017 № 570 установлен перечень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государственному и (или) муниципальному контрактам. </w:t>
      </w:r>
    </w:p>
    <w:p w14:paraId="6FC624DB" w14:textId="77777777" w:rsidR="000A54DA" w:rsidRPr="00481344" w:rsidRDefault="000A54DA" w:rsidP="000A54DA">
      <w:pPr>
        <w:spacing w:after="0"/>
        <w:ind w:firstLine="709"/>
        <w:jc w:val="both"/>
        <w:rPr>
          <w:rFonts w:ascii="Times New Roman" w:eastAsia="Times New Roman" w:hAnsi="Times New Roman"/>
          <w:sz w:val="28"/>
          <w:szCs w:val="28"/>
          <w:lang w:eastAsia="ru-RU"/>
        </w:rPr>
      </w:pPr>
      <w:r w:rsidRPr="00481344">
        <w:rPr>
          <w:rFonts w:ascii="Times New Roman" w:eastAsia="Times New Roman" w:hAnsi="Times New Roman"/>
          <w:sz w:val="28"/>
          <w:szCs w:val="28"/>
          <w:lang w:eastAsia="ru-RU"/>
        </w:rPr>
        <w:t>Кроме того, необходимо отметить, что с учетом утверждения распоряжением Правительства Российской Федерации от 21.03.2016 г. №</w:t>
      </w:r>
      <w:r>
        <w:rPr>
          <w:rFonts w:ascii="Times New Roman" w:eastAsia="Times New Roman" w:hAnsi="Times New Roman"/>
          <w:sz w:val="28"/>
          <w:szCs w:val="28"/>
          <w:lang w:eastAsia="ru-RU"/>
        </w:rPr>
        <w:t xml:space="preserve"> </w:t>
      </w:r>
      <w:r w:rsidRPr="00481344">
        <w:rPr>
          <w:rFonts w:ascii="Times New Roman" w:eastAsia="Times New Roman" w:hAnsi="Times New Roman"/>
          <w:sz w:val="28"/>
          <w:szCs w:val="28"/>
          <w:lang w:eastAsia="ru-RU"/>
        </w:rPr>
        <w:t>471-р перечня товаров, работ, услуг, в случае осуществления закупок которых заказчик обязан проводить аукцион в электронной форме (электронный аукцион) и внесения изменений в него распоряжением Правительства Российской Федерации от 13.05.2016 № 890-р, предусматривающих уменьшение значимости таких критериев отбора подрядных организаций как «предложение по качеству выполнения работ», «квалификация участника» можно констатировать, что подавляющее большинство подрядных организаций определяется по аукционным принципам. В этой связи возможность по созданию искусственных административных ограничений при размещении государственных заказов на автодорожную деятельность сокращается.</w:t>
      </w:r>
    </w:p>
    <w:p w14:paraId="1F80E730" w14:textId="77777777" w:rsidR="000A54DA" w:rsidRPr="00481344" w:rsidRDefault="000A54DA" w:rsidP="000A54DA">
      <w:pPr>
        <w:spacing w:after="0"/>
        <w:ind w:firstLine="709"/>
        <w:jc w:val="both"/>
        <w:rPr>
          <w:rFonts w:ascii="Times New Roman" w:eastAsia="Times New Roman" w:hAnsi="Times New Roman"/>
          <w:sz w:val="28"/>
          <w:szCs w:val="28"/>
          <w:lang w:eastAsia="ru-RU"/>
        </w:rPr>
      </w:pPr>
      <w:r w:rsidRPr="00481344">
        <w:rPr>
          <w:rFonts w:ascii="Times New Roman" w:eastAsia="Times New Roman" w:hAnsi="Times New Roman"/>
          <w:sz w:val="28"/>
          <w:szCs w:val="28"/>
          <w:lang w:eastAsia="ru-RU"/>
        </w:rPr>
        <w:t xml:space="preserve">Кроме того, распоряжением Правительства Российской Федерации от 16.08.2018 № 1697-р утвержден план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p>
    <w:p w14:paraId="2F31D935" w14:textId="77777777" w:rsidR="000A54DA" w:rsidRPr="00481344" w:rsidRDefault="000A54DA" w:rsidP="000A54DA">
      <w:pPr>
        <w:spacing w:after="0"/>
        <w:ind w:firstLine="709"/>
        <w:jc w:val="both"/>
        <w:rPr>
          <w:rFonts w:ascii="Times New Roman" w:eastAsia="Times New Roman" w:hAnsi="Times New Roman"/>
          <w:sz w:val="28"/>
          <w:szCs w:val="28"/>
          <w:lang w:eastAsia="ru-RU"/>
        </w:rPr>
      </w:pPr>
      <w:r w:rsidRPr="00481344">
        <w:rPr>
          <w:rFonts w:ascii="Times New Roman" w:eastAsia="Times New Roman" w:hAnsi="Times New Roman"/>
          <w:sz w:val="28"/>
          <w:szCs w:val="28"/>
          <w:lang w:eastAsia="ru-RU"/>
        </w:rPr>
        <w:t>В части дорожного строительства указанная «дорожная карта» направлена на увеличение доли малого и среднего бизнеса в закупках дорожных работ, недопущение укрупнения доли доминирующих участников рынка, исключение не администрируемых требований к участникам закупок.</w:t>
      </w:r>
    </w:p>
    <w:p w14:paraId="266685A5" w14:textId="77777777" w:rsidR="000A54DA" w:rsidRDefault="000A54DA" w:rsidP="000A54DA">
      <w:pPr>
        <w:spacing w:after="0"/>
        <w:ind w:firstLine="709"/>
        <w:jc w:val="both"/>
        <w:rPr>
          <w:rFonts w:ascii="Times New Roman" w:eastAsia="Times New Roman" w:hAnsi="Times New Roman"/>
          <w:sz w:val="28"/>
          <w:szCs w:val="28"/>
          <w:lang w:eastAsia="ru-RU"/>
        </w:rPr>
      </w:pPr>
      <w:r w:rsidRPr="00481344">
        <w:rPr>
          <w:rFonts w:ascii="Times New Roman" w:eastAsia="Times New Roman" w:hAnsi="Times New Roman"/>
          <w:sz w:val="28"/>
          <w:szCs w:val="28"/>
          <w:lang w:eastAsia="ru-RU"/>
        </w:rPr>
        <w:t>В частности, предусмотрено нормативное определение предельного объема работ в натуральном и (или) денежном выражении, который может быть включен в один лот по каждому виду работ.</w:t>
      </w:r>
    </w:p>
    <w:p w14:paraId="4621D80B" w14:textId="77777777" w:rsidR="009B1974" w:rsidRPr="00481344" w:rsidRDefault="009B1974" w:rsidP="000A54DA">
      <w:pPr>
        <w:spacing w:after="0"/>
        <w:ind w:firstLine="709"/>
        <w:jc w:val="both"/>
        <w:rPr>
          <w:rFonts w:ascii="Times New Roman" w:eastAsia="Times New Roman" w:hAnsi="Times New Roman"/>
          <w:sz w:val="28"/>
          <w:szCs w:val="28"/>
          <w:lang w:eastAsia="ru-RU"/>
        </w:rPr>
      </w:pPr>
    </w:p>
    <w:p w14:paraId="1B69F451" w14:textId="77777777" w:rsidR="005E5F6F" w:rsidRPr="005E5F6F" w:rsidRDefault="005E5F6F" w:rsidP="000A54DA">
      <w:pPr>
        <w:pStyle w:val="a5"/>
        <w:keepNext/>
        <w:keepLines/>
        <w:spacing w:before="40" w:after="0"/>
        <w:ind w:left="792"/>
        <w:contextualSpacing w:val="0"/>
        <w:outlineLvl w:val="2"/>
        <w:rPr>
          <w:rFonts w:ascii="Times New Roman" w:eastAsiaTheme="majorEastAsia" w:hAnsi="Times New Roman" w:cs="Times New Roman"/>
          <w:vanish/>
          <w:sz w:val="28"/>
          <w:szCs w:val="28"/>
        </w:rPr>
      </w:pPr>
    </w:p>
    <w:p w14:paraId="4ACE847E" w14:textId="77777777" w:rsidR="005E5F6F" w:rsidRPr="000A54DA" w:rsidRDefault="00883C8E" w:rsidP="00EF64DA">
      <w:pPr>
        <w:pStyle w:val="2"/>
      </w:pPr>
      <w:bookmarkStart w:id="1000" w:name="_Toc7447983"/>
      <w:r w:rsidRPr="00FD751F">
        <w:t xml:space="preserve">В </w:t>
      </w:r>
      <w:r w:rsidRPr="00611557">
        <w:rPr>
          <w:iCs/>
        </w:rPr>
        <w:t>сфере</w:t>
      </w:r>
      <w:r w:rsidRPr="00FD751F">
        <w:t xml:space="preserve"> строительства</w:t>
      </w:r>
      <w:bookmarkStart w:id="1001" w:name="_Toc1061903"/>
      <w:bookmarkStart w:id="1002" w:name="_Toc1062019"/>
      <w:bookmarkStart w:id="1003" w:name="_Toc1062141"/>
      <w:bookmarkStart w:id="1004" w:name="_Toc1062254"/>
      <w:bookmarkStart w:id="1005" w:name="_Toc2589750"/>
      <w:bookmarkStart w:id="1006" w:name="_Toc2589883"/>
      <w:bookmarkStart w:id="1007" w:name="_Toc2590022"/>
      <w:bookmarkStart w:id="1008" w:name="_Toc3393216"/>
      <w:bookmarkStart w:id="1009" w:name="_Toc3399225"/>
      <w:bookmarkStart w:id="1010" w:name="_Toc3399375"/>
      <w:bookmarkStart w:id="1011" w:name="_Toc3399520"/>
      <w:bookmarkStart w:id="1012" w:name="_Toc3399712"/>
      <w:bookmarkStart w:id="1013" w:name="_Toc3399856"/>
      <w:bookmarkStart w:id="1014" w:name="_Toc3400000"/>
      <w:bookmarkStart w:id="1015" w:name="_Toc3400319"/>
      <w:bookmarkStart w:id="1016" w:name="_Toc3400444"/>
      <w:bookmarkStart w:id="1017" w:name="_Toc3400564"/>
      <w:bookmarkStart w:id="1018" w:name="_Toc3557038"/>
      <w:bookmarkStart w:id="1019" w:name="_Toc3559243"/>
      <w:bookmarkStart w:id="1020" w:name="_Toc3914455"/>
      <w:bookmarkStart w:id="1021" w:name="_Toc3914577"/>
      <w:bookmarkStart w:id="1022" w:name="_Toc3915563"/>
      <w:bookmarkStart w:id="1023" w:name="_Toc3916170"/>
      <w:bookmarkStart w:id="1024" w:name="_Toc3917080"/>
      <w:bookmarkStart w:id="1025" w:name="_Toc3917730"/>
      <w:bookmarkStart w:id="1026" w:name="_Toc3988486"/>
      <w:bookmarkStart w:id="1027" w:name="_Toc3989495"/>
      <w:bookmarkStart w:id="1028" w:name="_Toc3990139"/>
      <w:bookmarkStart w:id="1029" w:name="_Toc3991715"/>
      <w:bookmarkStart w:id="1030" w:name="_Toc3992620"/>
      <w:bookmarkStart w:id="1031" w:name="_Toc4000387"/>
      <w:bookmarkStart w:id="1032" w:name="_Toc4426384"/>
      <w:bookmarkStart w:id="1033" w:name="_Toc4426513"/>
      <w:bookmarkStart w:id="1034" w:name="_Toc4426698"/>
      <w:bookmarkStart w:id="1035" w:name="_Toc4426827"/>
      <w:bookmarkStart w:id="1036" w:name="_Toc4428425"/>
      <w:bookmarkStart w:id="1037" w:name="_Toc4429856"/>
      <w:bookmarkStart w:id="1038" w:name="_Toc4429985"/>
      <w:bookmarkStart w:id="1039" w:name="_Toc4430111"/>
      <w:bookmarkStart w:id="1040" w:name="_Toc4430236"/>
      <w:bookmarkStart w:id="1041" w:name="_Toc4430359"/>
      <w:bookmarkStart w:id="1042" w:name="_Toc4430481"/>
      <w:bookmarkStart w:id="1043" w:name="_Toc4430602"/>
      <w:bookmarkStart w:id="1044" w:name="_Toc4431398"/>
      <w:bookmarkStart w:id="1045" w:name="_Toc4431517"/>
      <w:bookmarkStart w:id="1046" w:name="_Toc4431638"/>
      <w:bookmarkStart w:id="1047" w:name="_Toc4431759"/>
      <w:bookmarkStart w:id="1048" w:name="_Toc4433458"/>
      <w:bookmarkStart w:id="1049" w:name="_Toc4433720"/>
      <w:bookmarkStart w:id="1050" w:name="_Toc4433841"/>
      <w:bookmarkStart w:id="1051" w:name="_Toc4434389"/>
      <w:bookmarkStart w:id="1052" w:name="_Toc4436234"/>
      <w:bookmarkStart w:id="1053" w:name="_Toc4436356"/>
      <w:bookmarkStart w:id="1054" w:name="_Toc4436477"/>
      <w:bookmarkStart w:id="1055" w:name="_Toc4436745"/>
      <w:bookmarkStart w:id="1056" w:name="_Toc4436913"/>
      <w:bookmarkStart w:id="1057" w:name="_Toc4437139"/>
      <w:bookmarkStart w:id="1058" w:name="_Toc4437374"/>
      <w:bookmarkStart w:id="1059" w:name="_Toc4438136"/>
      <w:bookmarkStart w:id="1060" w:name="_Toc4438381"/>
      <w:bookmarkStart w:id="1061" w:name="_Toc4438500"/>
      <w:bookmarkStart w:id="1062" w:name="_Toc4438619"/>
      <w:bookmarkStart w:id="1063" w:name="_Toc4491372"/>
      <w:bookmarkStart w:id="1064" w:name="_Toc4492933"/>
      <w:bookmarkStart w:id="1065" w:name="_Toc4588564"/>
      <w:bookmarkStart w:id="1066" w:name="_Toc4592917"/>
      <w:bookmarkStart w:id="1067" w:name="_Toc4593042"/>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00"/>
    </w:p>
    <w:p w14:paraId="507A5F8A" w14:textId="77777777" w:rsidR="008D5FCD" w:rsidRPr="008D5FCD" w:rsidRDefault="008D5FCD"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068" w:name="_Toc7189782"/>
      <w:bookmarkStart w:id="1069" w:name="_Toc7190012"/>
      <w:bookmarkStart w:id="1070" w:name="_Toc7190366"/>
      <w:bookmarkStart w:id="1071" w:name="_Toc7190815"/>
      <w:bookmarkStart w:id="1072" w:name="_Toc7191554"/>
      <w:bookmarkStart w:id="1073" w:name="_Toc7447179"/>
      <w:bookmarkStart w:id="1074" w:name="_Toc7447984"/>
      <w:bookmarkEnd w:id="1068"/>
      <w:bookmarkEnd w:id="1069"/>
      <w:bookmarkEnd w:id="1070"/>
      <w:bookmarkEnd w:id="1071"/>
      <w:bookmarkEnd w:id="1072"/>
      <w:bookmarkEnd w:id="1073"/>
      <w:bookmarkEnd w:id="1074"/>
    </w:p>
    <w:p w14:paraId="5CE07EC1" w14:textId="77777777" w:rsidR="008D5FCD" w:rsidRPr="008D5FCD" w:rsidRDefault="008D5FCD"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075" w:name="_Toc7189783"/>
      <w:bookmarkStart w:id="1076" w:name="_Toc7190013"/>
      <w:bookmarkStart w:id="1077" w:name="_Toc7190367"/>
      <w:bookmarkStart w:id="1078" w:name="_Toc7190816"/>
      <w:bookmarkStart w:id="1079" w:name="_Toc7191555"/>
      <w:bookmarkStart w:id="1080" w:name="_Toc7447180"/>
      <w:bookmarkStart w:id="1081" w:name="_Toc7447985"/>
      <w:bookmarkEnd w:id="1075"/>
      <w:bookmarkEnd w:id="1076"/>
      <w:bookmarkEnd w:id="1077"/>
      <w:bookmarkEnd w:id="1078"/>
      <w:bookmarkEnd w:id="1079"/>
      <w:bookmarkEnd w:id="1080"/>
      <w:bookmarkEnd w:id="1081"/>
    </w:p>
    <w:p w14:paraId="60FF403E" w14:textId="77777777" w:rsidR="00CB662C" w:rsidRPr="00CB662C" w:rsidRDefault="00CB662C" w:rsidP="00CB662C">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082" w:name="_Toc7191556"/>
      <w:bookmarkStart w:id="1083" w:name="_Toc7447181"/>
      <w:bookmarkStart w:id="1084" w:name="_Toc7447986"/>
      <w:bookmarkEnd w:id="1082"/>
      <w:bookmarkEnd w:id="1083"/>
      <w:bookmarkEnd w:id="1084"/>
    </w:p>
    <w:p w14:paraId="1A62C4B4" w14:textId="77777777" w:rsidR="00CB662C" w:rsidRPr="00CB662C" w:rsidRDefault="00CB662C" w:rsidP="00CB662C">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085" w:name="_Toc7191557"/>
      <w:bookmarkStart w:id="1086" w:name="_Toc7447182"/>
      <w:bookmarkStart w:id="1087" w:name="_Toc7447987"/>
      <w:bookmarkEnd w:id="1085"/>
      <w:bookmarkEnd w:id="1086"/>
      <w:bookmarkEnd w:id="1087"/>
    </w:p>
    <w:p w14:paraId="6FBDB109" w14:textId="3B50809C" w:rsidR="00883C8E" w:rsidRDefault="00883C8E" w:rsidP="00CB662C">
      <w:pPr>
        <w:pStyle w:val="3"/>
      </w:pPr>
      <w:bookmarkStart w:id="1088" w:name="_Toc7447988"/>
      <w:r w:rsidRPr="00FD751F">
        <w:t>Состояние конкуренции: тенденции и проблемы</w:t>
      </w:r>
      <w:bookmarkStart w:id="1089" w:name="_Toc6834345"/>
      <w:bookmarkStart w:id="1090" w:name="_Toc6834632"/>
      <w:bookmarkStart w:id="1091" w:name="_Toc6834835"/>
      <w:bookmarkEnd w:id="1089"/>
      <w:bookmarkEnd w:id="1090"/>
      <w:bookmarkEnd w:id="1091"/>
      <w:bookmarkEnd w:id="1088"/>
    </w:p>
    <w:p w14:paraId="5B3D8940" w14:textId="77777777" w:rsidR="000A54DA" w:rsidRDefault="000A54DA" w:rsidP="000A54DA">
      <w:pPr>
        <w:rPr>
          <w:lang w:eastAsia="ru-RU"/>
        </w:rPr>
      </w:pPr>
    </w:p>
    <w:p w14:paraId="62C73424" w14:textId="77777777" w:rsidR="000A54DA" w:rsidRPr="00481344" w:rsidRDefault="000A54DA" w:rsidP="0048575F">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В настоящее время застройщики, сетевые организации, органы власти всех уровней вынуждены работать в различных информационных системах с различным функционалом и на разных операционных уровнях, а во многих случаях и на бумаге, что усложняет и потенциально удорожает процесс строительства.</w:t>
      </w:r>
    </w:p>
    <w:p w14:paraId="0F282565" w14:textId="77777777" w:rsidR="000A54DA" w:rsidRPr="00481344" w:rsidRDefault="000A54DA" w:rsidP="0048575F">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 xml:space="preserve">Разрешит сложившуюся непростую ситуацию – переход всех участников строительной отрасли по всему циклу процессов на единую государственную цифровую платформу. Пожалуй, это ключевая задача, предусмотренная разделом «Строительство» </w:t>
      </w:r>
      <w:r w:rsidRPr="00481344">
        <w:rPr>
          <w:rFonts w:ascii="Times New Roman" w:eastAsia="Times New Roman" w:hAnsi="Times New Roman"/>
          <w:sz w:val="28"/>
          <w:szCs w:val="28"/>
          <w:lang w:eastAsia="ru-RU"/>
        </w:rPr>
        <w:t>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w:t>
      </w:r>
      <w:r w:rsidRPr="00481344">
        <w:rPr>
          <w:rFonts w:ascii="Times New Roman" w:hAnsi="Times New Roman" w:cs="Times New Roman"/>
          <w:sz w:val="28"/>
          <w:szCs w:val="28"/>
        </w:rPr>
        <w:t>.</w:t>
      </w:r>
    </w:p>
    <w:p w14:paraId="122F3EC7"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Перевод всего взаимодействия бизнеса и власти в цифровой формат позволит исключить «человеческий фактор» из процессов принятия решений, сделает его прозрачным и кратно ускорит процессы в сфере строительства.</w:t>
      </w:r>
    </w:p>
    <w:p w14:paraId="39881CC7" w14:textId="77777777" w:rsidR="000A54DA" w:rsidRPr="00481344" w:rsidRDefault="000A54DA" w:rsidP="000A54DA">
      <w:pPr>
        <w:spacing w:after="0" w:line="240" w:lineRule="auto"/>
        <w:ind w:firstLine="709"/>
        <w:jc w:val="both"/>
        <w:rPr>
          <w:rFonts w:ascii="Times New Roman" w:hAnsi="Times New Roman"/>
          <w:sz w:val="28"/>
          <w:szCs w:val="28"/>
        </w:rPr>
      </w:pPr>
      <w:r w:rsidRPr="00481344">
        <w:rPr>
          <w:rFonts w:ascii="Times New Roman" w:hAnsi="Times New Roman"/>
          <w:sz w:val="28"/>
          <w:szCs w:val="28"/>
        </w:rPr>
        <w:t>Создание и развитие единой цифровой платформы исключит практически все административные барьеры и создаст уникальный бизнес-климат в строительной отрасли, что будет способствовать достижению целей, поставленных Президентом России.</w:t>
      </w:r>
    </w:p>
    <w:p w14:paraId="35C4D8E2"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В качестве первых шагов «Дорожной картой» предусмотрено «повышение уровня» информационных систем обеспечения градостроительной деятельности (ГИС ОГД) с муниципалитета до субъекта Российской Федерации. ГИС ОГД это своего рода центр сбора, обработки, систематизации, учета и хранения данных, которые предоставляются заинтересованным лицам для осуществления градостроительной деятельности. Сегодня такие системы функционируют на региональном уровне в Москве, Московской области и Тюменской области. С 1 января 2019 года создание таких систем предусмотрено в каждом субъекте. Кстати, типовое программное обеспечение ГИС ОГД бесплатно для регионов, оно находится в национальном фонде алгоритмов и программ.</w:t>
      </w:r>
    </w:p>
    <w:p w14:paraId="5BC120BB"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Не исключено, что в будущем в ГИС ОГД будет погружен функционал для реализации задач национального проекта «Жилье и городская среда». В частности, возможность управления жизненным циклом объекта капстроительства с использованием технологий информационного моделирования, взаимодействие участников строительной отрасли, включая электронный документооборот при выдаче разрешительной документации.</w:t>
      </w:r>
    </w:p>
    <w:p w14:paraId="1B117C7A"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 xml:space="preserve">Безусловно, система обеспечения градостроительной деятельности не единственное хранилище отраслевых данных. Также сегодня формируется и ведется Единый государственный реестр заключений экспертизы проектной документации (ГИС ЕГРЗ) на базе одноименной информационной системы. Он содержит систематизированные сведения о заключениях экспертизы проектной документации и результатов инженерных изысканий. Основная задача ГИС ЕГРЗ – экономия времени застройщика, не нужно дополнительно направлять пакет документов в различные органы власти или организации, поскольку все данные по заключениям, полученным застройщиком, уже находятся в системы и доступны онлайн. </w:t>
      </w:r>
    </w:p>
    <w:p w14:paraId="08E1264C"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 xml:space="preserve">По данным Минстроя России за ноябрь 2018 года, в ГИС ЕГРЗ зарегистрированы 363 экспертные организации из 57 регионов России и содержится почти 5 тысяч заключений. Число зарегистрированных участников реестра будет расти, поскольку размещение итогов их деятельности в системе – обязательно. </w:t>
      </w:r>
    </w:p>
    <w:p w14:paraId="4086DA25"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«Дорожной картой» также предусмотрено внедрение института обоснования инвестиций и информационного моделирования в строительстве (BIM-технология), позволяющего осуществлять автоматизированное проектирование объектов с использованием классификатора строительных ресурсов, сметных нормативов, нормативно-технических документов и нормативов градостроительного проектирования, с возможностью управлять эксплуатацией здания до стадии сноса с учетом планирования предельных затрат.</w:t>
      </w:r>
    </w:p>
    <w:p w14:paraId="106BA18D"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 xml:space="preserve">Введение механизмов информационного моделирования позволит принимать эффективные решения на всех стадиях жизненного цикла зданий – от инвестиционного замысла до эксплуатации и даже сноса. Например, при проектировании, </w:t>
      </w:r>
      <w:r w:rsidRPr="00481344">
        <w:rPr>
          <w:rFonts w:ascii="Times New Roman" w:hAnsi="Times New Roman" w:cs="Times New Roman"/>
          <w:sz w:val="28"/>
          <w:szCs w:val="28"/>
          <w:lang w:val="en-US"/>
        </w:rPr>
        <w:t>BIM</w:t>
      </w:r>
      <w:r w:rsidRPr="00481344">
        <w:rPr>
          <w:rFonts w:ascii="Times New Roman" w:hAnsi="Times New Roman" w:cs="Times New Roman"/>
          <w:sz w:val="28"/>
          <w:szCs w:val="28"/>
        </w:rPr>
        <w:t xml:space="preserve"> позволит автоматизировать трудоемкие процессы, упростить корректировку проекта, принимать решения, основанные на оценке не только затрат на строительство, но и затрат на эксплуатацию объекта, что для бюджетных инвестиционных проектов представляет очевидную выгоду. </w:t>
      </w:r>
    </w:p>
    <w:p w14:paraId="0C21451D"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Перевод взаимодействия участников отрасли в цифру, конечно, не может произойти без унификации всех процедур и требований в строительстве.</w:t>
      </w:r>
    </w:p>
    <w:p w14:paraId="7365276C"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Практика показывает, что административные регламенты на местах не соответствуют действующему законодательству, вследствие чего органы власти в каждом регионе требуют у заявителей документы необходимые конкретно им, нарушают сроки оказания услуг или же безосновательно отказывают в них.</w:t>
      </w:r>
    </w:p>
    <w:p w14:paraId="0AA65BCA"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Так, сегодня разработан законопроект, предусматривающий установление единых стандартов предоставления государственных и муниципальных услуг в сфере строительства. Он также уточняет сроки выдачи разрешения на строительство, ввода объектов в эксплуатацию и ГПЗУ. Планируется, что с 1 января 2020 года срок выдачи указанных разрешений составят 5 рабочих дней, а ГПЗУ – 14, против сегодняшних 7 и 20 дней соответственно. И это лишь малая часть мер по совершенствованию нормативно-правовой базы в строительстве.</w:t>
      </w:r>
    </w:p>
    <w:p w14:paraId="2B1C0A1C"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Внедрение этих стандартов создаст единый механизм взаимодействия застройщиков с органами власти, процесс оказания услуг не будет меняться в зависимости от того, в каком регионе работает застройщик.</w:t>
      </w:r>
    </w:p>
    <w:p w14:paraId="6DBC90B6"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Результатом внедрения этих стандартов станет переход от сложившейся неоднородной практики предоставления услуг в сферах строительства в разных субъектах Российской Федерации к единым стандартам предоставления таких услуг.</w:t>
      </w:r>
    </w:p>
    <w:p w14:paraId="76088D53"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Кроме того, «дорожной картой» предусмотрено создание Федерального реестра нормативных документов. Его главная цель - унификация, оптимизация и установление открытых, исчерпывающих нормативно-технических требований в строительстве. Сегодня такие требования предъявляются множеством документов различных ведомств, которые нередко противоречат друг другу.</w:t>
      </w:r>
    </w:p>
    <w:p w14:paraId="4122A90E"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Перевод всех юридически значимых действий участников рынка в «цифру», предусмотренный «дорожной картой», позволит снизить административные барьеры входа на рынок, нагрузку на бизнес и его издержки, систематизирует работу участников градостроительных отношений, предупредит нарушения отраслевого законодательств и в конечном счете, сделает рынок более открытым и конкурентным, а предложение, в том числе жильё, – более доступным и качественным для потребителей.</w:t>
      </w:r>
    </w:p>
    <w:p w14:paraId="69BC5A52" w14:textId="77777777" w:rsidR="000A54DA" w:rsidRPr="000A54DA" w:rsidRDefault="000A54DA" w:rsidP="000A54DA">
      <w:pPr>
        <w:rPr>
          <w:lang w:eastAsia="ru-RU"/>
        </w:rPr>
      </w:pPr>
    </w:p>
    <w:p w14:paraId="79E1ECA1" w14:textId="77777777" w:rsidR="00883C8E" w:rsidRDefault="00883C8E" w:rsidP="00DA3F05">
      <w:pPr>
        <w:pStyle w:val="3"/>
      </w:pPr>
      <w:bookmarkStart w:id="1092" w:name="_Toc7447989"/>
      <w:r w:rsidRPr="00FD751F">
        <w:t>Достигнутые результаты развития конкуренции и предложения по развитию конкуренции</w:t>
      </w:r>
      <w:bookmarkStart w:id="1093" w:name="_Toc6834346"/>
      <w:bookmarkStart w:id="1094" w:name="_Toc6834633"/>
      <w:bookmarkStart w:id="1095" w:name="_Toc6834836"/>
      <w:bookmarkEnd w:id="1093"/>
      <w:bookmarkEnd w:id="1094"/>
      <w:bookmarkEnd w:id="1095"/>
      <w:bookmarkEnd w:id="1092"/>
    </w:p>
    <w:p w14:paraId="6B3FCB74"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Во исполнение пункта 8 перечня поручений Президента Российской Федерации В.В. Путина по итогам заседания Государственного совета Российской Федерации от 27.1</w:t>
      </w:r>
      <w:r>
        <w:rPr>
          <w:rFonts w:ascii="Times New Roman" w:hAnsi="Times New Roman" w:cs="Times New Roman"/>
          <w:sz w:val="28"/>
          <w:szCs w:val="28"/>
        </w:rPr>
        <w:t>2.2017 № Пр-321ГС о</w:t>
      </w:r>
      <w:r w:rsidRPr="00481344">
        <w:rPr>
          <w:rFonts w:ascii="Times New Roman" w:hAnsi="Times New Roman" w:cs="Times New Roman"/>
          <w:sz w:val="28"/>
          <w:szCs w:val="28"/>
        </w:rPr>
        <w:t xml:space="preserve"> прове</w:t>
      </w:r>
      <w:r>
        <w:rPr>
          <w:rFonts w:ascii="Times New Roman" w:hAnsi="Times New Roman" w:cs="Times New Roman"/>
          <w:sz w:val="28"/>
          <w:szCs w:val="28"/>
        </w:rPr>
        <w:t xml:space="preserve">дении проверки   соблюдения антимонопольного законодательства в </w:t>
      </w:r>
      <w:r w:rsidRPr="00481344">
        <w:rPr>
          <w:rFonts w:ascii="Times New Roman" w:hAnsi="Times New Roman" w:cs="Times New Roman"/>
          <w:sz w:val="28"/>
          <w:szCs w:val="28"/>
        </w:rPr>
        <w:t>части</w:t>
      </w:r>
      <w:r>
        <w:rPr>
          <w:rFonts w:ascii="Times New Roman" w:hAnsi="Times New Roman" w:cs="Times New Roman"/>
          <w:sz w:val="28"/>
          <w:szCs w:val="28"/>
        </w:rPr>
        <w:t xml:space="preserve">, касающейся   ценообразования на </w:t>
      </w:r>
      <w:r w:rsidRPr="00481344">
        <w:rPr>
          <w:rFonts w:ascii="Times New Roman" w:hAnsi="Times New Roman" w:cs="Times New Roman"/>
          <w:sz w:val="28"/>
          <w:szCs w:val="28"/>
        </w:rPr>
        <w:t>кадастровые работы, ФАС России про</w:t>
      </w:r>
      <w:r>
        <w:rPr>
          <w:rFonts w:ascii="Times New Roman" w:hAnsi="Times New Roman" w:cs="Times New Roman"/>
          <w:sz w:val="28"/>
          <w:szCs w:val="28"/>
        </w:rPr>
        <w:t xml:space="preserve">водилась проверка совместно с Генеральной </w:t>
      </w:r>
      <w:r w:rsidRPr="00481344">
        <w:rPr>
          <w:rFonts w:ascii="Times New Roman" w:hAnsi="Times New Roman" w:cs="Times New Roman"/>
          <w:sz w:val="28"/>
          <w:szCs w:val="28"/>
        </w:rPr>
        <w:t>прокуратурой Российской Федерации и Федеральной службой государственной регистрации, кадастра и картографии. В ходе исполнения поручения получена информация из Ассоциации «Национальная палата кадастровых инженеров».</w:t>
      </w:r>
    </w:p>
    <w:p w14:paraId="096D21CC"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 xml:space="preserve">По результатам проверки выявлено, что нарушения в части, касающейся ценообразования на кадастровые работы, не являются распространенными в практике прокурорского надзора и антимонопольного регулирования. </w:t>
      </w:r>
    </w:p>
    <w:p w14:paraId="3AB63DF1"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Так, в период с 2016 года по 1-й квартал 2018 года включительно, органами прокуратуры, а также территориальными органами ФАС России выявлены не более 100 неправомерных действий участников рынка кадастровых работ.</w:t>
      </w:r>
    </w:p>
    <w:p w14:paraId="7C730E2E"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Основными факторами, влияющими на стоимость кадастровых работ, являются:</w:t>
      </w:r>
    </w:p>
    <w:p w14:paraId="64F3ED6D"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в отношении зданий, сооружений, помещений, объектов незавершенного строительства — вид объекта, его площадь и конфигурация, протяженность и удаленность объекта кадастровых работ от места нахождения исполнителя, обеспеченность геодезической и картографической основой, сезон выполнения работ и срочность выполнения указанных работ;</w:t>
      </w:r>
    </w:p>
    <w:p w14:paraId="7CE84C08"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в отношении земельных участков — срочность выполнения работ, площадь земельного участка, его конфигурация и удаленность от места нахождения исполнителя, обеспеченность геодезической и картографической основой, сезон выполнения работ.</w:t>
      </w:r>
    </w:p>
    <w:p w14:paraId="76B9BC26"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 xml:space="preserve">Стоит отметить, что в настоящее время приказом Министерства экономического развития Российской Федерации от 18.01.2012 № 14 утверждена методика определения размера платы за проведение кадастровых работ для федеральных государственных унитарных предприятий. </w:t>
      </w:r>
    </w:p>
    <w:p w14:paraId="4E73F7B6" w14:textId="77777777" w:rsidR="000A54DA" w:rsidRPr="00481344" w:rsidRDefault="000A54DA" w:rsidP="000A54DA">
      <w:pPr>
        <w:tabs>
          <w:tab w:val="left" w:pos="993"/>
        </w:tabs>
        <w:spacing w:after="0" w:line="240" w:lineRule="auto"/>
        <w:ind w:firstLine="709"/>
        <w:jc w:val="both"/>
        <w:rPr>
          <w:rFonts w:ascii="Times New Roman" w:hAnsi="Times New Roman"/>
          <w:sz w:val="28"/>
          <w:szCs w:val="28"/>
        </w:rPr>
      </w:pPr>
      <w:r w:rsidRPr="00481344">
        <w:rPr>
          <w:rFonts w:ascii="Times New Roman" w:hAnsi="Times New Roman"/>
          <w:sz w:val="28"/>
          <w:szCs w:val="28"/>
        </w:rPr>
        <w:t xml:space="preserve">Статьей 31 </w:t>
      </w:r>
      <w:r w:rsidRPr="00481344">
        <w:rPr>
          <w:rFonts w:ascii="Times New Roman" w:eastAsia="Times New Roman" w:hAnsi="Times New Roman"/>
          <w:sz w:val="28"/>
          <w:szCs w:val="28"/>
          <w:lang w:eastAsia="ru-RU"/>
        </w:rPr>
        <w:t xml:space="preserve">Федерального закона от 24.07.2007 № 221-ФЗ «О кадастровой деятельности» </w:t>
      </w:r>
      <w:r w:rsidRPr="00481344">
        <w:rPr>
          <w:rFonts w:ascii="Times New Roman" w:hAnsi="Times New Roman"/>
          <w:sz w:val="28"/>
          <w:szCs w:val="28"/>
        </w:rPr>
        <w:t>определено, что кадастровый инженер может выбрать одну из следующих форм организации своей кадастровой деятельности:</w:t>
      </w:r>
    </w:p>
    <w:p w14:paraId="51F2EF56" w14:textId="77777777" w:rsidR="000A54DA" w:rsidRPr="00481344" w:rsidRDefault="000A54DA" w:rsidP="000A54DA">
      <w:pPr>
        <w:tabs>
          <w:tab w:val="left" w:pos="993"/>
        </w:tabs>
        <w:spacing w:after="0" w:line="240" w:lineRule="auto"/>
        <w:ind w:firstLine="709"/>
        <w:jc w:val="both"/>
        <w:rPr>
          <w:rFonts w:ascii="Times New Roman" w:hAnsi="Times New Roman"/>
          <w:sz w:val="28"/>
          <w:szCs w:val="28"/>
        </w:rPr>
      </w:pPr>
      <w:r w:rsidRPr="00481344">
        <w:rPr>
          <w:rFonts w:ascii="Times New Roman" w:hAnsi="Times New Roman"/>
          <w:sz w:val="28"/>
          <w:szCs w:val="28"/>
        </w:rPr>
        <w:t>1) в качестве индивидуального предпринимателя;</w:t>
      </w:r>
    </w:p>
    <w:p w14:paraId="6FD4977F" w14:textId="77777777" w:rsidR="000A54DA" w:rsidRPr="00481344" w:rsidRDefault="000A54DA" w:rsidP="000A54DA">
      <w:pPr>
        <w:tabs>
          <w:tab w:val="left" w:pos="993"/>
        </w:tabs>
        <w:spacing w:after="0" w:line="240" w:lineRule="auto"/>
        <w:ind w:firstLine="709"/>
        <w:jc w:val="both"/>
        <w:rPr>
          <w:rFonts w:ascii="Times New Roman" w:hAnsi="Times New Roman"/>
          <w:sz w:val="28"/>
          <w:szCs w:val="28"/>
        </w:rPr>
      </w:pPr>
      <w:r w:rsidRPr="00481344">
        <w:rPr>
          <w:rFonts w:ascii="Times New Roman" w:hAnsi="Times New Roman"/>
          <w:sz w:val="28"/>
          <w:szCs w:val="28"/>
        </w:rPr>
        <w:t>2)</w:t>
      </w:r>
      <w:r w:rsidRPr="00481344">
        <w:rPr>
          <w:rFonts w:ascii="Times New Roman" w:hAnsi="Times New Roman"/>
          <w:sz w:val="28"/>
          <w:szCs w:val="28"/>
        </w:rPr>
        <w:tab/>
        <w:t>в качестве работника юридического лица на основании трудового договора с таким юридическим лицом.</w:t>
      </w:r>
    </w:p>
    <w:p w14:paraId="49C4DA7F" w14:textId="77777777" w:rsidR="000A54DA" w:rsidRPr="00481344" w:rsidRDefault="000A54DA" w:rsidP="000A54DA">
      <w:pPr>
        <w:tabs>
          <w:tab w:val="left" w:pos="993"/>
        </w:tabs>
        <w:spacing w:after="0" w:line="240" w:lineRule="auto"/>
        <w:ind w:firstLine="709"/>
        <w:jc w:val="both"/>
        <w:rPr>
          <w:rFonts w:ascii="Times New Roman" w:hAnsi="Times New Roman"/>
          <w:sz w:val="28"/>
          <w:szCs w:val="28"/>
        </w:rPr>
      </w:pPr>
      <w:r w:rsidRPr="00481344">
        <w:rPr>
          <w:rFonts w:ascii="Times New Roman" w:hAnsi="Times New Roman"/>
          <w:sz w:val="28"/>
          <w:szCs w:val="28"/>
        </w:rPr>
        <w:t>Согласно государственному реестру кадастровых инженеров (https://rosreestr.ru/wps/portal/ais_rki) по состоянию на 15.03.2019 г. на территории Российской Федерации 39430 кадастровых инженеров с действующими квалификационными аттестатами.</w:t>
      </w:r>
    </w:p>
    <w:p w14:paraId="1FFF219D"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 xml:space="preserve">Согласно статье 35 </w:t>
      </w:r>
      <w:r w:rsidRPr="00481344">
        <w:rPr>
          <w:rFonts w:ascii="Times New Roman" w:eastAsia="Times New Roman" w:hAnsi="Times New Roman"/>
          <w:sz w:val="28"/>
          <w:szCs w:val="28"/>
          <w:lang w:eastAsia="ru-RU"/>
        </w:rPr>
        <w:t>Федерального закона от 24.07.2007 № 221-ФЗ «О кадастровой деятельности»</w:t>
      </w:r>
      <w:r w:rsidRPr="00481344">
        <w:rPr>
          <w:rFonts w:ascii="Times New Roman" w:hAnsi="Times New Roman" w:cs="Times New Roman"/>
          <w:sz w:val="28"/>
          <w:szCs w:val="28"/>
        </w:rPr>
        <w:t xml:space="preserve"> кадастровые работы выполняются кадастровым инженером на основании заключаемого в соответствии с установленными требованиями договора подряда на выполнение кадастровых работ, если иное не установлено федеральным законом.</w:t>
      </w:r>
    </w:p>
    <w:p w14:paraId="19B957F5"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 xml:space="preserve">При этом согласно части 4 статьи 36 </w:t>
      </w:r>
      <w:r w:rsidRPr="00481344">
        <w:rPr>
          <w:rFonts w:ascii="Times New Roman" w:eastAsia="Times New Roman" w:hAnsi="Times New Roman"/>
          <w:sz w:val="28"/>
          <w:szCs w:val="28"/>
          <w:lang w:eastAsia="ru-RU"/>
        </w:rPr>
        <w:t xml:space="preserve">Федерального закона от 24.07.2007 № 221-ФЗ «О кадастровой деятельности» </w:t>
      </w:r>
      <w:r w:rsidRPr="00481344">
        <w:rPr>
          <w:rFonts w:ascii="Times New Roman" w:hAnsi="Times New Roman" w:cs="Times New Roman"/>
          <w:sz w:val="28"/>
          <w:szCs w:val="28"/>
        </w:rPr>
        <w:t xml:space="preserve">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Смета приобретает силу и становится частью договора подряда на выполнение кадастровых работ с момента подтверждения ее заказчиком кадастровых работ. </w:t>
      </w:r>
    </w:p>
    <w:p w14:paraId="76701643" w14:textId="5B65BA8B"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 xml:space="preserve">Вопросы, связанные с заключением договора подряда, ответственности сторон такого договора, являются предметом регулирования главы 37 </w:t>
      </w:r>
      <w:r w:rsidR="007D00B0" w:rsidRPr="00481344">
        <w:rPr>
          <w:rFonts w:ascii="Times New Roman" w:hAnsi="Times New Roman" w:cs="Times New Roman"/>
          <w:sz w:val="28"/>
          <w:szCs w:val="28"/>
        </w:rPr>
        <w:t>Гражданского кодекса Российской Федерации (далее – ГК РФ)</w:t>
      </w:r>
      <w:r w:rsidR="007D00B0">
        <w:rPr>
          <w:rFonts w:ascii="Times New Roman" w:hAnsi="Times New Roman" w:cs="Times New Roman"/>
          <w:sz w:val="28"/>
          <w:szCs w:val="28"/>
        </w:rPr>
        <w:t xml:space="preserve">. </w:t>
      </w:r>
      <w:r w:rsidRPr="00481344">
        <w:rPr>
          <w:rFonts w:ascii="Times New Roman" w:hAnsi="Times New Roman" w:cs="Times New Roman"/>
          <w:sz w:val="28"/>
          <w:szCs w:val="28"/>
        </w:rPr>
        <w:t>При этом статьей 723 ГК РФ предусмотрена ответственность подрядчика                               за ненадлежащее качество работы.</w:t>
      </w:r>
    </w:p>
    <w:p w14:paraId="4512F463" w14:textId="163C0984"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 xml:space="preserve">В соответствии со статьей 421 </w:t>
      </w:r>
      <w:r w:rsidR="007D00B0">
        <w:rPr>
          <w:rFonts w:ascii="Times New Roman" w:hAnsi="Times New Roman" w:cs="Times New Roman"/>
          <w:sz w:val="28"/>
          <w:szCs w:val="28"/>
        </w:rPr>
        <w:t>ГК РФ</w:t>
      </w:r>
      <w:r w:rsidRPr="00481344">
        <w:rPr>
          <w:rFonts w:ascii="Times New Roman" w:hAnsi="Times New Roman" w:cs="Times New Roman"/>
          <w:sz w:val="28"/>
          <w:szCs w:val="28"/>
        </w:rPr>
        <w:t xml:space="preserve"> граждане и юридические лица свободны в заключении договора, а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w:t>
      </w:r>
    </w:p>
    <w:p w14:paraId="0336511C" w14:textId="77777777" w:rsidR="000A54DA" w:rsidRPr="00481344" w:rsidRDefault="000A54DA" w:rsidP="000A54DA">
      <w:pPr>
        <w:spacing w:after="0" w:line="240" w:lineRule="auto"/>
        <w:ind w:firstLine="709"/>
        <w:jc w:val="both"/>
        <w:rPr>
          <w:rFonts w:ascii="Times New Roman" w:hAnsi="Times New Roman" w:cs="Times New Roman"/>
          <w:sz w:val="28"/>
          <w:szCs w:val="28"/>
        </w:rPr>
      </w:pPr>
      <w:r w:rsidRPr="00481344">
        <w:rPr>
          <w:rFonts w:ascii="Times New Roman" w:hAnsi="Times New Roman" w:cs="Times New Roman"/>
          <w:sz w:val="28"/>
          <w:szCs w:val="28"/>
        </w:rPr>
        <w:t>Учитывая изложенное, рынок кадастровых работ является конкурентным. Цена на кадастровые работы формируется рыночным механизмом.</w:t>
      </w:r>
    </w:p>
    <w:p w14:paraId="55D25C2A" w14:textId="77777777" w:rsidR="000A54DA" w:rsidRPr="00481344" w:rsidRDefault="000A54DA" w:rsidP="000A54DA">
      <w:pPr>
        <w:spacing w:after="0" w:line="240" w:lineRule="auto"/>
        <w:ind w:firstLine="709"/>
        <w:jc w:val="both"/>
        <w:rPr>
          <w:rFonts w:ascii="Times New Roman" w:eastAsia="Times New Roman" w:hAnsi="Times New Roman" w:cs="Times New Roman"/>
          <w:sz w:val="28"/>
          <w:szCs w:val="28"/>
          <w:lang w:eastAsia="ru-RU"/>
        </w:rPr>
      </w:pPr>
      <w:r w:rsidRPr="00481344">
        <w:rPr>
          <w:rFonts w:ascii="Times New Roman" w:eastAsia="Times New Roman" w:hAnsi="Times New Roman" w:cs="Times New Roman"/>
          <w:sz w:val="28"/>
          <w:szCs w:val="28"/>
          <w:lang w:eastAsia="ru-RU"/>
        </w:rPr>
        <w:t>Согласно закону о кадастровой деятельности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Таким образом, цены на кадастровые работы формируются на основе рыночных механизмов.</w:t>
      </w:r>
    </w:p>
    <w:p w14:paraId="02268B8F" w14:textId="77777777" w:rsidR="000A54DA" w:rsidRPr="00481344" w:rsidRDefault="000A54DA" w:rsidP="000A54DA">
      <w:pPr>
        <w:spacing w:after="0" w:line="240" w:lineRule="auto"/>
        <w:ind w:firstLine="709"/>
        <w:jc w:val="both"/>
        <w:rPr>
          <w:rFonts w:ascii="Times New Roman" w:eastAsia="Times New Roman" w:hAnsi="Times New Roman" w:cs="Times New Roman"/>
          <w:sz w:val="28"/>
          <w:szCs w:val="28"/>
          <w:lang w:eastAsia="ru-RU"/>
        </w:rPr>
      </w:pPr>
      <w:r w:rsidRPr="00481344">
        <w:rPr>
          <w:rFonts w:ascii="Times New Roman" w:eastAsia="Times New Roman" w:hAnsi="Times New Roman" w:cs="Times New Roman"/>
          <w:sz w:val="28"/>
          <w:szCs w:val="28"/>
          <w:lang w:eastAsia="ru-RU"/>
        </w:rPr>
        <w:t xml:space="preserve">При этом, предельные максимальные цены кадастровых работ в отношении земельных участков, предназначенных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могут устанавливаться субъектами Российской Федерации на период до 01.03.2020. </w:t>
      </w:r>
    </w:p>
    <w:p w14:paraId="1BC49E54" w14:textId="77777777" w:rsidR="000A54DA" w:rsidRPr="000A54DA" w:rsidRDefault="000A54DA" w:rsidP="000A54DA">
      <w:pPr>
        <w:rPr>
          <w:lang w:eastAsia="ru-RU"/>
        </w:rPr>
      </w:pPr>
    </w:p>
    <w:p w14:paraId="60FACAE4" w14:textId="77777777" w:rsidR="005E5F6F" w:rsidRPr="00963879" w:rsidRDefault="00883C8E" w:rsidP="00EF64DA">
      <w:pPr>
        <w:pStyle w:val="2"/>
      </w:pPr>
      <w:bookmarkStart w:id="1096" w:name="_Toc7447990"/>
      <w:r w:rsidRPr="00FD751F">
        <w:t>В сфере телекоммуникаций</w:t>
      </w:r>
      <w:bookmarkStart w:id="1097" w:name="_Toc1061907"/>
      <w:bookmarkStart w:id="1098" w:name="_Toc1062023"/>
      <w:bookmarkStart w:id="1099" w:name="_Toc1062145"/>
      <w:bookmarkStart w:id="1100" w:name="_Toc1062258"/>
      <w:bookmarkStart w:id="1101" w:name="_Toc2589754"/>
      <w:bookmarkStart w:id="1102" w:name="_Toc2589887"/>
      <w:bookmarkStart w:id="1103" w:name="_Toc2590026"/>
      <w:bookmarkStart w:id="1104" w:name="_Toc3393220"/>
      <w:bookmarkStart w:id="1105" w:name="_Toc3399229"/>
      <w:bookmarkStart w:id="1106" w:name="_Toc3399379"/>
      <w:bookmarkStart w:id="1107" w:name="_Toc3399524"/>
      <w:bookmarkStart w:id="1108" w:name="_Toc3399716"/>
      <w:bookmarkStart w:id="1109" w:name="_Toc3399860"/>
      <w:bookmarkStart w:id="1110" w:name="_Toc3400004"/>
      <w:bookmarkStart w:id="1111" w:name="_Toc3400323"/>
      <w:bookmarkStart w:id="1112" w:name="_Toc3400448"/>
      <w:bookmarkStart w:id="1113" w:name="_Toc3400568"/>
      <w:bookmarkStart w:id="1114" w:name="_Toc3557042"/>
      <w:bookmarkStart w:id="1115" w:name="_Toc3559247"/>
      <w:bookmarkStart w:id="1116" w:name="_Toc3914459"/>
      <w:bookmarkStart w:id="1117" w:name="_Toc3914581"/>
      <w:bookmarkStart w:id="1118" w:name="_Toc3915567"/>
      <w:bookmarkStart w:id="1119" w:name="_Toc3916174"/>
      <w:bookmarkStart w:id="1120" w:name="_Toc3917084"/>
      <w:bookmarkStart w:id="1121" w:name="_Toc3917734"/>
      <w:bookmarkStart w:id="1122" w:name="_Toc3988490"/>
      <w:bookmarkStart w:id="1123" w:name="_Toc3989499"/>
      <w:bookmarkStart w:id="1124" w:name="_Toc3990143"/>
      <w:bookmarkStart w:id="1125" w:name="_Toc3991719"/>
      <w:bookmarkStart w:id="1126" w:name="_Toc3992624"/>
      <w:bookmarkStart w:id="1127" w:name="_Toc4000391"/>
      <w:bookmarkStart w:id="1128" w:name="_Toc4426388"/>
      <w:bookmarkStart w:id="1129" w:name="_Toc4426517"/>
      <w:bookmarkStart w:id="1130" w:name="_Toc4426702"/>
      <w:bookmarkStart w:id="1131" w:name="_Toc4426831"/>
      <w:bookmarkStart w:id="1132" w:name="_Toc4428429"/>
      <w:bookmarkStart w:id="1133" w:name="_Toc4429860"/>
      <w:bookmarkStart w:id="1134" w:name="_Toc4429989"/>
      <w:bookmarkStart w:id="1135" w:name="_Toc4430115"/>
      <w:bookmarkStart w:id="1136" w:name="_Toc4430240"/>
      <w:bookmarkStart w:id="1137" w:name="_Toc4430363"/>
      <w:bookmarkStart w:id="1138" w:name="_Toc4430485"/>
      <w:bookmarkStart w:id="1139" w:name="_Toc4430606"/>
      <w:bookmarkStart w:id="1140" w:name="_Toc4431402"/>
      <w:bookmarkStart w:id="1141" w:name="_Toc4431521"/>
      <w:bookmarkStart w:id="1142" w:name="_Toc4431642"/>
      <w:bookmarkStart w:id="1143" w:name="_Toc4431763"/>
      <w:bookmarkStart w:id="1144" w:name="_Toc4433462"/>
      <w:bookmarkStart w:id="1145" w:name="_Toc4433724"/>
      <w:bookmarkStart w:id="1146" w:name="_Toc4433845"/>
      <w:bookmarkStart w:id="1147" w:name="_Toc4434393"/>
      <w:bookmarkStart w:id="1148" w:name="_Toc4436238"/>
      <w:bookmarkStart w:id="1149" w:name="_Toc4436360"/>
      <w:bookmarkStart w:id="1150" w:name="_Toc4436481"/>
      <w:bookmarkStart w:id="1151" w:name="_Toc4436749"/>
      <w:bookmarkStart w:id="1152" w:name="_Toc4436917"/>
      <w:bookmarkStart w:id="1153" w:name="_Toc4437143"/>
      <w:bookmarkStart w:id="1154" w:name="_Toc4437378"/>
      <w:bookmarkStart w:id="1155" w:name="_Toc4438140"/>
      <w:bookmarkStart w:id="1156" w:name="_Toc4438385"/>
      <w:bookmarkStart w:id="1157" w:name="_Toc4438504"/>
      <w:bookmarkStart w:id="1158" w:name="_Toc4438623"/>
      <w:bookmarkStart w:id="1159" w:name="_Toc4491376"/>
      <w:bookmarkStart w:id="1160" w:name="_Toc4492937"/>
      <w:bookmarkStart w:id="1161" w:name="_Toc4588568"/>
      <w:bookmarkStart w:id="1162" w:name="_Toc4592921"/>
      <w:bookmarkStart w:id="1163" w:name="_Toc4593046"/>
      <w:bookmarkStart w:id="1164" w:name="_Toc4596218"/>
      <w:bookmarkStart w:id="1165" w:name="_Toc4596334"/>
      <w:bookmarkStart w:id="1166" w:name="_Toc4601204"/>
      <w:bookmarkStart w:id="1167" w:name="_Toc4601491"/>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096"/>
    </w:p>
    <w:p w14:paraId="10467D86" w14:textId="77777777" w:rsidR="00305C53" w:rsidRDefault="00305C53" w:rsidP="00963879">
      <w:pPr>
        <w:spacing w:after="0" w:line="240" w:lineRule="auto"/>
        <w:ind w:firstLine="851"/>
        <w:jc w:val="both"/>
        <w:rPr>
          <w:rFonts w:ascii="Times New Roman" w:hAnsi="Times New Roman" w:cs="Times New Roman"/>
          <w:sz w:val="28"/>
          <w:szCs w:val="28"/>
        </w:rPr>
      </w:pPr>
    </w:p>
    <w:p w14:paraId="7B4A3858" w14:textId="77777777" w:rsidR="00963879" w:rsidRPr="00963879" w:rsidRDefault="00963879" w:rsidP="00C7552B">
      <w:pPr>
        <w:spacing w:after="0" w:line="240" w:lineRule="auto"/>
        <w:ind w:firstLine="709"/>
        <w:jc w:val="both"/>
        <w:rPr>
          <w:rFonts w:ascii="Times New Roman" w:hAnsi="Times New Roman" w:cs="Times New Roman"/>
          <w:sz w:val="28"/>
          <w:szCs w:val="28"/>
        </w:rPr>
      </w:pPr>
      <w:r w:rsidRPr="00963879">
        <w:rPr>
          <w:rFonts w:ascii="Times New Roman" w:hAnsi="Times New Roman" w:cs="Times New Roman"/>
          <w:sz w:val="28"/>
          <w:szCs w:val="28"/>
        </w:rPr>
        <w:t>Развитие рынка услуг связи осуществляется прежде всего за счет инновационного развития, внедрения новых технологий, предоставления цифровых современных услуг, направленных на удовлетворение потребностей современного общества. Современные услуги сейчас не определяются какой-либо одной технологией, напротив, различные технологические решения, предлагаемые рынку, обеспечивают удовлетворение самых разнообразных потребностей, основываясь не на технологии, но на предпочтениях и возможностях самих потребителей.</w:t>
      </w:r>
    </w:p>
    <w:p w14:paraId="696090C9" w14:textId="77777777" w:rsidR="00963879" w:rsidRPr="00963879" w:rsidRDefault="00963879" w:rsidP="00C7552B">
      <w:pPr>
        <w:spacing w:after="0" w:line="240" w:lineRule="auto"/>
        <w:ind w:firstLine="709"/>
        <w:jc w:val="both"/>
        <w:rPr>
          <w:rFonts w:ascii="Times New Roman" w:hAnsi="Times New Roman" w:cs="Times New Roman"/>
          <w:sz w:val="28"/>
          <w:szCs w:val="28"/>
        </w:rPr>
      </w:pPr>
      <w:r w:rsidRPr="00963879">
        <w:rPr>
          <w:rFonts w:ascii="Times New Roman" w:hAnsi="Times New Roman" w:cs="Times New Roman"/>
          <w:sz w:val="28"/>
          <w:szCs w:val="28"/>
        </w:rPr>
        <w:t>В такой ситуации применение регулирования по технологическому признаку, установление различных требований к участникам рынка в зависимости от того, какие технологии они используют, недопустимо.</w:t>
      </w:r>
    </w:p>
    <w:p w14:paraId="389F62EF" w14:textId="77777777" w:rsidR="00963879" w:rsidRPr="00963879" w:rsidRDefault="00963879" w:rsidP="00C7552B">
      <w:pPr>
        <w:spacing w:after="0" w:line="240" w:lineRule="auto"/>
        <w:ind w:firstLine="709"/>
        <w:jc w:val="both"/>
        <w:rPr>
          <w:rFonts w:ascii="Times New Roman" w:hAnsi="Times New Roman" w:cs="Times New Roman"/>
          <w:sz w:val="28"/>
          <w:szCs w:val="28"/>
        </w:rPr>
      </w:pPr>
      <w:r w:rsidRPr="00963879">
        <w:rPr>
          <w:rFonts w:ascii="Times New Roman" w:hAnsi="Times New Roman" w:cs="Times New Roman"/>
          <w:sz w:val="28"/>
          <w:szCs w:val="28"/>
        </w:rPr>
        <w:t>Основываясь на необходимости регулирования отрасли, способствующего развитию технологий и появлению инновационных услуг на рынке услуг связи, необходимо применять системный подход к регулированию в сфере электросвязи, основывающийся на принципах единства телекоммуникационного пространства, технологической нейтральности и сетевого нейтралитета.</w:t>
      </w:r>
    </w:p>
    <w:p w14:paraId="55A34496" w14:textId="77777777" w:rsidR="00963879" w:rsidRPr="00963879" w:rsidRDefault="00963879" w:rsidP="00C7552B">
      <w:pPr>
        <w:spacing w:after="0" w:line="240" w:lineRule="auto"/>
        <w:ind w:firstLine="709"/>
        <w:jc w:val="both"/>
        <w:rPr>
          <w:rFonts w:ascii="Times New Roman" w:hAnsi="Times New Roman" w:cs="Times New Roman"/>
          <w:sz w:val="28"/>
          <w:szCs w:val="28"/>
        </w:rPr>
      </w:pPr>
      <w:r w:rsidRPr="00963879">
        <w:rPr>
          <w:rFonts w:ascii="Times New Roman" w:hAnsi="Times New Roman" w:cs="Times New Roman"/>
          <w:sz w:val="28"/>
          <w:szCs w:val="28"/>
        </w:rPr>
        <w:t>В условиях развитой конкуренции на рынке конечных услуг связи конкурентная среда должна оказывать существенное влияние и на межоператорские отношения, формируя справедливые условия взаимодействия, в том числе и ценовые. Дисбаланс ценовых условий, завышенные цены на услуги по пропуску трафика, наличие технологически необоснованных требований по маршрутам пропуска трафика искажают конкуренцию на рынке конечных услуг связи. Вследствие установления завышенных цен на завершение вызова операторы могут «перекладывать» часть своих затрат на оператора – партнера, и, в конечном счете, на его абонентов, что существенно искажает конкуренцию на рынке услуг связи, а также формирует дополнительные барьеры для входа новых операторов связи.</w:t>
      </w:r>
    </w:p>
    <w:p w14:paraId="738B1F8E" w14:textId="77777777" w:rsidR="00963879" w:rsidRPr="00963879" w:rsidRDefault="00963879" w:rsidP="00C7552B">
      <w:pPr>
        <w:spacing w:after="0" w:line="240" w:lineRule="auto"/>
        <w:ind w:firstLine="709"/>
        <w:jc w:val="both"/>
        <w:rPr>
          <w:rFonts w:ascii="Times New Roman" w:hAnsi="Times New Roman" w:cs="Times New Roman"/>
          <w:sz w:val="28"/>
          <w:szCs w:val="28"/>
        </w:rPr>
      </w:pPr>
      <w:r w:rsidRPr="00963879">
        <w:rPr>
          <w:rFonts w:ascii="Times New Roman" w:hAnsi="Times New Roman" w:cs="Times New Roman"/>
          <w:sz w:val="28"/>
          <w:szCs w:val="28"/>
        </w:rPr>
        <w:t>Также, текущая ситуация не создает экономических стимулов к образованию единого телекоммуникационного пространства.</w:t>
      </w:r>
    </w:p>
    <w:p w14:paraId="3B468E76" w14:textId="77777777" w:rsidR="00963879" w:rsidRPr="00963879" w:rsidRDefault="00963879" w:rsidP="00C7552B">
      <w:pPr>
        <w:spacing w:after="0" w:line="240" w:lineRule="auto"/>
        <w:ind w:firstLine="709"/>
        <w:jc w:val="both"/>
        <w:rPr>
          <w:rFonts w:ascii="Times New Roman" w:hAnsi="Times New Roman" w:cs="Times New Roman"/>
          <w:sz w:val="28"/>
          <w:szCs w:val="28"/>
        </w:rPr>
      </w:pPr>
      <w:r w:rsidRPr="00963879">
        <w:rPr>
          <w:rFonts w:ascii="Times New Roman" w:hAnsi="Times New Roman" w:cs="Times New Roman"/>
          <w:sz w:val="28"/>
          <w:szCs w:val="28"/>
        </w:rPr>
        <w:t>Обеспечение конкуренции на рынке услуг по пропуску трафика является, таким образом, актуальной и важной задачей.</w:t>
      </w:r>
    </w:p>
    <w:p w14:paraId="1CD412B8"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Дорожной картой предусмотрено мероприятие по оптимизации порядка построения, присоединения и взаимодействия сетей электросвязи.</w:t>
      </w:r>
    </w:p>
    <w:p w14:paraId="0EDEEC1F"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подготовлены и направлены в Минкомсвязь России проекты нормативных правовых актов.</w:t>
      </w:r>
    </w:p>
    <w:p w14:paraId="19151B7C" w14:textId="0DFB713F"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Стратегией развития информационного общества в Российской Ф</w:t>
      </w:r>
      <w:r w:rsidR="00C7552B">
        <w:rPr>
          <w:rFonts w:ascii="Times New Roman" w:hAnsi="Times New Roman" w:cs="Times New Roman"/>
          <w:sz w:val="28"/>
          <w:szCs w:val="28"/>
        </w:rPr>
        <w:t>едерации на 2017-2030 годы, утвержденной</w:t>
      </w:r>
      <w:r w:rsidRPr="00963879">
        <w:rPr>
          <w:rFonts w:ascii="Times New Roman" w:hAnsi="Times New Roman" w:cs="Times New Roman"/>
          <w:sz w:val="28"/>
          <w:szCs w:val="28"/>
        </w:rPr>
        <w:t xml:space="preserve"> Указом Президента Р</w:t>
      </w:r>
      <w:r w:rsidR="00C7552B">
        <w:rPr>
          <w:rFonts w:ascii="Times New Roman" w:hAnsi="Times New Roman" w:cs="Times New Roman"/>
          <w:sz w:val="28"/>
          <w:szCs w:val="28"/>
        </w:rPr>
        <w:t xml:space="preserve">оссийской </w:t>
      </w:r>
      <w:r w:rsidRPr="00963879">
        <w:rPr>
          <w:rFonts w:ascii="Times New Roman" w:hAnsi="Times New Roman" w:cs="Times New Roman"/>
          <w:sz w:val="28"/>
          <w:szCs w:val="28"/>
        </w:rPr>
        <w:t>Ф</w:t>
      </w:r>
      <w:r w:rsidR="00C7552B">
        <w:rPr>
          <w:rFonts w:ascii="Times New Roman" w:hAnsi="Times New Roman" w:cs="Times New Roman"/>
          <w:sz w:val="28"/>
          <w:szCs w:val="28"/>
        </w:rPr>
        <w:t>едерации</w:t>
      </w:r>
      <w:r w:rsidRPr="00963879">
        <w:rPr>
          <w:rFonts w:ascii="Times New Roman" w:hAnsi="Times New Roman" w:cs="Times New Roman"/>
          <w:sz w:val="28"/>
          <w:szCs w:val="28"/>
        </w:rPr>
        <w:t xml:space="preserve"> от 09.05.2017 №</w:t>
      </w:r>
      <w:r w:rsidR="00C7552B">
        <w:rPr>
          <w:rFonts w:ascii="Times New Roman" w:hAnsi="Times New Roman" w:cs="Times New Roman"/>
          <w:sz w:val="28"/>
          <w:szCs w:val="28"/>
        </w:rPr>
        <w:t xml:space="preserve"> </w:t>
      </w:r>
      <w:r w:rsidRPr="00963879">
        <w:rPr>
          <w:rFonts w:ascii="Times New Roman" w:hAnsi="Times New Roman" w:cs="Times New Roman"/>
          <w:sz w:val="28"/>
          <w:szCs w:val="28"/>
        </w:rPr>
        <w:t>203 (далее – Стратегия), принцип обеспечения прав граждан на доступ к информации определен одним из основных принципов Стратегии. Стратегия устанавливает, что 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59CC1CB1"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Учитывая особенности территориально – географического расселения в Российской Федерации, вопросы совершенствования сетевого доступа, предоставление населению современных услуг связи остаются актуальными.</w:t>
      </w:r>
    </w:p>
    <w:p w14:paraId="0675986F"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Защита интересов пользователей услугами электросвязи в местностях, где конкуренция неразвита либо ее развитие экономически нецелесообразно, осуществляется путем предоставления универсальной услуги связи.</w:t>
      </w:r>
    </w:p>
    <w:p w14:paraId="68657D8A"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 xml:space="preserve">Развитие конкуренции на рынке телекоммуникаций определяется возможностью (целесообразностью) расширения географии своей деятельности операторами связи, включая строительство инфраструктуры электросвязи и внедрение новых технологий. </w:t>
      </w:r>
    </w:p>
    <w:p w14:paraId="188DFF36"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В случаях, когда строительство дублирующей инфраструктуры экономически нецелесообразно – как в случаях со строительством инфраструктуры в местностях со сложными топографическими условиями, труднодоступных, с низкой плотностью населения – развитие конкуренции с целью совершенствования доступа потребителей к современным услугам связи в условиях конкуренции возможно на основании реализации режима совместного использования инфраструктуры.</w:t>
      </w:r>
    </w:p>
    <w:p w14:paraId="1A84798F"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 xml:space="preserve">Как установлено Федеральным законом от 07.07.2003 № 126-ФЗ </w:t>
      </w:r>
      <w:r>
        <w:rPr>
          <w:rFonts w:ascii="Times New Roman" w:hAnsi="Times New Roman" w:cs="Times New Roman"/>
          <w:sz w:val="28"/>
          <w:szCs w:val="28"/>
        </w:rPr>
        <w:t xml:space="preserve">                     </w:t>
      </w:r>
      <w:r w:rsidRPr="00963879">
        <w:rPr>
          <w:rFonts w:ascii="Times New Roman" w:hAnsi="Times New Roman" w:cs="Times New Roman"/>
          <w:sz w:val="28"/>
          <w:szCs w:val="28"/>
        </w:rPr>
        <w:t>«О связи», оказание универсальных услуг связи осуществляется оператором универсального обслуживания. Обязанность по оказанию универсальных услуг связи на всей территории Российской Федерации возлагается Правительством Российской Федерации на оператора, занимающего существенное положение в сети связи общего пользования на территориях не менее чем две трети субъектов Российской Федерации. Оператор, удовлетворяющий установленным критериям, в Российской Федерации единственный – ПАО «Ростелеком».</w:t>
      </w:r>
    </w:p>
    <w:p w14:paraId="67382C9A"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При этом, финансовое обеспечение оказания универсальных услуг связи осуществляется из резерва универсального обслуживания.</w:t>
      </w:r>
    </w:p>
    <w:p w14:paraId="7113FEFD"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Источниками формирования резерва универсального обслуживания являются обязательные отчисления (неналоговые платежи) операторов сети связи общего пользования, пени за несвоевременную или неполную уплату обязательных отчислений (неналоговых платежей) операторами сети связи общего пользования, а также иные не запрещенные законом источники.</w:t>
      </w:r>
    </w:p>
    <w:p w14:paraId="272A1118"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Таким образом, фактически, все операторы сети связи общего пользования путем отчислений в резерв универсального обслуживания участвуют в создании инфраструктуры, используемой оператором универсального обслуживания при оказании универсальных услуг связи.</w:t>
      </w:r>
    </w:p>
    <w:p w14:paraId="13DE8FD3"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В связи с изложенным, для обеспечения развития конкуренции и проникновения современных услуг связи представляется целесообразным ввести требование о недискриминационном доступе операторов связи к инфраструктуре универсальных услуг электросвязи. Данный режим максимально эффективно обеспечивает баланс сторон – как владельца инфраструктуры, так и оператора связи – пользователя.</w:t>
      </w:r>
    </w:p>
    <w:p w14:paraId="5C405DC7"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Также, введение режима совместного использования инфраструктуры универсальных услуг связи позволяет повысить эффективность расходования резерва универсального обслуживания, так как обеспечит оператору универсального обслуживания дополнительный доход, который будет учитываться при определении величины возмещения из резерва.</w:t>
      </w:r>
    </w:p>
    <w:p w14:paraId="2C5A8A1D"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инфраструктуре универсальных услуг связи.</w:t>
      </w:r>
    </w:p>
    <w:p w14:paraId="287146D0" w14:textId="047AA011"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Основываясь на эффективности применения аналогичного механизма недискриминационного доступа к инфраструктуре для размещения сетей электросвязи в соответствии в частью 3 статьи 10</w:t>
      </w:r>
      <w:r w:rsidR="00C7552B">
        <w:rPr>
          <w:rFonts w:ascii="Times New Roman" w:hAnsi="Times New Roman" w:cs="Times New Roman"/>
          <w:sz w:val="28"/>
          <w:szCs w:val="28"/>
        </w:rPr>
        <w:t xml:space="preserve"> Закона о защите конкуренции </w:t>
      </w:r>
      <w:r w:rsidRPr="00963879">
        <w:rPr>
          <w:rFonts w:ascii="Times New Roman" w:hAnsi="Times New Roman" w:cs="Times New Roman"/>
          <w:sz w:val="28"/>
          <w:szCs w:val="28"/>
        </w:rPr>
        <w:t>ФАС России разработан и направлен в Минкомсвязи России проект федерального закона.</w:t>
      </w:r>
    </w:p>
    <w:p w14:paraId="1CB66FF5"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1DF1CE0B"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В настоящее время доступ к информации, доступ к сети Интернет является необходимым условием нормальной жизни, обеспечивает не только вовлеченность граждан в современное общество, но в условиях цифровизации государственного управления, цифровизации торговли становится насущной необходимостью. То есть, сейчас следует рассматривать доступ к сети Интернет как общественное благо, которое должно быть гарантировано гражданам.</w:t>
      </w:r>
    </w:p>
    <w:p w14:paraId="607A2CC6"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Рынок услуг связи по предоставлении доступа к сети Интернет является рынком с развитой конкуренцией, что обеспечивает доступной и высокое качество услуг связи.</w:t>
      </w:r>
    </w:p>
    <w:p w14:paraId="4A148B49"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Несмотря на очевидность и важность обеспечения доступа граждан к сети Интернет в конкурентных условиях, получение услуг связи у выбранного в многоквартирных домах часто осложнено, в том числе действиями управляющих организаций, ограничивающих доступ операторов связи для размещения оборудования связи в многоквартирный дом.</w:t>
      </w:r>
    </w:p>
    <w:p w14:paraId="113043D1" w14:textId="77777777" w:rsidR="00963879" w:rsidRPr="00963879"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03A669AB" w14:textId="77777777" w:rsidR="00963879" w:rsidRPr="00EF4041" w:rsidRDefault="00963879" w:rsidP="00C7552B">
      <w:pPr>
        <w:spacing w:after="0"/>
        <w:ind w:firstLine="709"/>
        <w:jc w:val="both"/>
        <w:rPr>
          <w:rFonts w:ascii="Times New Roman" w:hAnsi="Times New Roman" w:cs="Times New Roman"/>
          <w:sz w:val="28"/>
          <w:szCs w:val="28"/>
        </w:rPr>
      </w:pPr>
      <w:r w:rsidRPr="0096387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 и направлен в Минкомсвязь России проект федерального закона, направленного на создание недискриминационных равных условий доступа всех операторов связи к инфраструктуре многоквартирных домов, является балансом интересов и конституционных прав собственников, создает важные условия развития современ</w:t>
      </w:r>
      <w:r w:rsidR="00EF4041">
        <w:rPr>
          <w:rFonts w:ascii="Times New Roman" w:hAnsi="Times New Roman" w:cs="Times New Roman"/>
          <w:sz w:val="28"/>
          <w:szCs w:val="28"/>
        </w:rPr>
        <w:t>ной телекоммуникационной среды.</w:t>
      </w:r>
    </w:p>
    <w:p w14:paraId="22307634" w14:textId="77777777" w:rsidR="00EF4041" w:rsidRPr="00EF4041" w:rsidRDefault="00EF4041" w:rsidP="00EF4041">
      <w:pPr>
        <w:rPr>
          <w:lang w:eastAsia="ru-RU"/>
        </w:rPr>
      </w:pPr>
    </w:p>
    <w:p w14:paraId="38335B65" w14:textId="77777777" w:rsidR="005E5F6F" w:rsidRPr="00EF4041" w:rsidRDefault="00883C8E" w:rsidP="00EF64DA">
      <w:pPr>
        <w:pStyle w:val="2"/>
      </w:pPr>
      <w:bookmarkStart w:id="1168" w:name="_Toc7447991"/>
      <w:r w:rsidRPr="00FD751F">
        <w:t>В сфере информационных технологий</w:t>
      </w:r>
      <w:bookmarkStart w:id="1169" w:name="_Toc1061911"/>
      <w:bookmarkStart w:id="1170" w:name="_Toc1062027"/>
      <w:bookmarkStart w:id="1171" w:name="_Toc1062149"/>
      <w:bookmarkStart w:id="1172" w:name="_Toc1062262"/>
      <w:bookmarkStart w:id="1173" w:name="_Toc2589758"/>
      <w:bookmarkStart w:id="1174" w:name="_Toc2589891"/>
      <w:bookmarkStart w:id="1175" w:name="_Toc2590030"/>
      <w:bookmarkStart w:id="1176" w:name="_Toc3393224"/>
      <w:bookmarkStart w:id="1177" w:name="_Toc3399233"/>
      <w:bookmarkStart w:id="1178" w:name="_Toc3399383"/>
      <w:bookmarkStart w:id="1179" w:name="_Toc3399528"/>
      <w:bookmarkStart w:id="1180" w:name="_Toc3399720"/>
      <w:bookmarkStart w:id="1181" w:name="_Toc3399864"/>
      <w:bookmarkStart w:id="1182" w:name="_Toc3400008"/>
      <w:bookmarkStart w:id="1183" w:name="_Toc3400327"/>
      <w:bookmarkStart w:id="1184" w:name="_Toc3400452"/>
      <w:bookmarkStart w:id="1185" w:name="_Toc3400572"/>
      <w:bookmarkStart w:id="1186" w:name="_Toc3557046"/>
      <w:bookmarkStart w:id="1187" w:name="_Toc3559251"/>
      <w:bookmarkStart w:id="1188" w:name="_Toc3914463"/>
      <w:bookmarkStart w:id="1189" w:name="_Toc3914585"/>
      <w:bookmarkStart w:id="1190" w:name="_Toc3915571"/>
      <w:bookmarkStart w:id="1191" w:name="_Toc3916178"/>
      <w:bookmarkStart w:id="1192" w:name="_Toc3917088"/>
      <w:bookmarkStart w:id="1193" w:name="_Toc3917738"/>
      <w:bookmarkStart w:id="1194" w:name="_Toc3988494"/>
      <w:bookmarkStart w:id="1195" w:name="_Toc3989503"/>
      <w:bookmarkStart w:id="1196" w:name="_Toc3990147"/>
      <w:bookmarkStart w:id="1197" w:name="_Toc3991723"/>
      <w:bookmarkStart w:id="1198" w:name="_Toc3992628"/>
      <w:bookmarkStart w:id="1199" w:name="_Toc4000395"/>
      <w:bookmarkStart w:id="1200" w:name="_Toc4426392"/>
      <w:bookmarkStart w:id="1201" w:name="_Toc4426521"/>
      <w:bookmarkStart w:id="1202" w:name="_Toc4426706"/>
      <w:bookmarkStart w:id="1203" w:name="_Toc4426835"/>
      <w:bookmarkStart w:id="1204" w:name="_Toc4428433"/>
      <w:bookmarkStart w:id="1205" w:name="_Toc4429864"/>
      <w:bookmarkStart w:id="1206" w:name="_Toc4429993"/>
      <w:bookmarkStart w:id="1207" w:name="_Toc4430119"/>
      <w:bookmarkStart w:id="1208" w:name="_Toc4430244"/>
      <w:bookmarkStart w:id="1209" w:name="_Toc4430367"/>
      <w:bookmarkStart w:id="1210" w:name="_Toc4430489"/>
      <w:bookmarkStart w:id="1211" w:name="_Toc4430610"/>
      <w:bookmarkStart w:id="1212" w:name="_Toc4431406"/>
      <w:bookmarkStart w:id="1213" w:name="_Toc4431525"/>
      <w:bookmarkStart w:id="1214" w:name="_Toc4431646"/>
      <w:bookmarkStart w:id="1215" w:name="_Toc4431767"/>
      <w:bookmarkStart w:id="1216" w:name="_Toc4433466"/>
      <w:bookmarkStart w:id="1217" w:name="_Toc4433728"/>
      <w:bookmarkStart w:id="1218" w:name="_Toc4433849"/>
      <w:bookmarkStart w:id="1219" w:name="_Toc4434397"/>
      <w:bookmarkStart w:id="1220" w:name="_Toc4436242"/>
      <w:bookmarkStart w:id="1221" w:name="_Toc4436364"/>
      <w:bookmarkStart w:id="1222" w:name="_Toc4436485"/>
      <w:bookmarkStart w:id="1223" w:name="_Toc4436753"/>
      <w:bookmarkStart w:id="1224" w:name="_Toc4436921"/>
      <w:bookmarkStart w:id="1225" w:name="_Toc4437147"/>
      <w:bookmarkStart w:id="1226" w:name="_Toc4437382"/>
      <w:bookmarkStart w:id="1227" w:name="_Toc4438144"/>
      <w:bookmarkStart w:id="1228" w:name="_Toc4438389"/>
      <w:bookmarkStart w:id="1229" w:name="_Toc4438508"/>
      <w:bookmarkStart w:id="1230" w:name="_Toc4438627"/>
      <w:bookmarkStart w:id="1231" w:name="_Toc4491380"/>
      <w:bookmarkStart w:id="1232" w:name="_Toc4492941"/>
      <w:bookmarkStart w:id="1233" w:name="_Toc4588572"/>
      <w:bookmarkStart w:id="1234" w:name="_Toc4592925"/>
      <w:bookmarkStart w:id="1235" w:name="_Toc4593050"/>
      <w:bookmarkStart w:id="1236" w:name="_Toc4596222"/>
      <w:bookmarkStart w:id="1237" w:name="_Toc4596338"/>
      <w:bookmarkStart w:id="1238" w:name="_Toc4601208"/>
      <w:bookmarkStart w:id="1239" w:name="_Toc4601495"/>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168"/>
    </w:p>
    <w:p w14:paraId="2545F581" w14:textId="77777777" w:rsidR="00305C53" w:rsidRDefault="00305C53" w:rsidP="00EF4041">
      <w:pPr>
        <w:spacing w:after="0" w:line="240" w:lineRule="auto"/>
        <w:ind w:firstLine="851"/>
        <w:jc w:val="both"/>
        <w:rPr>
          <w:rFonts w:ascii="Times New Roman" w:hAnsi="Times New Roman" w:cs="Times New Roman"/>
          <w:sz w:val="28"/>
          <w:szCs w:val="28"/>
        </w:rPr>
      </w:pPr>
    </w:p>
    <w:p w14:paraId="07E8181B" w14:textId="77777777" w:rsidR="00EF4041" w:rsidRPr="00EF4041" w:rsidRDefault="00EF4041" w:rsidP="00C7552B">
      <w:pPr>
        <w:spacing w:after="0" w:line="240" w:lineRule="auto"/>
        <w:ind w:firstLine="709"/>
        <w:jc w:val="both"/>
        <w:rPr>
          <w:rFonts w:ascii="Times New Roman" w:hAnsi="Times New Roman" w:cs="Times New Roman"/>
          <w:sz w:val="28"/>
          <w:szCs w:val="28"/>
        </w:rPr>
      </w:pPr>
      <w:r w:rsidRPr="00EF4041">
        <w:rPr>
          <w:rFonts w:ascii="Times New Roman" w:hAnsi="Times New Roman" w:cs="Times New Roman"/>
          <w:sz w:val="28"/>
          <w:szCs w:val="28"/>
        </w:rPr>
        <w:t>В настоящее время активно проходят процессы формирования цифровой экономики, реформирующие условия оборота продукции на товарных и финансовых рынках во всех сферах деятельности, изменяя и создавая потребительские предпочтения. Рыночная сила формируется также за счет использования больших данных. Базовую инфраструктуру цифровой экономики создают рынки телекоммуникаций и информационных технологий, что наряду с социальной значимостью определяет актуальность развития указанных отраслей в конкурентных условиях.</w:t>
      </w:r>
    </w:p>
    <w:p w14:paraId="6DF166CC" w14:textId="77777777" w:rsidR="00EF4041" w:rsidRPr="00EF4041" w:rsidRDefault="00EF4041" w:rsidP="00C7552B">
      <w:pPr>
        <w:spacing w:after="0" w:line="240" w:lineRule="auto"/>
        <w:ind w:firstLine="709"/>
        <w:jc w:val="both"/>
        <w:rPr>
          <w:rFonts w:ascii="Times New Roman" w:hAnsi="Times New Roman" w:cs="Times New Roman"/>
          <w:sz w:val="28"/>
          <w:szCs w:val="28"/>
        </w:rPr>
      </w:pPr>
      <w:r w:rsidRPr="00EF4041">
        <w:rPr>
          <w:rFonts w:ascii="Times New Roman" w:hAnsi="Times New Roman" w:cs="Times New Roman"/>
          <w:sz w:val="28"/>
          <w:szCs w:val="28"/>
        </w:rPr>
        <w:t>Для создания условий эффективного функционирования цифровой экономики в Российской Федерации необходим системный подход для организации деятельности участников рынка (российских и иностранных) в недискриминационных условиях, создание благоприятных условий для развития российских участников на базе единого электронного пространства доверия.</w:t>
      </w:r>
    </w:p>
    <w:p w14:paraId="610199A4" w14:textId="77777777" w:rsidR="00EF4041" w:rsidRPr="00EF4041" w:rsidRDefault="00EF4041" w:rsidP="00C7552B">
      <w:pPr>
        <w:spacing w:after="0" w:line="240" w:lineRule="auto"/>
        <w:ind w:firstLine="709"/>
        <w:jc w:val="both"/>
        <w:rPr>
          <w:rFonts w:ascii="Times New Roman" w:hAnsi="Times New Roman" w:cs="Times New Roman"/>
          <w:sz w:val="28"/>
          <w:szCs w:val="28"/>
        </w:rPr>
      </w:pPr>
      <w:r w:rsidRPr="00EF4041">
        <w:rPr>
          <w:rFonts w:ascii="Times New Roman" w:hAnsi="Times New Roman" w:cs="Times New Roman"/>
          <w:sz w:val="28"/>
          <w:szCs w:val="28"/>
        </w:rPr>
        <w:t>В настоящее время отсутствует обязанность для операторов электронного документооборота по обмену электронными документами по взаимоувязанной сети электросвязи. Вследствие отсутствия такой обязанности крупные организации «замыкают» круг потребителей у нескольких операторов ЭДО, что существенно ограничивает конкуренцию.</w:t>
      </w:r>
    </w:p>
    <w:p w14:paraId="15701A66" w14:textId="77777777" w:rsidR="00EF4041" w:rsidRPr="00EF4041" w:rsidRDefault="00EF4041" w:rsidP="00C7552B">
      <w:pPr>
        <w:spacing w:after="0" w:line="240" w:lineRule="auto"/>
        <w:ind w:firstLine="709"/>
        <w:jc w:val="both"/>
        <w:rPr>
          <w:rFonts w:ascii="Times New Roman" w:hAnsi="Times New Roman" w:cs="Times New Roman"/>
          <w:sz w:val="28"/>
          <w:szCs w:val="28"/>
        </w:rPr>
      </w:pPr>
      <w:r w:rsidRPr="00EF4041">
        <w:rPr>
          <w:rFonts w:ascii="Times New Roman" w:hAnsi="Times New Roman" w:cs="Times New Roman"/>
          <w:sz w:val="28"/>
          <w:szCs w:val="28"/>
        </w:rPr>
        <w:t>С целью создания равных условий для организаций, обеспечивающих обмен электронными документами, среда обмена электронными документами должна быть единой и взаимоувязанной – то есть документы должны передаваться не в локальных замкнутых сетях, а по всей взаимоувязанной сети связи Российской Федерации.</w:t>
      </w:r>
    </w:p>
    <w:p w14:paraId="08B16B2A" w14:textId="77777777" w:rsidR="00EF4041" w:rsidRPr="00EF4041" w:rsidRDefault="00EF4041" w:rsidP="00C7552B">
      <w:pPr>
        <w:spacing w:after="0" w:line="240" w:lineRule="auto"/>
        <w:ind w:firstLine="709"/>
        <w:jc w:val="both"/>
        <w:rPr>
          <w:rFonts w:ascii="Times New Roman" w:hAnsi="Times New Roman" w:cs="Times New Roman"/>
          <w:sz w:val="28"/>
          <w:szCs w:val="28"/>
        </w:rPr>
      </w:pPr>
      <w:r w:rsidRPr="00EF4041">
        <w:rPr>
          <w:rFonts w:ascii="Times New Roman" w:hAnsi="Times New Roman" w:cs="Times New Roman"/>
          <w:sz w:val="28"/>
          <w:szCs w:val="28"/>
        </w:rPr>
        <w:t>Дорожной картой предусмотрено мероприятие по установлению обязанности для операторов электронного документооборота осуществлять межоператорский обмен документами как путем организации непосредственного взаимодействия, так и через другого оператора (других операторов) электронного документооборота.</w:t>
      </w:r>
    </w:p>
    <w:p w14:paraId="1968CEE7" w14:textId="77777777" w:rsidR="00EF4041" w:rsidRPr="00EF4041" w:rsidRDefault="00EF4041" w:rsidP="00C7552B">
      <w:pPr>
        <w:spacing w:after="0" w:line="240" w:lineRule="auto"/>
        <w:ind w:firstLine="709"/>
        <w:jc w:val="both"/>
        <w:rPr>
          <w:rFonts w:ascii="Times New Roman" w:hAnsi="Times New Roman" w:cs="Times New Roman"/>
          <w:sz w:val="28"/>
          <w:szCs w:val="28"/>
        </w:rPr>
      </w:pPr>
      <w:r w:rsidRPr="00EF4041">
        <w:rPr>
          <w:rFonts w:ascii="Times New Roman" w:hAnsi="Times New Roman" w:cs="Times New Roman"/>
          <w:sz w:val="28"/>
          <w:szCs w:val="28"/>
        </w:rPr>
        <w:t>Совместно с рабочей группой, созданной при Экспертном совете ФАС России по информационным технологиям, ФАС России разработаны и направлены в Минфин России предложения реализации указанного мероприятия.</w:t>
      </w:r>
    </w:p>
    <w:p w14:paraId="64D62093" w14:textId="77777777" w:rsidR="00EF4041" w:rsidRPr="00EF4041" w:rsidRDefault="00EF4041" w:rsidP="00C7552B">
      <w:pPr>
        <w:spacing w:after="0" w:line="240" w:lineRule="auto"/>
        <w:ind w:firstLine="709"/>
        <w:jc w:val="both"/>
        <w:rPr>
          <w:rFonts w:ascii="Times New Roman" w:hAnsi="Times New Roman" w:cs="Times New Roman"/>
          <w:sz w:val="28"/>
          <w:szCs w:val="28"/>
        </w:rPr>
      </w:pPr>
      <w:r w:rsidRPr="00EF4041">
        <w:rPr>
          <w:rFonts w:ascii="Times New Roman" w:hAnsi="Times New Roman" w:cs="Times New Roman"/>
          <w:sz w:val="28"/>
          <w:szCs w:val="28"/>
        </w:rPr>
        <w:t>Вместе с очевидной полезностью цифровизации экономики важно вовремя реагировать на угрозы, связанные с глобализацией рынков – по мере цифровизации глобальной экономики возрастает прямое влияние транснациональных корпораций на конкуренцию на российских рынках.</w:t>
      </w:r>
    </w:p>
    <w:p w14:paraId="05AC8B23"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Влияние глобальных игроков является существенным, в том числе потому, что им принадлежат базовые платформы. Владельцы базовых платформ могут использовать (и используют) недобросовестные практики по ограничению доступа к цифровой инфраструктуре конкурентов и предоставления преимуществ собственным прикладным разработкам.</w:t>
      </w:r>
    </w:p>
    <w:p w14:paraId="47626820"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Так, например, стремятся действовать владельцы операционных систем, на базе которых функционируют пользовательские устройства – смартфоны, компьютеры, и подобные практики неоднократно являлись предметом разбирательств антимонопольных регуляторов как в Российской Федерации, так и в других странах, в том числе в ЕС.</w:t>
      </w:r>
    </w:p>
    <w:p w14:paraId="2541661F"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Предустановка мобильных приложений является самым эффективным каналом «доведения» приложений до конечного потребителя, о чем заявляют сами владельцы операционных систем.</w:t>
      </w:r>
    </w:p>
    <w:p w14:paraId="58F78C93"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Устройства обращаются на глобальном рынке, и российским разработчикам, которые не распространяют свои продукты по всему миру, практически невозможно «зайти» в канал предустановки и конкурировать с владельцами мировых операционных систем. Сами пользователи, в силу сформировавшихся привычек, не склонны устанавливать приложения, сходные по функционалу с предустановленными на устройства приложения, самостоятельно – подавляющее большинство пользуются теми приложениями, которые были предустановлены производителями мобильных устройств на стадии производства мобильных устройств.</w:t>
      </w:r>
    </w:p>
    <w:p w14:paraId="2BD8D106"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Учитывая, что базовые платформы (операционные системы) принадлежат крупнейшим иностранным участникам (Google, Apple, Microsoft), они получили конкурентное преимущество для продвижения собственных приложений и сервисов, используя практику связывания продуктов и различные модели монетизации, крайне привлекательные для производителей мобильных устройств (бесплатное предоставление).</w:t>
      </w:r>
    </w:p>
    <w:p w14:paraId="37D7A30E"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Путем реализации такой политики в короткое время эти компании «приучили» пользователей к использованию именно предустановленных собственных приложений, что обеспечило для них существенную рыночную власть на рынках прикладного программного обеспечения.</w:t>
      </w:r>
    </w:p>
    <w:p w14:paraId="66971BB0"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Так, в ходе рассмотрения дела в отношении Google было установлено, что антиконкурентные практики Google направлены исключительно на продвижение собственных продуктов по самому выгодному для распространения каналу (предустановка приложений) и одновременно на препятствование продвижению продуктов конкурентов.</w:t>
      </w:r>
    </w:p>
    <w:p w14:paraId="4E0E1357"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При формировании условий для обеспечения развития конкуренции в Российской Федерации необходимо учитывать, что крупнейшие иностранные компании обладают существенной рыночной властью на глобальном рынке. Учитывая их существенные рыночные позиции в мире, российским компаниям невозможно конкурировать с ними на равных условиях и предлагать производителям абонентских устройств более привлекательные условия, нежели мировые гиганты.</w:t>
      </w:r>
    </w:p>
    <w:p w14:paraId="0D08D9BC"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С учетом изложенного, единственной возможностью для получения недискриминационного доступа на рынки приложений для российских производителей является установление требований по предустановке российских приложений на стадии производства на разумных условиях.</w:t>
      </w:r>
    </w:p>
    <w:p w14:paraId="2795AEB5"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Практикой, обеспечивающей существенные рыночные преимущества, является предустановка и постоянное функционирование приложений, которые пользователь не может удалить, если он не заинтересован в их использовании.</w:t>
      </w:r>
    </w:p>
    <w:p w14:paraId="345C0C14"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Такие рыночные преимущества в том числе обеспечиваются благодаря сбору и накоплению данных о поведении потребителей.</w:t>
      </w:r>
    </w:p>
    <w:p w14:paraId="4A482931"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В связи с изложенным, важно для обеспечения информационной безопасности обеспечить возможность полной удаляемости прикладных приложений без ущерба для функциональности самого устройства и базового программного обеспечения, то есть с сохранением системных приложений.</w:t>
      </w:r>
    </w:p>
    <w:p w14:paraId="4D61130B"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Дорожной картой предусмотрена реализация мероприятий, направленных на создание условий для развития конкуренции на рынке приложений для пользовательского оборудования:</w:t>
      </w:r>
    </w:p>
    <w:p w14:paraId="20246976"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 Установление требований к пользовательскому (абонентскому) оборудованию связи по наличию предустановленных отечественных программных продуктов (сервисных приложений) аналогичной функциональности, включая программные продукты, использующие криптографические средства защиты информации;</w:t>
      </w:r>
    </w:p>
    <w:p w14:paraId="2FEE8CE4" w14:textId="77777777"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 Установление требований к пользовательскому оборудованию связи по обеспечению возможности полной удаляемости предустановленных программ для ЭВМ (приложений), за исключением сервисных, обеспечивающих функционирование оборудования.</w:t>
      </w:r>
    </w:p>
    <w:p w14:paraId="6D9FC311" w14:textId="6FF0577B" w:rsidR="00EF4041" w:rsidRPr="00EF4041" w:rsidRDefault="00EF4041" w:rsidP="00C7552B">
      <w:pPr>
        <w:spacing w:after="0"/>
        <w:ind w:firstLine="709"/>
        <w:jc w:val="both"/>
        <w:rPr>
          <w:rFonts w:ascii="Times New Roman" w:hAnsi="Times New Roman" w:cs="Times New Roman"/>
          <w:sz w:val="28"/>
          <w:szCs w:val="28"/>
        </w:rPr>
      </w:pPr>
      <w:r w:rsidRPr="00EF4041">
        <w:rPr>
          <w:rFonts w:ascii="Times New Roman" w:hAnsi="Times New Roman" w:cs="Times New Roman"/>
          <w:sz w:val="28"/>
          <w:szCs w:val="28"/>
        </w:rPr>
        <w:t>С учетом мнения членов рабочей группы, созданной при Экспертном совете ФАС России по информа</w:t>
      </w:r>
      <w:r w:rsidR="00C7552B">
        <w:rPr>
          <w:rFonts w:ascii="Times New Roman" w:hAnsi="Times New Roman" w:cs="Times New Roman"/>
          <w:sz w:val="28"/>
          <w:szCs w:val="28"/>
        </w:rPr>
        <w:t xml:space="preserve">ционным технологиям, ФАС России </w:t>
      </w:r>
      <w:r w:rsidRPr="00EF4041">
        <w:rPr>
          <w:rFonts w:ascii="Times New Roman" w:hAnsi="Times New Roman" w:cs="Times New Roman"/>
          <w:sz w:val="28"/>
          <w:szCs w:val="28"/>
        </w:rPr>
        <w:t>разработан и направлен в Минкомсвязь России проект федерального закона.</w:t>
      </w:r>
    </w:p>
    <w:p w14:paraId="250B64E1" w14:textId="77777777" w:rsidR="00EF4041" w:rsidRDefault="00EF4041" w:rsidP="00C7552B">
      <w:pPr>
        <w:ind w:firstLine="709"/>
        <w:jc w:val="both"/>
        <w:rPr>
          <w:lang w:eastAsia="ru-RU"/>
        </w:rPr>
      </w:pPr>
    </w:p>
    <w:p w14:paraId="4129CF66" w14:textId="77777777" w:rsidR="005E5F6F" w:rsidRPr="00EF4041" w:rsidRDefault="00883C8E" w:rsidP="00EF64DA">
      <w:pPr>
        <w:pStyle w:val="2"/>
      </w:pPr>
      <w:bookmarkStart w:id="1240" w:name="_Toc7447992"/>
      <w:r w:rsidRPr="00FD751F">
        <w:t>В сфере жилищно-коммунального хозяйства, в том числе теплоснабжения, водоснабжения, водоотведения</w:t>
      </w:r>
      <w:bookmarkStart w:id="1241" w:name="_Toc1061915"/>
      <w:bookmarkStart w:id="1242" w:name="_Toc1062031"/>
      <w:bookmarkStart w:id="1243" w:name="_Toc1062153"/>
      <w:bookmarkStart w:id="1244" w:name="_Toc1062266"/>
      <w:bookmarkStart w:id="1245" w:name="_Toc2589762"/>
      <w:bookmarkStart w:id="1246" w:name="_Toc2589895"/>
      <w:bookmarkStart w:id="1247" w:name="_Toc2590034"/>
      <w:bookmarkStart w:id="1248" w:name="_Toc3393228"/>
      <w:bookmarkStart w:id="1249" w:name="_Toc3399237"/>
      <w:bookmarkStart w:id="1250" w:name="_Toc3399387"/>
      <w:bookmarkStart w:id="1251" w:name="_Toc3399532"/>
      <w:bookmarkStart w:id="1252" w:name="_Toc3399724"/>
      <w:bookmarkStart w:id="1253" w:name="_Toc3399868"/>
      <w:bookmarkStart w:id="1254" w:name="_Toc3400012"/>
      <w:bookmarkStart w:id="1255" w:name="_Toc3400331"/>
      <w:bookmarkStart w:id="1256" w:name="_Toc3400456"/>
      <w:bookmarkStart w:id="1257" w:name="_Toc3400576"/>
      <w:bookmarkStart w:id="1258" w:name="_Toc3557050"/>
      <w:bookmarkStart w:id="1259" w:name="_Toc3559255"/>
      <w:bookmarkStart w:id="1260" w:name="_Toc3914467"/>
      <w:bookmarkStart w:id="1261" w:name="_Toc3914589"/>
      <w:bookmarkStart w:id="1262" w:name="_Toc3915575"/>
      <w:bookmarkStart w:id="1263" w:name="_Toc3916182"/>
      <w:bookmarkStart w:id="1264" w:name="_Toc3917092"/>
      <w:bookmarkStart w:id="1265" w:name="_Toc3917742"/>
      <w:bookmarkStart w:id="1266" w:name="_Toc3988498"/>
      <w:bookmarkStart w:id="1267" w:name="_Toc3989507"/>
      <w:bookmarkStart w:id="1268" w:name="_Toc3990151"/>
      <w:bookmarkStart w:id="1269" w:name="_Toc3991727"/>
      <w:bookmarkStart w:id="1270" w:name="_Toc3992632"/>
      <w:bookmarkStart w:id="1271" w:name="_Toc4000399"/>
      <w:bookmarkStart w:id="1272" w:name="_Toc4426396"/>
      <w:bookmarkStart w:id="1273" w:name="_Toc4426525"/>
      <w:bookmarkStart w:id="1274" w:name="_Toc4426710"/>
      <w:bookmarkStart w:id="1275" w:name="_Toc4426839"/>
      <w:bookmarkStart w:id="1276" w:name="_Toc4428437"/>
      <w:bookmarkStart w:id="1277" w:name="_Toc4429868"/>
      <w:bookmarkStart w:id="1278" w:name="_Toc4429997"/>
      <w:bookmarkStart w:id="1279" w:name="_Toc4430123"/>
      <w:bookmarkStart w:id="1280" w:name="_Toc4430248"/>
      <w:bookmarkStart w:id="1281" w:name="_Toc4430371"/>
      <w:bookmarkStart w:id="1282" w:name="_Toc4430493"/>
      <w:bookmarkStart w:id="1283" w:name="_Toc4430614"/>
      <w:bookmarkStart w:id="1284" w:name="_Toc4431410"/>
      <w:bookmarkStart w:id="1285" w:name="_Toc4431529"/>
      <w:bookmarkStart w:id="1286" w:name="_Toc4431650"/>
      <w:bookmarkStart w:id="1287" w:name="_Toc4431771"/>
      <w:bookmarkStart w:id="1288" w:name="_Toc4433470"/>
      <w:bookmarkStart w:id="1289" w:name="_Toc4433732"/>
      <w:bookmarkStart w:id="1290" w:name="_Toc4433853"/>
      <w:bookmarkStart w:id="1291" w:name="_Toc4434401"/>
      <w:bookmarkStart w:id="1292" w:name="_Toc4436246"/>
      <w:bookmarkStart w:id="1293" w:name="_Toc4436368"/>
      <w:bookmarkStart w:id="1294" w:name="_Toc4436489"/>
      <w:bookmarkStart w:id="1295" w:name="_Toc4436757"/>
      <w:bookmarkStart w:id="1296" w:name="_Toc4436925"/>
      <w:bookmarkStart w:id="1297" w:name="_Toc4437151"/>
      <w:bookmarkStart w:id="1298" w:name="_Toc4437386"/>
      <w:bookmarkStart w:id="1299" w:name="_Toc4438148"/>
      <w:bookmarkStart w:id="1300" w:name="_Toc4438393"/>
      <w:bookmarkStart w:id="1301" w:name="_Toc4438512"/>
      <w:bookmarkStart w:id="1302" w:name="_Toc4438631"/>
      <w:bookmarkStart w:id="1303" w:name="_Toc4491384"/>
      <w:bookmarkStart w:id="1304" w:name="_Toc4492945"/>
      <w:bookmarkStart w:id="1305" w:name="_Toc4588576"/>
      <w:bookmarkStart w:id="1306" w:name="_Toc4592929"/>
      <w:bookmarkStart w:id="1307" w:name="_Toc4593054"/>
      <w:bookmarkStart w:id="1308" w:name="_Toc4596226"/>
      <w:bookmarkStart w:id="1309" w:name="_Toc4596342"/>
      <w:bookmarkStart w:id="1310" w:name="_Toc4601212"/>
      <w:bookmarkStart w:id="1311" w:name="_Toc4601499"/>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240"/>
    </w:p>
    <w:p w14:paraId="4BBA7B10" w14:textId="77777777" w:rsidR="008D5FCD" w:rsidRPr="008D5FCD" w:rsidRDefault="008D5FCD"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312" w:name="_Toc7189789"/>
      <w:bookmarkStart w:id="1313" w:name="_Toc7190019"/>
      <w:bookmarkStart w:id="1314" w:name="_Toc7190373"/>
      <w:bookmarkStart w:id="1315" w:name="_Toc7190822"/>
      <w:bookmarkStart w:id="1316" w:name="_Toc7191563"/>
      <w:bookmarkStart w:id="1317" w:name="_Toc7447188"/>
      <w:bookmarkStart w:id="1318" w:name="_Toc7447993"/>
      <w:bookmarkEnd w:id="1312"/>
      <w:bookmarkEnd w:id="1313"/>
      <w:bookmarkEnd w:id="1314"/>
      <w:bookmarkEnd w:id="1315"/>
      <w:bookmarkEnd w:id="1316"/>
      <w:bookmarkEnd w:id="1317"/>
      <w:bookmarkEnd w:id="1318"/>
    </w:p>
    <w:p w14:paraId="1C851459" w14:textId="77777777" w:rsidR="008D5FCD" w:rsidRPr="008D5FCD" w:rsidRDefault="008D5FCD"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319" w:name="_Toc7189790"/>
      <w:bookmarkStart w:id="1320" w:name="_Toc7190020"/>
      <w:bookmarkStart w:id="1321" w:name="_Toc7190374"/>
      <w:bookmarkStart w:id="1322" w:name="_Toc7190823"/>
      <w:bookmarkStart w:id="1323" w:name="_Toc7191564"/>
      <w:bookmarkStart w:id="1324" w:name="_Toc7447189"/>
      <w:bookmarkStart w:id="1325" w:name="_Toc7447994"/>
      <w:bookmarkEnd w:id="1319"/>
      <w:bookmarkEnd w:id="1320"/>
      <w:bookmarkEnd w:id="1321"/>
      <w:bookmarkEnd w:id="1322"/>
      <w:bookmarkEnd w:id="1323"/>
      <w:bookmarkEnd w:id="1324"/>
      <w:bookmarkEnd w:id="1325"/>
    </w:p>
    <w:p w14:paraId="637F559E" w14:textId="77777777" w:rsidR="008D5FCD" w:rsidRPr="008D5FCD" w:rsidRDefault="008D5FCD"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326" w:name="_Toc7189791"/>
      <w:bookmarkStart w:id="1327" w:name="_Toc7190021"/>
      <w:bookmarkStart w:id="1328" w:name="_Toc7190375"/>
      <w:bookmarkStart w:id="1329" w:name="_Toc7190824"/>
      <w:bookmarkStart w:id="1330" w:name="_Toc7191565"/>
      <w:bookmarkStart w:id="1331" w:name="_Toc7447190"/>
      <w:bookmarkStart w:id="1332" w:name="_Toc7447995"/>
      <w:bookmarkEnd w:id="1326"/>
      <w:bookmarkEnd w:id="1327"/>
      <w:bookmarkEnd w:id="1328"/>
      <w:bookmarkEnd w:id="1329"/>
      <w:bookmarkEnd w:id="1330"/>
      <w:bookmarkEnd w:id="1331"/>
      <w:bookmarkEnd w:id="1332"/>
    </w:p>
    <w:p w14:paraId="56B0A733" w14:textId="77777777" w:rsidR="00CB662C" w:rsidRPr="00CB662C" w:rsidRDefault="00CB662C" w:rsidP="00CB662C">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333" w:name="_Toc7191566"/>
      <w:bookmarkStart w:id="1334" w:name="_Toc7447191"/>
      <w:bookmarkStart w:id="1335" w:name="_Toc7447996"/>
      <w:bookmarkEnd w:id="1333"/>
      <w:bookmarkEnd w:id="1334"/>
      <w:bookmarkEnd w:id="1335"/>
    </w:p>
    <w:p w14:paraId="1055F74D" w14:textId="77777777" w:rsidR="00CB662C" w:rsidRPr="00CB662C" w:rsidRDefault="00CB662C" w:rsidP="00CB662C">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336" w:name="_Toc7191567"/>
      <w:bookmarkStart w:id="1337" w:name="_Toc7447192"/>
      <w:bookmarkStart w:id="1338" w:name="_Toc7447997"/>
      <w:bookmarkEnd w:id="1336"/>
      <w:bookmarkEnd w:id="1337"/>
      <w:bookmarkEnd w:id="1338"/>
    </w:p>
    <w:p w14:paraId="1E0B1A04" w14:textId="77777777" w:rsidR="00CB662C" w:rsidRPr="00CB662C" w:rsidRDefault="00CB662C" w:rsidP="00CB662C">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339" w:name="_Toc7191568"/>
      <w:bookmarkStart w:id="1340" w:name="_Toc7447193"/>
      <w:bookmarkStart w:id="1341" w:name="_Toc7447998"/>
      <w:bookmarkEnd w:id="1339"/>
      <w:bookmarkEnd w:id="1340"/>
      <w:bookmarkEnd w:id="1341"/>
    </w:p>
    <w:p w14:paraId="7C0656B7" w14:textId="4CFCEC89" w:rsidR="001471DB" w:rsidRDefault="00883C8E" w:rsidP="00CB662C">
      <w:pPr>
        <w:pStyle w:val="3"/>
      </w:pPr>
      <w:bookmarkStart w:id="1342" w:name="_Toc7447999"/>
      <w:r w:rsidRPr="00450E4D">
        <w:t>Состояние конкуренции: тенденции и проблемы</w:t>
      </w:r>
      <w:bookmarkStart w:id="1343" w:name="_Toc6834350"/>
      <w:bookmarkStart w:id="1344" w:name="_Toc6834637"/>
      <w:bookmarkStart w:id="1345" w:name="_Toc6834840"/>
      <w:bookmarkEnd w:id="1343"/>
      <w:bookmarkEnd w:id="1344"/>
      <w:bookmarkEnd w:id="1345"/>
      <w:bookmarkEnd w:id="1342"/>
    </w:p>
    <w:p w14:paraId="1A39A271"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мониторинга ситуации, связанной с деятельностью организаций, осуществляющих услуги в сфере теплоснабжения, оценкой рыночной концентрации на данном рынке, а также с целью определения барьеров входа на указанный товарный рынок и проблем, влияющих на развитие конкуренции на рассматриваемом рынке, а также предупреждения и выявления нарушения норм антимонопольного законодательства, в 201</w:t>
      </w:r>
      <w:r w:rsidRPr="00FD7E53">
        <w:rPr>
          <w:rFonts w:ascii="Times New Roman" w:hAnsi="Times New Roman" w:cs="Times New Roman"/>
          <w:sz w:val="28"/>
          <w:szCs w:val="28"/>
        </w:rPr>
        <w:t>9</w:t>
      </w:r>
      <w:r>
        <w:rPr>
          <w:rFonts w:ascii="Times New Roman" w:hAnsi="Times New Roman" w:cs="Times New Roman"/>
          <w:sz w:val="28"/>
          <w:szCs w:val="28"/>
        </w:rPr>
        <w:t xml:space="preserve"> году ФАС России совместно с территориальными органами был проведен анализ состояния конкуренции на рынке услуг теплоснабжения конечного потребителя в 2018 году.</w:t>
      </w:r>
    </w:p>
    <w:p w14:paraId="30199B8C" w14:textId="77777777" w:rsidR="001471DB" w:rsidRPr="00B85071"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B85071">
        <w:rPr>
          <w:rFonts w:ascii="Times New Roman" w:hAnsi="Times New Roman" w:cs="Times New Roman"/>
          <w:sz w:val="28"/>
          <w:szCs w:val="28"/>
        </w:rPr>
        <w:t xml:space="preserve">Всего проанализирована деятельность </w:t>
      </w:r>
      <w:r>
        <w:rPr>
          <w:rFonts w:ascii="Times New Roman" w:hAnsi="Times New Roman" w:cs="Times New Roman"/>
          <w:sz w:val="28"/>
          <w:szCs w:val="28"/>
        </w:rPr>
        <w:t>более 2000</w:t>
      </w:r>
      <w:r w:rsidRPr="00B85071">
        <w:rPr>
          <w:rFonts w:ascii="Times New Roman" w:hAnsi="Times New Roman" w:cs="Times New Roman"/>
          <w:sz w:val="28"/>
          <w:szCs w:val="28"/>
        </w:rPr>
        <w:t xml:space="preserve"> хозяйствующих субъектов, оказывающих услуги по теплоснабжению на территории 85 субъектов Российской Федерации в </w:t>
      </w:r>
      <w:r>
        <w:rPr>
          <w:rFonts w:ascii="Times New Roman" w:hAnsi="Times New Roman" w:cs="Times New Roman"/>
          <w:sz w:val="28"/>
          <w:szCs w:val="28"/>
        </w:rPr>
        <w:t>2018</w:t>
      </w:r>
      <w:r w:rsidRPr="00B85071">
        <w:rPr>
          <w:rFonts w:ascii="Times New Roman" w:hAnsi="Times New Roman" w:cs="Times New Roman"/>
          <w:sz w:val="28"/>
          <w:szCs w:val="28"/>
        </w:rPr>
        <w:t xml:space="preserve"> году</w:t>
      </w:r>
      <w:r>
        <w:rPr>
          <w:rFonts w:ascii="Times New Roman" w:hAnsi="Times New Roman" w:cs="Times New Roman"/>
          <w:sz w:val="28"/>
          <w:szCs w:val="28"/>
        </w:rPr>
        <w:t>.</w:t>
      </w:r>
    </w:p>
    <w:p w14:paraId="6171232C"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проведенного анализа позволяют сделать следующие выводы.</w:t>
      </w:r>
    </w:p>
    <w:p w14:paraId="4C5F3C9B" w14:textId="77777777" w:rsidR="001471DB" w:rsidRPr="00FD7E53" w:rsidRDefault="001471DB" w:rsidP="00F10EC0">
      <w:pPr>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 xml:space="preserve">Как правило, на рынке действует хозяйствующий субъект, оказывающий услуги с использованием централизованной системы потребителям, составляющим 80% - 90% от общего числа потребителей в муниципальном образовании. Остальные участники рынка услуг по теплоснабжению являются, как правило, промышленными предприятиями, основную часть произведённой на собственной котельной тепловой энергии используют на нужды предприятия, остальную часть - реализуют либо перепродавцу, либо конечным потребителям, находящимся вблизи предприятия. </w:t>
      </w:r>
    </w:p>
    <w:p w14:paraId="7CA4D62E"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Вход на рынок услуг по теплоснабжению затруднен необходимостью вложения значительных первоначальных инвестиций. Участие в обороте тепловой энергии возможно только в случае наличия собственных (арендованных) сетей и (или) генерирующих мощностей</w:t>
      </w:r>
    </w:p>
    <w:p w14:paraId="5AB994AD"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ED60FD">
        <w:rPr>
          <w:rFonts w:ascii="Times New Roman" w:hAnsi="Times New Roman" w:cs="Times New Roman"/>
          <w:sz w:val="28"/>
          <w:szCs w:val="28"/>
        </w:rPr>
        <w:t>Среди исследованных административных центров с численностью населения более 100 тысяч</w:t>
      </w:r>
      <w:r>
        <w:rPr>
          <w:rFonts w:ascii="Times New Roman" w:hAnsi="Times New Roman" w:cs="Times New Roman"/>
          <w:sz w:val="28"/>
          <w:szCs w:val="28"/>
        </w:rPr>
        <w:t xml:space="preserve"> жителей установлено, что в 2018</w:t>
      </w:r>
      <w:r w:rsidRPr="00ED60FD">
        <w:rPr>
          <w:rFonts w:ascii="Times New Roman" w:hAnsi="Times New Roman" w:cs="Times New Roman"/>
          <w:sz w:val="28"/>
          <w:szCs w:val="28"/>
        </w:rPr>
        <w:t xml:space="preserve"> году, рынки характеризовались высоким уровнем концентрации и неразвитой конкуренцией</w:t>
      </w:r>
      <w:r>
        <w:rPr>
          <w:rFonts w:ascii="Times New Roman" w:hAnsi="Times New Roman" w:cs="Times New Roman"/>
          <w:sz w:val="28"/>
          <w:szCs w:val="28"/>
        </w:rPr>
        <w:t>, что обусловлено технологическими особенностями процесса теплоснабжения, так как предоставление услуги теплоснабжения возможно только в рамках присоединенных тепловых сетей.</w:t>
      </w:r>
    </w:p>
    <w:p w14:paraId="1C899554"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Изложенное подтверждается рассчитанными показателями индекса Герфиндаля-Гиршмана, а также показателями уровня коэффициента рыночной концентрации (</w:t>
      </w:r>
      <w:r>
        <w:rPr>
          <w:rFonts w:ascii="Times New Roman" w:hAnsi="Times New Roman" w:cs="Times New Roman"/>
          <w:sz w:val="28"/>
          <w:szCs w:val="28"/>
          <w:lang w:val="en-US"/>
        </w:rPr>
        <w:t>CR</w:t>
      </w:r>
      <w:r w:rsidRPr="003F0EA8">
        <w:rPr>
          <w:rFonts w:ascii="Times New Roman" w:hAnsi="Times New Roman" w:cs="Times New Roman"/>
          <w:sz w:val="28"/>
          <w:szCs w:val="28"/>
        </w:rPr>
        <w:t>)</w:t>
      </w:r>
      <w:r>
        <w:rPr>
          <w:rFonts w:ascii="Times New Roman" w:hAnsi="Times New Roman" w:cs="Times New Roman"/>
          <w:sz w:val="28"/>
          <w:szCs w:val="28"/>
        </w:rPr>
        <w:t>.</w:t>
      </w:r>
    </w:p>
    <w:p w14:paraId="6532813E" w14:textId="00AB48E4" w:rsidR="001471DB" w:rsidRDefault="001471DB" w:rsidP="00F10EC0">
      <w:pPr>
        <w:spacing w:after="0" w:line="240" w:lineRule="auto"/>
        <w:ind w:firstLine="709"/>
        <w:jc w:val="both"/>
        <w:rPr>
          <w:rFonts w:ascii="Times New Roman" w:hAnsi="Times New Roman" w:cs="Times New Roman"/>
          <w:sz w:val="28"/>
          <w:szCs w:val="28"/>
        </w:rPr>
      </w:pPr>
      <w:r w:rsidRPr="00695976">
        <w:rPr>
          <w:rFonts w:ascii="Times New Roman" w:hAnsi="Times New Roman" w:cs="Times New Roman"/>
          <w:sz w:val="28"/>
          <w:szCs w:val="28"/>
        </w:rPr>
        <w:t>Исключение составляют субъекты Р</w:t>
      </w:r>
      <w:r w:rsidR="00CF61D6">
        <w:rPr>
          <w:rFonts w:ascii="Times New Roman" w:hAnsi="Times New Roman" w:cs="Times New Roman"/>
          <w:sz w:val="28"/>
          <w:szCs w:val="28"/>
        </w:rPr>
        <w:t xml:space="preserve">оссийской </w:t>
      </w:r>
      <w:r w:rsidRPr="00695976">
        <w:rPr>
          <w:rFonts w:ascii="Times New Roman" w:hAnsi="Times New Roman" w:cs="Times New Roman"/>
          <w:sz w:val="28"/>
          <w:szCs w:val="28"/>
        </w:rPr>
        <w:t>Ф</w:t>
      </w:r>
      <w:r w:rsidR="00CF61D6">
        <w:rPr>
          <w:rFonts w:ascii="Times New Roman" w:hAnsi="Times New Roman" w:cs="Times New Roman"/>
          <w:sz w:val="28"/>
          <w:szCs w:val="28"/>
        </w:rPr>
        <w:t>едерации</w:t>
      </w:r>
      <w:r w:rsidRPr="00695976">
        <w:rPr>
          <w:rFonts w:ascii="Times New Roman" w:hAnsi="Times New Roman" w:cs="Times New Roman"/>
          <w:sz w:val="28"/>
          <w:szCs w:val="28"/>
        </w:rPr>
        <w:t xml:space="preserve"> – Пермский край, Ханты-Мансийский АО-Югра, в границах муниципальных образований которых есть рынки с умеренным показателем концентрации. </w:t>
      </w:r>
    </w:p>
    <w:p w14:paraId="3C9AEDD5" w14:textId="77777777" w:rsidR="001471DB" w:rsidRPr="001471DB" w:rsidRDefault="001471DB" w:rsidP="001471DB"/>
    <w:p w14:paraId="1EA2CEC9" w14:textId="77777777" w:rsidR="001471DB" w:rsidRPr="00F10EC0" w:rsidRDefault="00883C8E" w:rsidP="00DA3F05">
      <w:pPr>
        <w:pStyle w:val="3"/>
      </w:pPr>
      <w:bookmarkStart w:id="1346" w:name="_Toc7448000"/>
      <w:r w:rsidRPr="00450E4D">
        <w:t>Достигнутые результаты развития конкуренции и предложения по развитию конкуренции</w:t>
      </w:r>
      <w:bookmarkStart w:id="1347" w:name="_Toc6834351"/>
      <w:bookmarkStart w:id="1348" w:name="_Toc6834638"/>
      <w:bookmarkStart w:id="1349" w:name="_Toc6834841"/>
      <w:bookmarkEnd w:id="1347"/>
      <w:bookmarkEnd w:id="1348"/>
      <w:bookmarkEnd w:id="1349"/>
      <w:bookmarkEnd w:id="1346"/>
    </w:p>
    <w:p w14:paraId="66E3B6A8" w14:textId="77777777" w:rsidR="001471DB" w:rsidRPr="007014DB" w:rsidRDefault="001471DB" w:rsidP="00BE213D">
      <w:pPr>
        <w:pStyle w:val="ab"/>
        <w:numPr>
          <w:ilvl w:val="0"/>
          <w:numId w:val="9"/>
        </w:numPr>
        <w:tabs>
          <w:tab w:val="left" w:pos="851"/>
          <w:tab w:val="left" w:pos="993"/>
        </w:tabs>
        <w:spacing w:before="0" w:beforeAutospacing="0" w:after="0"/>
        <w:ind w:left="0" w:firstLine="709"/>
        <w:jc w:val="both"/>
        <w:rPr>
          <w:sz w:val="28"/>
          <w:szCs w:val="28"/>
        </w:rPr>
      </w:pPr>
      <w:r w:rsidRPr="007014DB">
        <w:rPr>
          <w:sz w:val="28"/>
          <w:szCs w:val="28"/>
        </w:rPr>
        <w:t>Одним из ожидаемых результатов развития конкуренции в сфере жилищно-коммунального хозяйства, в том числе теплоснабжения, водоснабжения, водоотведения, при реализации Национального плана является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48E3295E"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теплоснабжение - до 20 процентов в 2019 году и до 10 процентов</w:t>
      </w:r>
      <w:r w:rsidRPr="007014DB">
        <w:rPr>
          <w:sz w:val="28"/>
          <w:szCs w:val="28"/>
        </w:rPr>
        <w:br/>
        <w:t>в 2020 году;</w:t>
      </w:r>
    </w:p>
    <w:p w14:paraId="4DB6C8EC"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водоснабжение - до 20 процентов в 2019 году и до 10 процентов</w:t>
      </w:r>
      <w:r w:rsidRPr="007014DB">
        <w:rPr>
          <w:sz w:val="28"/>
          <w:szCs w:val="28"/>
        </w:rPr>
        <w:br/>
        <w:t>в 2020 году;</w:t>
      </w:r>
    </w:p>
    <w:p w14:paraId="7846F46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водоотведение - до 20 процентов в 2019 году и до 10 процентов</w:t>
      </w:r>
      <w:r w:rsidRPr="007014DB">
        <w:rPr>
          <w:sz w:val="28"/>
          <w:szCs w:val="28"/>
        </w:rPr>
        <w:br/>
        <w:t>в 2020 году.</w:t>
      </w:r>
    </w:p>
    <w:p w14:paraId="551AF81F" w14:textId="5359B616" w:rsidR="001471DB" w:rsidRPr="007014DB" w:rsidRDefault="001471DB" w:rsidP="00F10EC0">
      <w:pPr>
        <w:pStyle w:val="ab"/>
        <w:spacing w:before="0" w:beforeAutospacing="0" w:after="0"/>
        <w:ind w:firstLine="709"/>
        <w:jc w:val="both"/>
        <w:rPr>
          <w:sz w:val="28"/>
          <w:szCs w:val="28"/>
        </w:rPr>
      </w:pPr>
      <w:r w:rsidRPr="007014DB">
        <w:rPr>
          <w:sz w:val="28"/>
          <w:szCs w:val="28"/>
        </w:rPr>
        <w:t>В целях оказания содействия субъектам Российской Федерации</w:t>
      </w:r>
      <w:r w:rsidRPr="007014DB">
        <w:rPr>
          <w:sz w:val="28"/>
          <w:szCs w:val="28"/>
        </w:rPr>
        <w:br/>
        <w:t xml:space="preserve">в реализации Национального плана в сфере </w:t>
      </w:r>
      <w:r w:rsidR="00E65568">
        <w:rPr>
          <w:sz w:val="28"/>
          <w:szCs w:val="28"/>
        </w:rPr>
        <w:t>жилищно-коммунального хозяйства</w:t>
      </w:r>
      <w:r w:rsidRPr="007014DB">
        <w:rPr>
          <w:sz w:val="28"/>
          <w:szCs w:val="28"/>
        </w:rPr>
        <w:t xml:space="preserve"> ФАС России разработала методические рекомендации по расчету показателей, характеризующих долю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(далее — методические рекомендации).</w:t>
      </w:r>
    </w:p>
    <w:p w14:paraId="06AD9BE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На основании данных, представленных органами исполнительной власти субъектов Российской Федерации в области регулирования тарифов по системе ФГИС ЕИАС ФАС России в рамках проведения мониторинга информации о принятых органами исполнительной власти субъектов Российской Федерации решениях об установленных тарифах на 2016-2018 годы в сферах теплоснабжения, водоснабжения, водоотведения и очистки сточных вод, ФАС России рассчитала показатели, отражающие доли полезного отпуска тепловой энергии (мощности), воды, принятых сточных</w:t>
      </w:r>
      <w:r w:rsidRPr="007014DB">
        <w:rPr>
          <w:sz w:val="28"/>
          <w:szCs w:val="28"/>
        </w:rPr>
        <w:br/>
        <w:t>вод государственными и муниципальными унитарными предприятиями</w:t>
      </w:r>
      <w:r w:rsidRPr="007014DB">
        <w:rPr>
          <w:sz w:val="28"/>
          <w:szCs w:val="28"/>
        </w:rPr>
        <w:br/>
        <w:t xml:space="preserve">(далее - показатели) за 2016-2018 гг, а также первое полугодие 2018 года, рассчитанные в соответствии с методическим рекомендациями. </w:t>
      </w:r>
    </w:p>
    <w:p w14:paraId="4D4289D7" w14:textId="33AB5B49" w:rsidR="001471DB" w:rsidRPr="007014DB" w:rsidRDefault="001471DB" w:rsidP="00F10EC0">
      <w:pPr>
        <w:pStyle w:val="ab"/>
        <w:spacing w:before="0" w:beforeAutospacing="0" w:after="0"/>
        <w:ind w:firstLine="709"/>
        <w:jc w:val="both"/>
        <w:rPr>
          <w:sz w:val="28"/>
          <w:szCs w:val="28"/>
        </w:rPr>
      </w:pPr>
      <w:r w:rsidRPr="007014DB">
        <w:rPr>
          <w:sz w:val="28"/>
          <w:szCs w:val="28"/>
        </w:rPr>
        <w:t>Письмом от 12.07.2018  ФАС России направила в регионы методические рекомендации и рассчитанные в соответствии с ними показатели для использования в работе по достижению ожидаемых результатов в сфере жилищно-коммунального хозяйства при реализации Национального плана.</w:t>
      </w:r>
    </w:p>
    <w:p w14:paraId="0CAEDB4B" w14:textId="77777777" w:rsidR="001471DB" w:rsidRPr="007014DB" w:rsidRDefault="001471DB" w:rsidP="00F10EC0">
      <w:pPr>
        <w:pStyle w:val="ab"/>
        <w:tabs>
          <w:tab w:val="left" w:pos="9356"/>
        </w:tabs>
        <w:spacing w:before="0" w:beforeAutospacing="0" w:after="0"/>
        <w:ind w:firstLine="709"/>
        <w:jc w:val="both"/>
        <w:rPr>
          <w:sz w:val="28"/>
          <w:szCs w:val="28"/>
        </w:rPr>
      </w:pPr>
      <w:r w:rsidRPr="007014DB">
        <w:rPr>
          <w:sz w:val="28"/>
          <w:szCs w:val="28"/>
        </w:rPr>
        <w:t>Кроме того, ФАС России актуализируют и размещает данные по динамике достижения регионами показателей развития конкуренции в сфере теплоснабжения, холодного водоснабжения, водоотведения на официальном сайте Национального плана развития конкуренции (http://plan.fas.gov.ru/).</w:t>
      </w:r>
    </w:p>
    <w:p w14:paraId="2B1F8C16" w14:textId="716387E3" w:rsidR="001471DB" w:rsidRPr="007014DB" w:rsidRDefault="001471DB" w:rsidP="00BE213D">
      <w:pPr>
        <w:pStyle w:val="ab"/>
        <w:numPr>
          <w:ilvl w:val="0"/>
          <w:numId w:val="9"/>
        </w:numPr>
        <w:spacing w:before="0" w:beforeAutospacing="0" w:after="0"/>
        <w:ind w:left="0" w:firstLine="709"/>
        <w:jc w:val="both"/>
        <w:rPr>
          <w:sz w:val="28"/>
          <w:szCs w:val="28"/>
        </w:rPr>
      </w:pPr>
      <w:r w:rsidRPr="007014DB">
        <w:rPr>
          <w:sz w:val="28"/>
          <w:szCs w:val="28"/>
        </w:rPr>
        <w:t xml:space="preserve">Во исполнение пункта 13 подраздела </w:t>
      </w:r>
      <w:r w:rsidRPr="007014DB">
        <w:rPr>
          <w:sz w:val="28"/>
          <w:szCs w:val="28"/>
          <w:lang w:val="en-US"/>
        </w:rPr>
        <w:t>VIII</w:t>
      </w:r>
      <w:r w:rsidRPr="007014DB">
        <w:rPr>
          <w:sz w:val="28"/>
          <w:szCs w:val="28"/>
        </w:rPr>
        <w:t xml:space="preserve"> раздела </w:t>
      </w:r>
      <w:r w:rsidRPr="007014DB">
        <w:rPr>
          <w:sz w:val="28"/>
          <w:szCs w:val="28"/>
          <w:lang w:val="en-US"/>
        </w:rPr>
        <w:t>II</w:t>
      </w:r>
      <w:r w:rsidRPr="007014DB">
        <w:rPr>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в 2018 году ФАС России разработан проект федерального закона «О внесении изменений в отдельные законодательные акты Российской Федерации» (</w:t>
      </w:r>
      <w:r w:rsidRPr="007014DB">
        <w:rPr>
          <w:bCs/>
          <w:sz w:val="28"/>
          <w:szCs w:val="28"/>
        </w:rPr>
        <w:t xml:space="preserve">в части </w:t>
      </w:r>
      <w:r w:rsidRPr="007014DB">
        <w:rPr>
          <w:sz w:val="28"/>
          <w:szCs w:val="28"/>
        </w:rPr>
        <w:t xml:space="preserve">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w:t>
      </w:r>
      <w:r w:rsidR="00E65568">
        <w:rPr>
          <w:sz w:val="28"/>
          <w:szCs w:val="28"/>
        </w:rPr>
        <w:t>Закона о защите конкуренции</w:t>
      </w:r>
      <w:r w:rsidRPr="007014DB">
        <w:rPr>
          <w:sz w:val="28"/>
          <w:szCs w:val="28"/>
        </w:rPr>
        <w:t xml:space="preserve"> (владение, пользование) и Федеральным законом «О приватизации государственного и муниципального имущества» (распоряжение)) (далее – законопроект).</w:t>
      </w:r>
    </w:p>
    <w:p w14:paraId="744DF88A" w14:textId="1E3EF379"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Законопроектом предполагается внесение изменений в Федеральный закон от 08.02.1998 № 14-ФЗ «Об обществах с о</w:t>
      </w:r>
      <w:r w:rsidR="00F10EC0">
        <w:rPr>
          <w:rFonts w:ascii="Times New Roman" w:hAnsi="Times New Roman" w:cs="Times New Roman"/>
          <w:sz w:val="28"/>
          <w:szCs w:val="28"/>
        </w:rPr>
        <w:t xml:space="preserve">граниченной ответственностью», </w:t>
      </w:r>
      <w:r w:rsidRPr="007014DB">
        <w:rPr>
          <w:rFonts w:ascii="Times New Roman" w:hAnsi="Times New Roman" w:cs="Times New Roman"/>
          <w:sz w:val="28"/>
          <w:szCs w:val="28"/>
        </w:rPr>
        <w:t xml:space="preserve">Федеральный закон от 26.12.1995 № 208-ФЗ «Об акционерных обществах», </w:t>
      </w:r>
      <w:r w:rsidR="00E65568">
        <w:rPr>
          <w:rFonts w:ascii="Times New Roman" w:hAnsi="Times New Roman" w:cs="Times New Roman"/>
          <w:sz w:val="28"/>
          <w:szCs w:val="28"/>
        </w:rPr>
        <w:t>Закон о защите конкуренции</w:t>
      </w:r>
      <w:r w:rsidRPr="007014DB">
        <w:rPr>
          <w:rFonts w:ascii="Times New Roman" w:hAnsi="Times New Roman" w:cs="Times New Roman"/>
          <w:sz w:val="28"/>
          <w:szCs w:val="28"/>
        </w:rPr>
        <w:t xml:space="preserve"> и Федеральный закон от 21.12.2001 № 178-ФЗ «О приватизации государственного и муниципального имущества» в части распространения на хозяйственные </w:t>
      </w:r>
      <w:r w:rsidRPr="007014DB">
        <w:rPr>
          <w:rFonts w:ascii="Times New Roman" w:hAnsi="Times New Roman" w:cs="Times New Roman"/>
          <w:bCs/>
          <w:sz w:val="28"/>
          <w:szCs w:val="28"/>
        </w:rPr>
        <w:t xml:space="preserve">общества </w:t>
      </w:r>
      <w:r w:rsidRPr="007014DB">
        <w:rPr>
          <w:rFonts w:ascii="Times New Roman" w:hAnsi="Times New Roman" w:cs="Times New Roman"/>
          <w:sz w:val="28"/>
          <w:szCs w:val="28"/>
        </w:rPr>
        <w:t>с государственным и (или) муниципальным участием</w:t>
      </w:r>
      <w:r w:rsidRPr="007014DB">
        <w:rPr>
          <w:rFonts w:ascii="Times New Roman" w:hAnsi="Times New Roman" w:cs="Times New Roman"/>
          <w:bCs/>
          <w:sz w:val="28"/>
          <w:szCs w:val="28"/>
        </w:rPr>
        <w:t xml:space="preserve"> </w:t>
      </w:r>
      <w:r w:rsidRPr="007014DB">
        <w:rPr>
          <w:rFonts w:ascii="Times New Roman" w:hAnsi="Times New Roman" w:cs="Times New Roman"/>
          <w:sz w:val="28"/>
          <w:szCs w:val="28"/>
        </w:rPr>
        <w:t xml:space="preserve"> конкурентных принципов, изложенных </w:t>
      </w:r>
      <w:r w:rsidRPr="00E65568">
        <w:rPr>
          <w:rFonts w:ascii="Times New Roman" w:hAnsi="Times New Roman" w:cs="Times New Roman"/>
          <w:sz w:val="28"/>
          <w:szCs w:val="28"/>
        </w:rPr>
        <w:t xml:space="preserve">в статье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xml:space="preserve"> и Федеральном законе от 21.12.2001 № 178-ФЗ «О приватизации государственного и муниципального имущества», при передаче прав на объекты теплоснабжения, централизованные системы горячего водоснабжения, холодного водоснабжения и (или) водоотведения, отдельные объекты таких систем, находящихся в собственности указанных хозяйственных обществ.</w:t>
      </w:r>
    </w:p>
    <w:p w14:paraId="6E44AA16" w14:textId="2A57EBF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Положения законопроекта устанавливают обязанность обществ с ограниченной ответственностью и акционерных обществ, </w:t>
      </w:r>
      <w:r w:rsidRPr="007014DB">
        <w:rPr>
          <w:rFonts w:ascii="Times New Roman" w:hAnsi="Times New Roman" w:cs="Times New Roman"/>
          <w:bCs/>
          <w:sz w:val="28"/>
          <w:szCs w:val="28"/>
        </w:rPr>
        <w:t xml:space="preserve">в которых субъект Российской Федерации и (или) муниципальное образование владеют более чем 50 процентами (1/2) долей уставного капитала общества либо более чем 50 процентами голосующих акций общества, </w:t>
      </w:r>
      <w:r w:rsidRPr="007014DB">
        <w:rPr>
          <w:rFonts w:ascii="Times New Roman" w:hAnsi="Times New Roman" w:cs="Times New Roman"/>
          <w:sz w:val="28"/>
          <w:szCs w:val="28"/>
        </w:rPr>
        <w:t xml:space="preserve">осуществлять передачу иным хозяйствующим субъектам прав владения, пользования, распоряжения объектами теплоснабжения, водоснабжения, водоотведения, находящимися в собственности данных хозяйственных обществ с учетом требований, установленных статьей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Федеральном законе от 21.12.2001 № 178-ФЗ «О приватизации государственного и муниципального имущества», а также обеспечивают равный доступ заинтересованных лиц к указанному имуществу.</w:t>
      </w:r>
    </w:p>
    <w:p w14:paraId="5B3DF3D2" w14:textId="7777777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Также законопроект предусматривает изменения в Федеральный закон от 21.12.2001 № 178-ФЗ «О приватизации государственного и муниципального имущества» в части распространения требований указанного закона на случаи приватизации государственными и муниципальными унитарными предприятиями закрепленных за ними на праве хозяйственного ведения или оперативного управления объектов теплоснабжения, централизованных систем горячего водоснабжения, отдельных объектов таких систем.</w:t>
      </w:r>
    </w:p>
    <w:p w14:paraId="72BF936E" w14:textId="77777777" w:rsidR="001471DB" w:rsidRP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В настоящее время законопроект направлен на согласование в заинтересованные федеральные органы исполнительной власти, а также проходит процедуру оценки регулирующего воздействия на официальном сайте для размещения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(https://regulation.gov.ru). </w:t>
      </w:r>
    </w:p>
    <w:p w14:paraId="3A87E27D" w14:textId="77777777" w:rsidR="001471DB" w:rsidRPr="007014DB" w:rsidRDefault="001471DB" w:rsidP="00BE213D">
      <w:pPr>
        <w:pStyle w:val="a5"/>
        <w:numPr>
          <w:ilvl w:val="0"/>
          <w:numId w:val="9"/>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2018 году Федеральной антимонопольной службой подготовлен проект постановления Правительства Российской Федерации «О внесении изменений в Правила предоставления антимонопольным органом согласия на изменение условий концессионного соглашения» (далее – проект постановления).</w:t>
      </w:r>
    </w:p>
    <w:p w14:paraId="0A08B53F"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Проект предусматривает расширение перечня оснований, при наличии которых антимонопольный орган согласовывает изменения в концессионное соглашение, в том числе путем включения оснований, прямо предусмотренных Федеральным законом от 21.07.2005 № 115-ФЗ «О концессионных соглашениях» (далее – Закон о концессионных соглашениях), а также актуализацию перечня информации и документов, которые должны быть представлены заинтересованными лицами при подаче заявления в антимонопольный орган.</w:t>
      </w:r>
    </w:p>
    <w:p w14:paraId="0B1DF194"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того, проект постановления предусматривает обязательность соответствия вносимых в концессионное соглашение изменений основаниям, указанным в заявлении. Несоблюдение указанного положения является основанием для отказа антимонопольным органом в согласовании внесения</w:t>
      </w:r>
      <w:r>
        <w:rPr>
          <w:rFonts w:ascii="Times New Roman" w:eastAsia="Times New Roman" w:hAnsi="Times New Roman" w:cs="Times New Roman"/>
          <w:sz w:val="28"/>
          <w:szCs w:val="28"/>
          <w:lang w:eastAsia="ru-RU"/>
        </w:rPr>
        <w:t xml:space="preserve"> </w:t>
      </w:r>
      <w:r w:rsidRPr="0040279D">
        <w:rPr>
          <w:rFonts w:ascii="Times New Roman" w:eastAsia="Times New Roman" w:hAnsi="Times New Roman" w:cs="Times New Roman"/>
          <w:sz w:val="28"/>
          <w:szCs w:val="28"/>
          <w:lang w:eastAsia="ru-RU"/>
        </w:rPr>
        <w:t>изменений в концессионное соглашение.</w:t>
      </w:r>
    </w:p>
    <w:p w14:paraId="16C97D61"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Принятие указанных изменений позволит снять барьеры для привлечения инвестиций в отрасль, а также мотивирует заинтересованные стороны более внимательно и добросовестно формировать проект концессионного соглашения на стадии его заключения.</w:t>
      </w:r>
    </w:p>
    <w:p w14:paraId="4ADBB812" w14:textId="3BD72DB7" w:rsidR="001471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 xml:space="preserve">В настоящее время проект постановление в установленном порядке согласован со всеми заинтересованными федеральными органами исполнительной власти и </w:t>
      </w:r>
      <w:r>
        <w:rPr>
          <w:rFonts w:ascii="Times New Roman" w:eastAsia="Times New Roman" w:hAnsi="Times New Roman" w:cs="Times New Roman"/>
          <w:sz w:val="28"/>
          <w:szCs w:val="28"/>
          <w:lang w:eastAsia="ru-RU"/>
        </w:rPr>
        <w:t>п</w:t>
      </w:r>
      <w:r w:rsidR="00E65568">
        <w:rPr>
          <w:rFonts w:ascii="Times New Roman" w:eastAsia="Times New Roman" w:hAnsi="Times New Roman" w:cs="Times New Roman"/>
          <w:sz w:val="28"/>
          <w:szCs w:val="28"/>
          <w:lang w:eastAsia="ru-RU"/>
        </w:rPr>
        <w:t>исьмом ФАС России от 26.02.2019</w:t>
      </w:r>
      <w:r w:rsidRPr="007014DB">
        <w:rPr>
          <w:rFonts w:ascii="Times New Roman" w:eastAsia="Times New Roman" w:hAnsi="Times New Roman" w:cs="Times New Roman"/>
          <w:sz w:val="28"/>
          <w:szCs w:val="28"/>
          <w:lang w:eastAsia="ru-RU"/>
        </w:rPr>
        <w:t xml:space="preserve"> в Правительство Российской Федерации.</w:t>
      </w:r>
    </w:p>
    <w:p w14:paraId="6A316F77" w14:textId="77777777" w:rsidR="00F10EC0" w:rsidRPr="001471DB" w:rsidRDefault="00F10EC0" w:rsidP="00F10EC0">
      <w:pPr>
        <w:spacing w:after="0" w:line="240" w:lineRule="auto"/>
        <w:ind w:firstLine="709"/>
        <w:jc w:val="both"/>
        <w:rPr>
          <w:rFonts w:ascii="Times New Roman" w:eastAsia="Times New Roman" w:hAnsi="Times New Roman" w:cs="Times New Roman"/>
          <w:sz w:val="28"/>
          <w:szCs w:val="28"/>
          <w:lang w:eastAsia="ru-RU"/>
        </w:rPr>
      </w:pPr>
    </w:p>
    <w:p w14:paraId="058E1BC6" w14:textId="77777777" w:rsidR="00992EDF" w:rsidRPr="00992EDF" w:rsidRDefault="00883C8E" w:rsidP="00EF64DA">
      <w:pPr>
        <w:pStyle w:val="2"/>
        <w:rPr>
          <w:bCs/>
        </w:rPr>
      </w:pPr>
      <w:bookmarkStart w:id="1350" w:name="_Toc7448001"/>
      <w:r w:rsidRPr="00FD751F">
        <w:t xml:space="preserve">В сфере </w:t>
      </w:r>
      <w:r w:rsidRPr="00611557">
        <w:t>газоснабжения</w:t>
      </w:r>
      <w:bookmarkStart w:id="1351" w:name="_Toc1061919"/>
      <w:bookmarkStart w:id="1352" w:name="_Toc1062035"/>
      <w:bookmarkStart w:id="1353" w:name="_Toc1062157"/>
      <w:bookmarkStart w:id="1354" w:name="_Toc1062270"/>
      <w:bookmarkStart w:id="1355" w:name="_Toc2589766"/>
      <w:bookmarkStart w:id="1356" w:name="_Toc2589899"/>
      <w:bookmarkStart w:id="1357" w:name="_Toc2590038"/>
      <w:bookmarkStart w:id="1358" w:name="_Toc3393232"/>
      <w:bookmarkStart w:id="1359" w:name="_Toc3399241"/>
      <w:bookmarkStart w:id="1360" w:name="_Toc3399391"/>
      <w:bookmarkStart w:id="1361" w:name="_Toc3399536"/>
      <w:bookmarkStart w:id="1362" w:name="_Toc3399728"/>
      <w:bookmarkStart w:id="1363" w:name="_Toc3399872"/>
      <w:bookmarkStart w:id="1364" w:name="_Toc3400016"/>
      <w:bookmarkStart w:id="1365" w:name="_Toc3400335"/>
      <w:bookmarkStart w:id="1366" w:name="_Toc3400460"/>
      <w:bookmarkStart w:id="1367" w:name="_Toc3400580"/>
      <w:bookmarkStart w:id="1368" w:name="_Toc3557054"/>
      <w:bookmarkStart w:id="1369" w:name="_Toc3559259"/>
      <w:bookmarkStart w:id="1370" w:name="_Toc3914471"/>
      <w:bookmarkStart w:id="1371" w:name="_Toc3914593"/>
      <w:bookmarkStart w:id="1372" w:name="_Toc3915579"/>
      <w:bookmarkStart w:id="1373" w:name="_Toc3916186"/>
      <w:bookmarkStart w:id="1374" w:name="_Toc3917096"/>
      <w:bookmarkStart w:id="1375" w:name="_Toc3917746"/>
      <w:bookmarkStart w:id="1376" w:name="_Toc3988502"/>
      <w:bookmarkStart w:id="1377" w:name="_Toc3989511"/>
      <w:bookmarkStart w:id="1378" w:name="_Toc3990155"/>
      <w:bookmarkStart w:id="1379" w:name="_Toc3991731"/>
      <w:bookmarkStart w:id="1380" w:name="_Toc3992636"/>
      <w:bookmarkStart w:id="1381" w:name="_Toc4000403"/>
      <w:bookmarkStart w:id="1382" w:name="_Toc4426400"/>
      <w:bookmarkStart w:id="1383" w:name="_Toc4426529"/>
      <w:bookmarkStart w:id="1384" w:name="_Toc4426714"/>
      <w:bookmarkStart w:id="1385" w:name="_Toc4426843"/>
      <w:bookmarkStart w:id="1386" w:name="_Toc4428441"/>
      <w:bookmarkStart w:id="1387" w:name="_Toc4429872"/>
      <w:bookmarkStart w:id="1388" w:name="_Toc4430001"/>
      <w:bookmarkStart w:id="1389" w:name="_Toc4430127"/>
      <w:bookmarkStart w:id="1390" w:name="_Toc4430252"/>
      <w:bookmarkStart w:id="1391" w:name="_Toc4430375"/>
      <w:bookmarkStart w:id="1392" w:name="_Toc4430497"/>
      <w:bookmarkStart w:id="1393" w:name="_Toc4430618"/>
      <w:bookmarkStart w:id="1394" w:name="_Toc4431414"/>
      <w:bookmarkStart w:id="1395" w:name="_Toc4431533"/>
      <w:bookmarkStart w:id="1396" w:name="_Toc4431654"/>
      <w:bookmarkStart w:id="1397" w:name="_Toc4431775"/>
      <w:bookmarkStart w:id="1398" w:name="_Toc4433474"/>
      <w:bookmarkStart w:id="1399" w:name="_Toc4433736"/>
      <w:bookmarkStart w:id="1400" w:name="_Toc4433857"/>
      <w:bookmarkStart w:id="1401" w:name="_Toc4434405"/>
      <w:bookmarkStart w:id="1402" w:name="_Toc4436250"/>
      <w:bookmarkStart w:id="1403" w:name="_Toc4436372"/>
      <w:bookmarkStart w:id="1404" w:name="_Toc4436493"/>
      <w:bookmarkStart w:id="1405" w:name="_Toc4436761"/>
      <w:bookmarkStart w:id="1406" w:name="_Toc4436929"/>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350"/>
    </w:p>
    <w:p w14:paraId="65F83144" w14:textId="77777777" w:rsidR="008D5FCD" w:rsidRPr="008D5FCD" w:rsidRDefault="008D5FCD"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407" w:name="_Toc7189795"/>
      <w:bookmarkStart w:id="1408" w:name="_Toc7190025"/>
      <w:bookmarkStart w:id="1409" w:name="_Toc7190379"/>
      <w:bookmarkStart w:id="1410" w:name="_Toc7190828"/>
      <w:bookmarkStart w:id="1411" w:name="_Toc7191572"/>
      <w:bookmarkStart w:id="1412" w:name="_Toc7447197"/>
      <w:bookmarkStart w:id="1413" w:name="_Toc7448002"/>
      <w:bookmarkEnd w:id="1407"/>
      <w:bookmarkEnd w:id="1408"/>
      <w:bookmarkEnd w:id="1409"/>
      <w:bookmarkEnd w:id="1410"/>
      <w:bookmarkEnd w:id="1411"/>
      <w:bookmarkEnd w:id="1412"/>
      <w:bookmarkEnd w:id="1413"/>
    </w:p>
    <w:p w14:paraId="4D62AAA5" w14:textId="77777777" w:rsidR="00CB662C" w:rsidRPr="00CB662C" w:rsidRDefault="00CB662C" w:rsidP="00CB662C">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414" w:name="_Toc7191573"/>
      <w:bookmarkStart w:id="1415" w:name="_Toc7447198"/>
      <w:bookmarkStart w:id="1416" w:name="_Toc7448003"/>
      <w:bookmarkEnd w:id="1414"/>
      <w:bookmarkEnd w:id="1415"/>
      <w:bookmarkEnd w:id="1416"/>
    </w:p>
    <w:p w14:paraId="37CC31DA" w14:textId="34DE40A4" w:rsidR="00992EDF" w:rsidRDefault="00883C8E" w:rsidP="00CB662C">
      <w:pPr>
        <w:pStyle w:val="3"/>
      </w:pPr>
      <w:bookmarkStart w:id="1417" w:name="_Toc7448004"/>
      <w:r w:rsidRPr="00FD751F">
        <w:t>Состояние конкуренции: тенденции и проблемы</w:t>
      </w:r>
      <w:bookmarkStart w:id="1418" w:name="_Toc6834353"/>
      <w:bookmarkStart w:id="1419" w:name="_Toc6834640"/>
      <w:bookmarkStart w:id="1420" w:name="_Toc6834843"/>
      <w:bookmarkEnd w:id="1418"/>
      <w:bookmarkEnd w:id="1419"/>
      <w:bookmarkEnd w:id="1420"/>
      <w:bookmarkEnd w:id="1417"/>
    </w:p>
    <w:p w14:paraId="2FA15781" w14:textId="5F4F72B1"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Потребителями природного газа </w:t>
      </w:r>
      <w:r w:rsidR="00E65568">
        <w:rPr>
          <w:rFonts w:ascii="Times New Roman" w:hAnsi="Times New Roman" w:cs="Times New Roman"/>
          <w:sz w:val="28"/>
          <w:szCs w:val="28"/>
        </w:rPr>
        <w:t>в Российской Федерации являются</w:t>
      </w:r>
      <w:r w:rsidRPr="00992EDF">
        <w:rPr>
          <w:rFonts w:ascii="Times New Roman" w:hAnsi="Times New Roman" w:cs="Times New Roman"/>
          <w:sz w:val="28"/>
          <w:szCs w:val="28"/>
        </w:rPr>
        <w:t xml:space="preserve"> предприятия энергетики, металлургии, агрохимии, коммунальный комплекс и другие отрасли.</w:t>
      </w:r>
    </w:p>
    <w:p w14:paraId="5BA6CB80"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w:t>
      </w:r>
    </w:p>
    <w:p w14:paraId="28D9CCF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Вход новых хозяйствующих субъектов на оптовый рынок поставки природного газа прочим потребителям (без населения) на территории Российской Федерации ограничен рядом существенных барьеров.</w:t>
      </w:r>
    </w:p>
    <w:p w14:paraId="4698BC94"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Основным производителем природного газа в Российской Федерации является группа лиц ПАО «Газпром»; кроме того, на рынке природного газа присутствует ряд независимых производителей – в т.ч. группа лиц ПАО «НОВАТЭК», ПАО «ЛУКОЙЛ», группа лиц ПАО «НК «Роснефть», предприятия «СИБУР Холдинг» и пр.</w:t>
      </w:r>
    </w:p>
    <w:p w14:paraId="6C8750FB" w14:textId="50CF1385"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Доля трех крупнейших продавцом на указанном рынке (ПАО «Газпром», ПАО «Новатэк», ПАО «НК </w:t>
      </w:r>
      <w:r w:rsidR="002D7CF1">
        <w:rPr>
          <w:rFonts w:ascii="Times New Roman" w:hAnsi="Times New Roman" w:cs="Times New Roman"/>
          <w:sz w:val="28"/>
          <w:szCs w:val="28"/>
        </w:rPr>
        <w:t>«Роснефть») составляет более 70</w:t>
      </w:r>
      <w:r w:rsidRPr="00992EDF">
        <w:rPr>
          <w:rFonts w:ascii="Times New Roman" w:hAnsi="Times New Roman" w:cs="Times New Roman"/>
          <w:sz w:val="28"/>
          <w:szCs w:val="28"/>
        </w:rPr>
        <w:t>%, при этом доли каждого из указанных хозяйствующих субъектов выше 8%. Доли указанных групп лиц на указанном рынке в течение исследуемого периода изменялись незначительно.</w:t>
      </w:r>
    </w:p>
    <w:p w14:paraId="1E3A978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Доли указанных групп лиц на указанном рынке в течение исследуемого периода изменялись незначительно, барьеры входа на рынок являются труднопреодолимыми, доступ новых конкурентов на данный рынок затруднён.</w:t>
      </w:r>
    </w:p>
    <w:p w14:paraId="48D326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Группа лиц ПАО «Газпром» за рассматриваемый период нарастила добычу газа, и, следовательно, имела возможность полноценно конкурировать с независимыми поставщиками за увеличение доли рынка. Однако, соответствующего увеличения реализации газа группой лиц ПАО «Газпром» не произошло, поскольку группа лиц ПАО «Газпром» с учетом требований Закона о конкуренции, не имеет оснований создавать дискриминационные условия для независимых производителей газа при оказании услуг транспортировки газа по ЕСГ.</w:t>
      </w:r>
    </w:p>
    <w:p w14:paraId="6777DE6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shd w:val="clear" w:color="auto" w:fill="FFFFFF"/>
        </w:rPr>
        <w:t>В исследуемом периоде регулируемые цены на газ были повышены с 1 июля 2018 года в среднем на 3,4%, но это не привело снижению спроса на газ, объём поставок газа для внутренних потребителей Российской Федерации в последующие периоды увеличился.</w:t>
      </w:r>
    </w:p>
    <w:p w14:paraId="7C9BE537" w14:textId="77777777" w:rsidR="00694CA3"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Принимая во внимание большой объём капитальных вложений, необходимых для создания нового хозяйствующего субъекта, занимающегося добычей и реализацией природного газа, а также учитывая наличие на нём вертикально-интегрированных хозяйствующих субъектов, ограниченность его сбытового сегмента и другие, описанные выше, барьеры, – можно сделать вывод, что появление на оптовом рынке природного газа новых крупных производителей в ближайшее время затруднительно в связи с тем, что российский рынок газа является высококонцентрированным с недостаточно развитой конкурентной средой.</w:t>
      </w:r>
    </w:p>
    <w:p w14:paraId="03B559FB" w14:textId="77777777" w:rsidR="00992EDF" w:rsidRPr="00992EDF" w:rsidRDefault="00992EDF" w:rsidP="00992EDF">
      <w:pPr>
        <w:spacing w:after="0" w:line="240" w:lineRule="auto"/>
        <w:ind w:firstLine="709"/>
        <w:jc w:val="both"/>
        <w:rPr>
          <w:rFonts w:ascii="Times New Roman" w:hAnsi="Times New Roman" w:cs="Times New Roman"/>
          <w:sz w:val="28"/>
          <w:szCs w:val="28"/>
        </w:rPr>
      </w:pPr>
    </w:p>
    <w:p w14:paraId="5F49B458" w14:textId="77777777" w:rsidR="00992EDF" w:rsidRDefault="00883C8E" w:rsidP="00DA3F05">
      <w:pPr>
        <w:pStyle w:val="3"/>
      </w:pPr>
      <w:bookmarkStart w:id="1421" w:name="_Toc7448005"/>
      <w:r w:rsidRPr="00FD751F">
        <w:t>Достигнутые результаты развития конкуренции и предложения по развитию конкуренции</w:t>
      </w:r>
      <w:bookmarkStart w:id="1422" w:name="_Toc6834354"/>
      <w:bookmarkStart w:id="1423" w:name="_Toc6834641"/>
      <w:bookmarkStart w:id="1424" w:name="_Toc6834844"/>
      <w:bookmarkEnd w:id="1422"/>
      <w:bookmarkEnd w:id="1423"/>
      <w:bookmarkEnd w:id="1424"/>
      <w:bookmarkEnd w:id="1421"/>
    </w:p>
    <w:p w14:paraId="29987CB8" w14:textId="77777777" w:rsidR="00305C53" w:rsidRDefault="00305C53" w:rsidP="00992EDF">
      <w:pPr>
        <w:spacing w:after="0" w:line="240" w:lineRule="auto"/>
        <w:ind w:firstLine="851"/>
        <w:jc w:val="both"/>
        <w:rPr>
          <w:rFonts w:ascii="Times New Roman" w:hAnsi="Times New Roman" w:cs="Times New Roman"/>
          <w:sz w:val="28"/>
          <w:szCs w:val="28"/>
        </w:rPr>
      </w:pPr>
    </w:p>
    <w:p w14:paraId="59F5762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обеспечения условий для развития конкуренции ФАС России проводит актуализацию действующей нормативной правовой базы, в том числе по обеспечению недискриминационных условий доступа потребителей к газовой инфраструктуре России. </w:t>
      </w:r>
    </w:p>
    <w:p w14:paraId="38C1E7A5"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Так, ФАС России проводится работа по актуализации и проработке проектов, следующих нормативных правовых актов: </w:t>
      </w:r>
    </w:p>
    <w:p w14:paraId="01E070FF"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газораспределительным сетям, и признании утратившими силу некоторых актов Правительства Российской Федерации».</w:t>
      </w:r>
    </w:p>
    <w:p w14:paraId="1A5BA82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магистральным газопроводам, к услугам по хранению газа, Правил подключения (технологического присоединения) к магистральным газопроводам, а также о признании утратившими силу некоторых актов Правительства Российской Федерации»;</w:t>
      </w:r>
    </w:p>
    <w:p w14:paraId="494DA4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постановление Правительства Российской Федерации от 16.04.2012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429A6733" w14:textId="332CBDD8"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Правила поставки газа в Российской Федерации, утвержденные постановлением Правительства Российской Федерации от 05.021998 №</w:t>
      </w:r>
      <w:r w:rsidR="002D7CF1">
        <w:rPr>
          <w:rFonts w:ascii="Times New Roman" w:hAnsi="Times New Roman" w:cs="Times New Roman"/>
          <w:sz w:val="28"/>
          <w:szCs w:val="28"/>
        </w:rPr>
        <w:t xml:space="preserve"> </w:t>
      </w:r>
      <w:r w:rsidRPr="00992EDF">
        <w:rPr>
          <w:rFonts w:ascii="Times New Roman" w:hAnsi="Times New Roman" w:cs="Times New Roman"/>
          <w:sz w:val="28"/>
          <w:szCs w:val="28"/>
        </w:rPr>
        <w:t>162 «Об утверждении правил поставок газа в Российской Федерации»</w:t>
      </w:r>
    </w:p>
    <w:p w14:paraId="3875F462" w14:textId="65FBADD9"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 </w:t>
      </w:r>
      <w:r w:rsidR="002D7CF1">
        <w:rPr>
          <w:rFonts w:ascii="Times New Roman" w:hAnsi="Times New Roman" w:cs="Times New Roman"/>
          <w:sz w:val="28"/>
          <w:szCs w:val="28"/>
        </w:rPr>
        <w:t>с</w:t>
      </w:r>
      <w:r w:rsidRPr="00992EDF">
        <w:rPr>
          <w:rFonts w:ascii="Times New Roman" w:hAnsi="Times New Roman" w:cs="Times New Roman"/>
          <w:sz w:val="28"/>
          <w:szCs w:val="28"/>
        </w:rPr>
        <w:t xml:space="preserve">овместный приказ ФАС России и Миэнерго России «Об утверждении минимальной величины продаваемого на бирже природного газа и требований к биржевым торгам, в ходе которых заключаются сделки с природным газом хозяйствующим субъектом, занимающим доминирующее положение на соответствующем товарном рынке», закрепляющий параметры ликвидности биржевого рынка природного газа. </w:t>
      </w:r>
    </w:p>
    <w:p w14:paraId="202D19D0" w14:textId="77777777"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Для улучшения порядка подключения к газораспределительным сетям газозаправочных станций, а также в рамках распоряжения Правительства Российской Федерации от 14.09.2016 г. № 1938-р «О внесении изменений в план мероприятий («дорожной карты») «Повышение доступности энергетической инфраструктуры», утвержденный распоряжением Правительства Российской Федерации от 30.06.2012 г. № 1144-р» (далее - дорожная карта) ФАС России был подготовлен проект постановления Правительства Российской Федерации по внесению изменений в некоторые акты Правительства Российской Федерации по вопросам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(далее - проект постановления).</w:t>
      </w:r>
    </w:p>
    <w:p w14:paraId="7D43FB9A" w14:textId="77777777"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Проект постановления был принят Правительством 30.01.2018 г. за № 82 (далее — Постановление № 82) и включает в себя выполнение большого количества пунктов дорожной карты. Постановлением № 82 сокращены сроки подключения, стоимости, этапы подключения, а также усовершенствован порядок уступки мощности, который позволяет в случае дефицита мощности у газораспределительной организации осуществить подключение, в том числе газораспределительной станции, путем перераспределения мощности от других потребителей.</w:t>
      </w:r>
    </w:p>
    <w:p w14:paraId="3418483E"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Также, ФАС России введена возможность переоформления документов, а также возможность подачи заявок на подключение посредством официального сайта исполнителя в сети «Интернет».</w:t>
      </w:r>
    </w:p>
    <w:p w14:paraId="229851C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Кроме того, Постановлением № 82 с целью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были внесены изменения в Стандарты раскрытия информации субъектами естественных монополий, оказывающими услуги по транспортировке газа по трубопроводам, утвержденные постановлением Правительства Российской Федерации от 29 октября 2010 г. № 872, Основные положения формирования и государственного регулирования цен на газ и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утвержденные постановлением Правительства Российской Федерации от 29 декабря 2000 г. № 1021.</w:t>
      </w:r>
    </w:p>
    <w:p w14:paraId="48855425" w14:textId="5B3DFAD1"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Принят пр</w:t>
      </w:r>
      <w:r w:rsidR="0073522B">
        <w:rPr>
          <w:rFonts w:ascii="Times New Roman" w:hAnsi="Times New Roman" w:cs="Times New Roman"/>
          <w:color w:val="000000"/>
          <w:sz w:val="28"/>
          <w:szCs w:val="28"/>
        </w:rPr>
        <w:t>иказ ФАС России от 18.01.2019</w:t>
      </w:r>
      <w:r w:rsidRPr="00992EDF">
        <w:rPr>
          <w:rFonts w:ascii="Times New Roman" w:hAnsi="Times New Roman" w:cs="Times New Roman"/>
          <w:color w:val="000000"/>
          <w:sz w:val="28"/>
          <w:szCs w:val="28"/>
        </w:rPr>
        <w:t xml:space="preserve"> № 38/19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w:t>
      </w:r>
      <w:r w:rsidR="0073522B">
        <w:rPr>
          <w:rFonts w:ascii="Times New Roman" w:hAnsi="Times New Roman" w:cs="Times New Roman"/>
          <w:color w:val="000000"/>
          <w:sz w:val="28"/>
          <w:szCs w:val="28"/>
        </w:rPr>
        <w:t>авил заполнения указанных форм».</w:t>
      </w:r>
    </w:p>
    <w:p w14:paraId="3DF9F3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Принят приказ от 16.08.2018 № 1151/18 «Об утверждении Методических указаний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изменяющий раннее действующий подход к определению платы за технологическое присоединение к сетям газораспределения.</w:t>
      </w:r>
    </w:p>
    <w:p w14:paraId="38ECF004"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Новые методические указания предусматривают утверждение платы за подключение объектов капитального строительства исходя из фактических затрат газораспределительной организации в объеме, не превышающем утвержденные нормативы цен строительства.</w:t>
      </w:r>
    </w:p>
    <w:p w14:paraId="74C0A43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Ранее стоимость мероприятий по строительству газотранспортной инфраструктуры рассчитывалась в ценах 2001 года с применением коэффициента изменения сметной стоимости, рассчитываемой Минстроем.</w:t>
      </w:r>
    </w:p>
    <w:p w14:paraId="1D67C45E"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Вместе с тем цены 2001 года не отражали реальной картины стоимости строительных материалов и работ. Применение цен 2001 года увеличивало плату относительно фактических расходов.</w:t>
      </w:r>
    </w:p>
    <w:p w14:paraId="30E51899"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Новая методика предусматривает применение фактических цен, что повышает объективность компенсации затрат на подключение.</w:t>
      </w:r>
    </w:p>
    <w:p w14:paraId="5FED863D"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 соответствии с пунктом 88 Правил подключения определен порядок расчета размера платы в границах земельного участка.</w:t>
      </w:r>
    </w:p>
    <w:p w14:paraId="3643B823"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 xml:space="preserve">Определен закрытый перечень документов, необходимых для представления в орган исполнительной власти субъекта Российской Федерации в области государственного регулирования тарифов. </w:t>
      </w:r>
    </w:p>
    <w:p w14:paraId="5EFBF8B8"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Данное нововведение исключает злоупотребление как со стороны органа регулирования в требовании дополнительных документов, так и со стороны газораспределительной организации в непредставлении необходимого пакета документов в связи с отсутствием жестких требований.</w:t>
      </w:r>
    </w:p>
    <w:p w14:paraId="03819B2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Проблемы развития конкуренции</w:t>
      </w:r>
    </w:p>
    <w:p w14:paraId="1E2A5873"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настоящее время происходит регулирование оптовых цен на газ только для газа, добытого на месторождениях ПАО «Газпром». Вместе с тем, в целях выравнивания конкурентных условий целесообразно проведение либерализации регулирования оптовых цен на газ и, соответственно, переход на рыночное ценообразование при формировании данных цен, при наличии конкуренции в данном сегменте рынка газа.</w:t>
      </w:r>
    </w:p>
    <w:p w14:paraId="599004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целях развития смежных рынков производств необходимо осуществлять мероприятия по снижению барьеров по технологическому присоединению к сетям газораспределения.</w:t>
      </w:r>
    </w:p>
    <w:p w14:paraId="050887D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Для этого необходимо усилить контроль за утверждением региональных программ газификации в субъектах Российской Федерации. Недостаточная проработанность программ газификации регионов приводит к завышению стоимости инфраструктурной составляющей и создает препятствия к её доступности.</w:t>
      </w:r>
    </w:p>
    <w:p w14:paraId="33506D4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Также необходима дальнейшая работа по развитию биржевой торговли газом, включая расширение состава участников торгов и увеличение объёмов продаж природного газа на организованных торгах.</w:t>
      </w:r>
    </w:p>
    <w:p w14:paraId="2F7CB6F3"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Предложения по развитию конкуренции</w:t>
      </w:r>
    </w:p>
    <w:p w14:paraId="5E835BA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сложившейся экономической ситуации на международном рынке газа приоритетным направлением должно стать развитие внутреннего рынка газа Российской Федерации.</w:t>
      </w:r>
    </w:p>
    <w:p w14:paraId="7060B5B1"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решения этой задачи необходимо осуществить следующее: </w:t>
      </w:r>
    </w:p>
    <w:p w14:paraId="492729D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расширение газификации регионов и газозаправочной инфраструктуры, путем развития системы газоснабжения, реализации сжиженных углеводородных газов, сжиженного и компримированного природного газа;</w:t>
      </w:r>
    </w:p>
    <w:p w14:paraId="7E7CA4D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дальнейшее усовершенствование Правил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Российской Федерации от 30.12.2013 № 1314;</w:t>
      </w:r>
    </w:p>
    <w:p w14:paraId="0ECC01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упрощение процедуры присоединения к газораспределительным сетям;</w:t>
      </w:r>
    </w:p>
    <w:p w14:paraId="435BC2DD"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строительства заводов по сжижению газа;</w:t>
      </w:r>
    </w:p>
    <w:p w14:paraId="324F7FD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изменение градостроительного законодательства (требования к проектной документации, экспертизе проектов и др.); </w:t>
      </w:r>
    </w:p>
    <w:p w14:paraId="2EE80F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снятие административных барьеров посредством использования процедуры административного обжалования в строительстве; </w:t>
      </w:r>
    </w:p>
    <w:p w14:paraId="17AC79F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изменение содержания региональной специальной надбавки, в части закрепления в ней строительства внутрипоселковых и внутриквартальных сетей.</w:t>
      </w:r>
    </w:p>
    <w:p w14:paraId="4ED0CB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развитие газификации Дальневосточного Федерального округа, либерализация государственного регулирования цен на газ с переходом на рыночное ценообразование путем формирования цены на газ с учетом биржевого и внебиржевого индекса, а также </w:t>
      </w:r>
      <w:r w:rsidRPr="00992EDF">
        <w:rPr>
          <w:rFonts w:ascii="Times New Roman" w:hAnsi="Times New Roman" w:cs="Times New Roman"/>
          <w:sz w:val="28"/>
          <w:szCs w:val="28"/>
          <w:lang w:val="en-US"/>
        </w:rPr>
        <w:t>netback</w:t>
      </w:r>
      <w:r w:rsidRPr="00992EDF">
        <w:rPr>
          <w:rFonts w:ascii="Times New Roman" w:hAnsi="Times New Roman" w:cs="Times New Roman"/>
          <w:sz w:val="28"/>
          <w:szCs w:val="28"/>
        </w:rPr>
        <w:t xml:space="preserve">, разработка и реализация мероприятий по синхронизации норм ответственности поставщика и потребителя, в том числе укрепление платежной дисциплины потребителей. </w:t>
      </w:r>
    </w:p>
    <w:p w14:paraId="3B154F5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Расширение организованной торговли природным газом в Российской Федерации может облегчить переход к использованию рыночных механизмов при формировании цен на газ, и, в конечном итоге, к либерализации внутреннего рынка газа, благодаря которой станет возможным нарастить внутреннее потребление природного газа, уровень газификации в Российской Федерации и энергоэффективность российской экономики, а также не допустить консервации ресурсной базы независимых производителей газа. План включает в себя комплексные меры по развитию сегмента организованных торгов природным газом:</w:t>
      </w:r>
    </w:p>
    <w:p w14:paraId="3B91F08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подготовку мероприятий, направленных на обеспечение в перспективе перехода к коммерческой балансировке объемов газа в ГТС ПАО «Газпром»;</w:t>
      </w:r>
    </w:p>
    <w:p w14:paraId="68C489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мероприятий по привлечению на торги ресурсов независимых производителей, в том числе реализуемых в настоящее время на входе в ГТС ведущим поставщикам газа в Российской Федерации.</w:t>
      </w:r>
    </w:p>
    <w:p w14:paraId="56E106F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применение разработанной методики расчета и сравнения индексов цен на газ в России по биржевым и внебиржевым договорам;</w:t>
      </w:r>
    </w:p>
    <w:p w14:paraId="11D4CF8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разработку предложений по организации торговли на бирже и регистрации на бирже внебиржевых договоров по поставке природного газа на экспорт;</w:t>
      </w:r>
    </w:p>
    <w:p w14:paraId="2C2B394D"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устранение разницы между тарифами по транспортировке газа по договорам, предполагающим передачу газа на балансовом пункте, по сравнению с прямыми договорами (передача газа на ГРС или на точке входа в ГТС);</w:t>
      </w:r>
    </w:p>
    <w:p w14:paraId="11421A17"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новых стандартов определения и раскрытия информации о свободных мощностях ГТС, в том числе для биржевой торговли, а также порядка расчета и согласования объёмов реализации газа на биржевых торгах, в том числе с поставкой «на сутки»;</w:t>
      </w:r>
    </w:p>
    <w:p w14:paraId="2FEF930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совершенствование механизмов деятельности Организатора транспортировки, РГК и ГРО при организации учета и транспортировки газа по биржевым договорам поставки газа, создание оператора товарных поставок на базе организатора транспортировки биржевого газа;</w:t>
      </w:r>
    </w:p>
    <w:p w14:paraId="14E8A0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формализацию деятельности Организатора транспортировки в соответствии с действующими нормативными актами в сфере организованной торговли;</w:t>
      </w:r>
    </w:p>
    <w:p w14:paraId="3B5B8B1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совместного приказа ФАС России и Минэнерго России об утверждении минимальной величины продаваемого на бирже газа хозяйствующим субъектом, занимающим доминирующее положение на региональном товарном рынке;</w:t>
      </w:r>
    </w:p>
    <w:p w14:paraId="41F48DC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 по внесению изменений в нормативные правовые акты с целью совершенствования рынка газа, в том числе:</w:t>
      </w:r>
    </w:p>
    <w:p w14:paraId="5DF01EF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1) разработку предложений по совершенствованию системы тарификации услуг по транспортировке газа по магистральным газопроводам;</w:t>
      </w:r>
    </w:p>
    <w:p w14:paraId="5FE1372F"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2) рассмотрение предложений по совершенствованию системы тарификации услуг по транспортировке газа по магистральным газопроводам, и внесение изменений в методику по расчету тарифов на транспортировку газа;</w:t>
      </w:r>
    </w:p>
    <w:p w14:paraId="5E0EE22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3) рассмотрение вопроса о совершенствовании нормативных правовых актов, отражающих требования к оператору товарных поставок в системе биржевой торговли газом;</w:t>
      </w:r>
    </w:p>
    <w:p w14:paraId="7C0721CC" w14:textId="73CC0807"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92EDF" w:rsidRPr="00992EDF">
        <w:rPr>
          <w:rFonts w:ascii="Times New Roman" w:hAnsi="Times New Roman" w:cs="Times New Roman"/>
          <w:sz w:val="28"/>
          <w:szCs w:val="28"/>
        </w:rPr>
        <w:t>подготовку изменений в Правила поставки газа в Российской Федерации с целью приведения их в соответствие с механизмами организованной торговли газом и коммерческой балансировки газа.</w:t>
      </w:r>
    </w:p>
    <w:p w14:paraId="38A88652" w14:textId="755CE828"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92EDF" w:rsidRPr="00992EDF">
        <w:rPr>
          <w:rFonts w:ascii="Times New Roman" w:hAnsi="Times New Roman" w:cs="Times New Roman"/>
          <w:sz w:val="28"/>
          <w:szCs w:val="28"/>
        </w:rPr>
        <w:t xml:space="preserve">проработка вопроса о переходе к торговле на бирже на виртуальном балансовом пункте. </w:t>
      </w:r>
    </w:p>
    <w:p w14:paraId="3435D154" w14:textId="77777777" w:rsidR="00694CA3" w:rsidRPr="00694CA3" w:rsidRDefault="00694CA3" w:rsidP="00694CA3">
      <w:pPr>
        <w:rPr>
          <w:lang w:eastAsia="ru-RU"/>
        </w:rPr>
      </w:pPr>
    </w:p>
    <w:p w14:paraId="0FAC5FAE" w14:textId="77777777" w:rsidR="005E5F6F" w:rsidRPr="00992EDF" w:rsidRDefault="00883C8E" w:rsidP="00EF64DA">
      <w:pPr>
        <w:pStyle w:val="2"/>
      </w:pPr>
      <w:bookmarkStart w:id="1425" w:name="_Toc7448006"/>
      <w:r w:rsidRPr="001B2F4E">
        <w:t>На рынках нефти и нефтепродуктов</w:t>
      </w:r>
      <w:bookmarkStart w:id="1426" w:name="_Toc1061923"/>
      <w:bookmarkStart w:id="1427" w:name="_Toc1062039"/>
      <w:bookmarkStart w:id="1428" w:name="_Toc1062161"/>
      <w:bookmarkStart w:id="1429" w:name="_Toc1062274"/>
      <w:bookmarkStart w:id="1430" w:name="_Toc2589770"/>
      <w:bookmarkStart w:id="1431" w:name="_Toc2589903"/>
      <w:bookmarkStart w:id="1432" w:name="_Toc2590042"/>
      <w:bookmarkStart w:id="1433" w:name="_Toc3393236"/>
      <w:bookmarkStart w:id="1434" w:name="_Toc3399245"/>
      <w:bookmarkStart w:id="1435" w:name="_Toc3399395"/>
      <w:bookmarkStart w:id="1436" w:name="_Toc3399540"/>
      <w:bookmarkStart w:id="1437" w:name="_Toc3399732"/>
      <w:bookmarkStart w:id="1438" w:name="_Toc3399876"/>
      <w:bookmarkStart w:id="1439" w:name="_Toc3400020"/>
      <w:bookmarkStart w:id="1440" w:name="_Toc3400339"/>
      <w:bookmarkStart w:id="1441" w:name="_Toc3400464"/>
      <w:bookmarkStart w:id="1442" w:name="_Toc3400584"/>
      <w:bookmarkStart w:id="1443" w:name="_Toc3557058"/>
      <w:bookmarkStart w:id="1444" w:name="_Toc3559263"/>
      <w:bookmarkStart w:id="1445" w:name="_Toc3914475"/>
      <w:bookmarkStart w:id="1446" w:name="_Toc3914597"/>
      <w:bookmarkStart w:id="1447" w:name="_Toc3915583"/>
      <w:bookmarkStart w:id="1448" w:name="_Toc3916190"/>
      <w:bookmarkStart w:id="1449" w:name="_Toc3917100"/>
      <w:bookmarkStart w:id="1450" w:name="_Toc3917750"/>
      <w:bookmarkStart w:id="1451" w:name="_Toc3988506"/>
      <w:bookmarkStart w:id="1452" w:name="_Toc3989515"/>
      <w:bookmarkStart w:id="1453" w:name="_Toc3990159"/>
      <w:bookmarkStart w:id="1454" w:name="_Toc3991735"/>
      <w:bookmarkStart w:id="1455" w:name="_Toc3992640"/>
      <w:bookmarkStart w:id="1456" w:name="_Toc4000407"/>
      <w:bookmarkStart w:id="1457" w:name="_Toc4426404"/>
      <w:bookmarkStart w:id="1458" w:name="_Toc4426533"/>
      <w:bookmarkStart w:id="1459" w:name="_Toc4426718"/>
      <w:bookmarkStart w:id="1460" w:name="_Toc4426847"/>
      <w:bookmarkStart w:id="1461" w:name="_Toc4428445"/>
      <w:bookmarkStart w:id="1462" w:name="_Toc4429876"/>
      <w:bookmarkStart w:id="1463" w:name="_Toc4430005"/>
      <w:bookmarkStart w:id="1464" w:name="_Toc4430131"/>
      <w:bookmarkStart w:id="1465" w:name="_Toc4430256"/>
      <w:bookmarkStart w:id="1466" w:name="_Toc4430379"/>
      <w:bookmarkStart w:id="1467" w:name="_Toc4430501"/>
      <w:bookmarkStart w:id="1468" w:name="_Toc4430622"/>
      <w:bookmarkStart w:id="1469" w:name="_Toc4431418"/>
      <w:bookmarkStart w:id="1470" w:name="_Toc4431537"/>
      <w:bookmarkStart w:id="1471" w:name="_Toc4431658"/>
      <w:bookmarkStart w:id="1472" w:name="_Toc4431779"/>
      <w:bookmarkStart w:id="1473" w:name="_Toc4433478"/>
      <w:bookmarkStart w:id="1474" w:name="_Toc4433740"/>
      <w:bookmarkStart w:id="1475" w:name="_Toc4433861"/>
      <w:bookmarkStart w:id="1476" w:name="_Toc4434409"/>
      <w:bookmarkStart w:id="1477" w:name="_Toc4436254"/>
      <w:bookmarkStart w:id="1478" w:name="_Toc4436376"/>
      <w:bookmarkStart w:id="1479" w:name="_Toc4436497"/>
      <w:bookmarkStart w:id="1480" w:name="_Toc4436765"/>
      <w:bookmarkStart w:id="1481" w:name="_Toc4436933"/>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25"/>
    </w:p>
    <w:p w14:paraId="11472DD7" w14:textId="77777777" w:rsidR="008D5FCD" w:rsidRPr="008D5FCD" w:rsidRDefault="008D5FCD"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482" w:name="_Toc7189799"/>
      <w:bookmarkStart w:id="1483" w:name="_Toc7190029"/>
      <w:bookmarkStart w:id="1484" w:name="_Toc7190383"/>
      <w:bookmarkStart w:id="1485" w:name="_Toc7190832"/>
      <w:bookmarkStart w:id="1486" w:name="_Toc7191577"/>
      <w:bookmarkStart w:id="1487" w:name="_Toc7447202"/>
      <w:bookmarkStart w:id="1488" w:name="_Toc7448007"/>
      <w:bookmarkEnd w:id="1482"/>
      <w:bookmarkEnd w:id="1483"/>
      <w:bookmarkEnd w:id="1484"/>
      <w:bookmarkEnd w:id="1485"/>
      <w:bookmarkEnd w:id="1486"/>
      <w:bookmarkEnd w:id="1487"/>
      <w:bookmarkEnd w:id="1488"/>
    </w:p>
    <w:p w14:paraId="7CB816EB" w14:textId="77777777" w:rsidR="00BB7A44" w:rsidRPr="00BB7A44" w:rsidRDefault="00BB7A44" w:rsidP="00BB7A44">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489" w:name="_Toc7191578"/>
      <w:bookmarkStart w:id="1490" w:name="_Toc7447203"/>
      <w:bookmarkStart w:id="1491" w:name="_Toc7448008"/>
      <w:bookmarkEnd w:id="1489"/>
      <w:bookmarkEnd w:id="1490"/>
      <w:bookmarkEnd w:id="1491"/>
    </w:p>
    <w:p w14:paraId="62DF59B8" w14:textId="0FDBC242" w:rsidR="00694CA3" w:rsidRDefault="00883C8E" w:rsidP="00BB7A44">
      <w:pPr>
        <w:pStyle w:val="3"/>
      </w:pPr>
      <w:bookmarkStart w:id="1492" w:name="_Toc7448009"/>
      <w:r w:rsidRPr="001B2F4E">
        <w:t>Состояние конкуренции: тенденции и проблемы</w:t>
      </w:r>
      <w:bookmarkStart w:id="1493" w:name="_Toc6834356"/>
      <w:bookmarkStart w:id="1494" w:name="_Toc6834643"/>
      <w:bookmarkStart w:id="1495" w:name="_Toc6834846"/>
      <w:bookmarkEnd w:id="1493"/>
      <w:bookmarkEnd w:id="1494"/>
      <w:bookmarkEnd w:id="1495"/>
      <w:bookmarkEnd w:id="1492"/>
    </w:p>
    <w:p w14:paraId="2D81DAEF" w14:textId="77777777" w:rsidR="00305C53" w:rsidRDefault="00305C53"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p>
    <w:p w14:paraId="69B8DCA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Рынки нефти и нефтепродуктов имеют высокий уровень концентрации. В основном это связано с тем, что данные рынки имеют олигопольный характер. Вертикально-интегрированные нефтяные компании (далее – ВИНК) занимают основную долю на всех сегментах рынка: добыча и переработка нефти, хранение, оптовая, мелкооптовая и розничная реализация нефтепродуктов. Доступ независимых участников рынка к перерабатывающим мощностям и инфраструктуре рынка нефти и нефтепродуктов затруднен.</w:t>
      </w:r>
    </w:p>
    <w:p w14:paraId="73F6376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течение длительного периода (на протяжении нескольких лет) относительные размеры долей хозяйствующих субъектов, входящих в одну группу лиц с ВИНК подвержены малозначительным изменениям.</w:t>
      </w:r>
    </w:p>
    <w:p w14:paraId="47B9505A"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Доминирующее положение и возможность ВИНК переносить центр прибыли в любом звене реализации (добыча - переработка – оптовая реализация – розничная реализация) дает возможность осуществлять ценовое давление на независимых участников рынка на всех сегментах рынка. Кроме того, к основным барьерам входа на рынок относятся:</w:t>
      </w:r>
    </w:p>
    <w:p w14:paraId="2B4C5AFF"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ограниченное количество мощностей по переработке нефти и транспортировки трубопроводом;</w:t>
      </w:r>
    </w:p>
    <w:p w14:paraId="2B4BBB5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осуществления значительных первоначальных капитальных вложений при длительных сроках окупаемости этих вложений;</w:t>
      </w:r>
    </w:p>
    <w:p w14:paraId="135F804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издержки выхода с рынка, включающие инвестиции, которые невозможно возместить при прекращении хозяйственной деятельности;</w:t>
      </w:r>
    </w:p>
    <w:p w14:paraId="51C9050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7D394B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получения лицензии, экологические ограничения, трудности в получении земельных участков.</w:t>
      </w:r>
    </w:p>
    <w:p w14:paraId="7AFD3E3E"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С апреля 2013 года на биржевой площадке АО «СПбМТСБ» проводятся организованные торги сырой нефтью. В ноябре 2016 года запущены биржевые торги российской экспортной нефтью на базисе </w:t>
      </w:r>
      <w:r w:rsidRPr="00992EDF">
        <w:rPr>
          <w:rFonts w:ascii="Times New Roman" w:eastAsia="SimSun" w:hAnsi="Times New Roman" w:cs="Mangal"/>
          <w:kern w:val="3"/>
          <w:sz w:val="28"/>
          <w:szCs w:val="28"/>
          <w:lang w:val="en-US" w:eastAsia="zh-CN" w:bidi="hi-IN"/>
        </w:rPr>
        <w:t>FOB</w:t>
      </w:r>
      <w:r w:rsidRPr="00992EDF">
        <w:rPr>
          <w:rFonts w:ascii="Times New Roman" w:eastAsia="SimSun" w:hAnsi="Times New Roman" w:cs="Mangal"/>
          <w:kern w:val="3"/>
          <w:sz w:val="28"/>
          <w:szCs w:val="28"/>
          <w:lang w:eastAsia="zh-CN" w:bidi="hi-IN"/>
        </w:rPr>
        <w:t xml:space="preserve"> Приморск.</w:t>
      </w:r>
    </w:p>
    <w:p w14:paraId="6049C3D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Постановлением Правительства Российской Федерации от 11.10.2012      № 1035 «Об утверждении критериев регулярности и равномерности реализации товара на бирже для отдельных товарных рынков, на которых обращаются нефть и (или) нефтепродукты» предусмотрены критерии регулярности и равномерности продажи нефти на биржевых торгах.</w:t>
      </w:r>
    </w:p>
    <w:p w14:paraId="08EAD791"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Вместе с тем в настоящее время не установлена минимальная величина продаваемой на бирже нефти. </w:t>
      </w:r>
      <w:r w:rsidRPr="00992EDF">
        <w:rPr>
          <w:rFonts w:ascii="Times New Roman" w:eastAsia="SimSun" w:hAnsi="Times New Roman" w:cs="Mangal"/>
          <w:kern w:val="3"/>
          <w:sz w:val="28"/>
          <w:szCs w:val="28"/>
          <w:lang w:eastAsia="zh-CN" w:bidi="hi-IN"/>
        </w:rPr>
        <w:tab/>
      </w:r>
    </w:p>
    <w:p w14:paraId="345C7B97"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Кроме того, отсутствует требование о поддержании минимально необходимого уровня ликвидности биржевых торгов нефтью, которое позволяет исключить влияние ажиотажного спроса на цену нефти, формирующуюся на биржевых торгах.</w:t>
      </w:r>
    </w:p>
    <w:p w14:paraId="5AFE263F"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 мнению ФАС России, развитие ликвидных биржевых торгов нефтью с поставкой на внутренний рынок может оказать положительное влияние на формирование «эталонной цены» на российскую нефть, поставляемую на экспорт. Данный механизм предоставит возможность при формировании государственной политики, а также долгосрочных стратегий развития компаний, исходить из справедливой оценки инвестиционной привлекательности российских нефтяных компаний.</w:t>
      </w:r>
    </w:p>
    <w:p w14:paraId="630E2948" w14:textId="77777777" w:rsidR="00992EDF" w:rsidRPr="00694CA3" w:rsidRDefault="00992EDF" w:rsidP="00694CA3">
      <w:pPr>
        <w:rPr>
          <w:lang w:eastAsia="ru-RU"/>
        </w:rPr>
      </w:pPr>
    </w:p>
    <w:p w14:paraId="3152ACAA" w14:textId="77777777" w:rsidR="00694CA3" w:rsidRDefault="00883C8E" w:rsidP="00DA3F05">
      <w:pPr>
        <w:pStyle w:val="3"/>
      </w:pPr>
      <w:bookmarkStart w:id="1496" w:name="_Toc7448010"/>
      <w:r w:rsidRPr="001B2F4E">
        <w:t>Достигнутые результаты развития конкуренции и предложения по развитию конкуренции</w:t>
      </w:r>
      <w:bookmarkStart w:id="1497" w:name="_Toc6834357"/>
      <w:bookmarkStart w:id="1498" w:name="_Toc6834644"/>
      <w:bookmarkStart w:id="1499" w:name="_Toc6834847"/>
      <w:bookmarkEnd w:id="1497"/>
      <w:bookmarkEnd w:id="1498"/>
      <w:bookmarkEnd w:id="1499"/>
      <w:bookmarkEnd w:id="1496"/>
    </w:p>
    <w:p w14:paraId="4BB6B2C0" w14:textId="77777777" w:rsidR="00305C53" w:rsidRDefault="00305C53" w:rsidP="00992EDF">
      <w:pPr>
        <w:keepNext/>
        <w:widowControl w:val="0"/>
        <w:autoSpaceDN w:val="0"/>
        <w:spacing w:after="0" w:line="240" w:lineRule="auto"/>
        <w:ind w:firstLine="709"/>
        <w:jc w:val="both"/>
        <w:textAlignment w:val="baseline"/>
        <w:outlineLvl w:val="3"/>
        <w:rPr>
          <w:rFonts w:ascii="Times New Roman" w:eastAsia="SimSun" w:hAnsi="Times New Roman" w:cs="Mangal"/>
          <w:kern w:val="3"/>
          <w:sz w:val="28"/>
          <w:szCs w:val="28"/>
          <w:lang w:eastAsia="zh-CN" w:bidi="hi-IN"/>
        </w:rPr>
      </w:pPr>
    </w:p>
    <w:p w14:paraId="3AF4440C" w14:textId="77777777" w:rsidR="00992EDF" w:rsidRPr="00992EDF" w:rsidRDefault="00992EDF" w:rsidP="00992EDF">
      <w:pPr>
        <w:keepNext/>
        <w:widowControl w:val="0"/>
        <w:autoSpaceDN w:val="0"/>
        <w:spacing w:after="0" w:line="240" w:lineRule="auto"/>
        <w:ind w:firstLine="709"/>
        <w:jc w:val="both"/>
        <w:textAlignment w:val="baseline"/>
        <w:outlineLvl w:val="3"/>
        <w:rPr>
          <w:rFonts w:ascii="Times New Roman" w:eastAsia="SimSun" w:hAnsi="Times New Roman" w:cs="Mangal"/>
          <w:b/>
          <w:bCs/>
          <w:kern w:val="3"/>
          <w:sz w:val="28"/>
          <w:szCs w:val="28"/>
          <w:lang w:eastAsia="zh-CN" w:bidi="hi-IN"/>
        </w:rPr>
      </w:pPr>
      <w:r w:rsidRPr="00992EDF">
        <w:rPr>
          <w:rFonts w:ascii="Times New Roman" w:eastAsia="SimSun" w:hAnsi="Times New Roman" w:cs="Mangal"/>
          <w:kern w:val="3"/>
          <w:sz w:val="28"/>
          <w:szCs w:val="28"/>
          <w:lang w:eastAsia="zh-CN" w:bidi="hi-IN"/>
        </w:rPr>
        <w:t>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w:t>
      </w:r>
    </w:p>
    <w:p w14:paraId="47E3411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Во исполнение поручений Президента Российской Федерации              ФАС России, ФНС России и Банком России 10.12.2015 подписано Соглашение о сотрудничестве по развитию товарных рынков и созданию Биржевого комитета, целью которого является совершенствование механизмов формирования репрезентативных ценовых индикаторов на рынках нефтепродуктов, а также основных принципов организации биржевых торгов нефтепродуктами. В 2017 году к Соглашению присоединились Минпромторг России и Минсельхоз России.</w:t>
      </w:r>
    </w:p>
    <w:p w14:paraId="74453385"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Благодаря деятельности подкомитетов и проектных рабочих групп Биржевого комитета в течение 2018 года оперативно разрешались возникающие вопросы и предпринимались все необходимые меры по предупреждению проблем, что в свою очередь оказало плодотворное и положительное влияние на дальнейшее развитие и совершенствование рынка нефти и нефтепродуктов Российской Федерации.</w:t>
      </w:r>
    </w:p>
    <w:p w14:paraId="1DD6748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результате проводимой ФАС России работы:</w:t>
      </w:r>
    </w:p>
    <w:p w14:paraId="4741E2D2"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 </w:t>
      </w:r>
      <w:r w:rsidRPr="00992EDF">
        <w:rPr>
          <w:rFonts w:ascii="Times New Roman" w:eastAsia="Times New Roman" w:hAnsi="Times New Roman"/>
          <w:sz w:val="28"/>
          <w:szCs w:val="28"/>
        </w:rPr>
        <w:t xml:space="preserve">запущены биржевые торги </w:t>
      </w:r>
      <w:r w:rsidRPr="00992EDF">
        <w:rPr>
          <w:rFonts w:ascii="Times New Roman" w:hAnsi="Times New Roman" w:cs="Times New Roman"/>
          <w:sz w:val="28"/>
          <w:szCs w:val="28"/>
        </w:rPr>
        <w:t>поставочными (фьючерсными) контрактами на нефтепродукты на ст. Аллагуват.</w:t>
      </w:r>
    </w:p>
    <w:p w14:paraId="45A7627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целях развития конкуренции на рынке нефти и нефтепродуктов ФАС России считает необходимым:</w:t>
      </w:r>
    </w:p>
    <w:p w14:paraId="4179305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разработке и утверждению нефтяными компаниями «модельных (торговых) политик»;</w:t>
      </w:r>
    </w:p>
    <w:p w14:paraId="614073E3"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биржевой торговли нефтью на внутреннем рынке Российской Федерации, в том числе принять разработанный ФАС России проект приказа ФАС России и Минэнерго России «О внесении изменений в приказ ФАС России и Минэнерго России «Об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12.01.2015 № 3/15/3»;</w:t>
      </w:r>
    </w:p>
    <w:p w14:paraId="00AAB61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мелкооптовой биржевой торговли нефтепродуктами;</w:t>
      </w:r>
    </w:p>
    <w:p w14:paraId="3018560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SimSun" w:hAnsi="Times New Roman" w:cs="Mangal"/>
          <w:kern w:val="3"/>
          <w:sz w:val="28"/>
          <w:szCs w:val="28"/>
          <w:lang w:eastAsia="zh-CN" w:bidi="hi-IN"/>
        </w:rPr>
        <w:t>- продолжить работу по развитию биржевых торгов расчетными и поставочными фьючерсными контрактами на нефть и нефтепродукты (срочный рынок).</w:t>
      </w:r>
    </w:p>
    <w:p w14:paraId="30A994A1" w14:textId="77777777" w:rsidR="00992EDF" w:rsidRPr="00694CA3" w:rsidRDefault="00992EDF" w:rsidP="00694CA3">
      <w:pPr>
        <w:rPr>
          <w:lang w:eastAsia="ru-RU"/>
        </w:rPr>
      </w:pPr>
    </w:p>
    <w:p w14:paraId="74B79F0B" w14:textId="77777777" w:rsidR="005E5F6F" w:rsidRPr="00992EDF" w:rsidRDefault="00883C8E" w:rsidP="00EF64DA">
      <w:pPr>
        <w:pStyle w:val="2"/>
      </w:pPr>
      <w:bookmarkStart w:id="1500" w:name="_Toc7448011"/>
      <w:r w:rsidRPr="001B2F4E">
        <w:rPr>
          <w:iCs/>
        </w:rPr>
        <w:t xml:space="preserve">В </w:t>
      </w:r>
      <w:r w:rsidRPr="001B2F4E">
        <w:t>сфер</w:t>
      </w:r>
      <w:r w:rsidR="00305C53">
        <w:t>е</w:t>
      </w:r>
      <w:r w:rsidRPr="001B2F4E">
        <w:t xml:space="preserve"> уг</w:t>
      </w:r>
      <w:r w:rsidRPr="00611557">
        <w:rPr>
          <w:iCs/>
        </w:rPr>
        <w:t>о</w:t>
      </w:r>
      <w:r w:rsidRPr="001B2F4E">
        <w:t>льной промышленности</w:t>
      </w:r>
      <w:bookmarkStart w:id="1501" w:name="_Toc1061927"/>
      <w:bookmarkStart w:id="1502" w:name="_Toc1062043"/>
      <w:bookmarkStart w:id="1503" w:name="_Toc1062165"/>
      <w:bookmarkStart w:id="1504" w:name="_Toc1062278"/>
      <w:bookmarkStart w:id="1505" w:name="_Toc2589774"/>
      <w:bookmarkStart w:id="1506" w:name="_Toc2589907"/>
      <w:bookmarkStart w:id="1507" w:name="_Toc2590046"/>
      <w:bookmarkStart w:id="1508" w:name="_Toc3393240"/>
      <w:bookmarkStart w:id="1509" w:name="_Toc3399249"/>
      <w:bookmarkStart w:id="1510" w:name="_Toc3399399"/>
      <w:bookmarkStart w:id="1511" w:name="_Toc3399544"/>
      <w:bookmarkStart w:id="1512" w:name="_Toc3399736"/>
      <w:bookmarkStart w:id="1513" w:name="_Toc3399880"/>
      <w:bookmarkStart w:id="1514" w:name="_Toc3400024"/>
      <w:bookmarkStart w:id="1515" w:name="_Toc3400343"/>
      <w:bookmarkStart w:id="1516" w:name="_Toc3400468"/>
      <w:bookmarkStart w:id="1517" w:name="_Toc3400588"/>
      <w:bookmarkStart w:id="1518" w:name="_Toc3557062"/>
      <w:bookmarkStart w:id="1519" w:name="_Toc3559267"/>
      <w:bookmarkStart w:id="1520" w:name="_Toc3914479"/>
      <w:bookmarkStart w:id="1521" w:name="_Toc3914601"/>
      <w:bookmarkStart w:id="1522" w:name="_Toc3915587"/>
      <w:bookmarkStart w:id="1523" w:name="_Toc3916194"/>
      <w:bookmarkStart w:id="1524" w:name="_Toc3917104"/>
      <w:bookmarkStart w:id="1525" w:name="_Toc3917754"/>
      <w:bookmarkStart w:id="1526" w:name="_Toc3988510"/>
      <w:bookmarkStart w:id="1527" w:name="_Toc3989519"/>
      <w:bookmarkStart w:id="1528" w:name="_Toc3990163"/>
      <w:bookmarkStart w:id="1529" w:name="_Toc3991739"/>
      <w:bookmarkStart w:id="1530" w:name="_Toc3992644"/>
      <w:bookmarkStart w:id="1531" w:name="_Toc4000411"/>
      <w:bookmarkStart w:id="1532" w:name="_Toc4426408"/>
      <w:bookmarkStart w:id="1533" w:name="_Toc4426537"/>
      <w:bookmarkStart w:id="1534" w:name="_Toc4426722"/>
      <w:bookmarkStart w:id="1535" w:name="_Toc4426851"/>
      <w:bookmarkStart w:id="1536" w:name="_Toc4428449"/>
      <w:bookmarkStart w:id="1537" w:name="_Toc4429880"/>
      <w:bookmarkStart w:id="1538" w:name="_Toc4430009"/>
      <w:bookmarkStart w:id="1539" w:name="_Toc4430135"/>
      <w:bookmarkStart w:id="1540" w:name="_Toc4430260"/>
      <w:bookmarkStart w:id="1541" w:name="_Toc4430383"/>
      <w:bookmarkStart w:id="1542" w:name="_Toc4430505"/>
      <w:bookmarkStart w:id="1543" w:name="_Toc4430626"/>
      <w:bookmarkStart w:id="1544" w:name="_Toc4431422"/>
      <w:bookmarkStart w:id="1545" w:name="_Toc4431541"/>
      <w:bookmarkStart w:id="1546" w:name="_Toc4431662"/>
      <w:bookmarkStart w:id="1547" w:name="_Toc4431783"/>
      <w:bookmarkStart w:id="1548" w:name="_Toc4433482"/>
      <w:bookmarkStart w:id="1549" w:name="_Toc4433744"/>
      <w:bookmarkStart w:id="1550" w:name="_Toc4433865"/>
      <w:bookmarkStart w:id="1551" w:name="_Toc4434413"/>
      <w:bookmarkStart w:id="1552" w:name="_Toc4436258"/>
      <w:bookmarkStart w:id="1553" w:name="_Toc4436380"/>
      <w:bookmarkStart w:id="1554" w:name="_Toc4436501"/>
      <w:bookmarkStart w:id="1555" w:name="_Toc4436769"/>
      <w:bookmarkStart w:id="1556" w:name="_Toc4436937"/>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00"/>
    </w:p>
    <w:p w14:paraId="435D542E" w14:textId="77777777" w:rsidR="00305C53" w:rsidRDefault="00305C53" w:rsidP="00992EDF">
      <w:pPr>
        <w:ind w:firstLine="708"/>
        <w:contextualSpacing/>
        <w:jc w:val="both"/>
        <w:rPr>
          <w:rFonts w:ascii="Times New Roman" w:hAnsi="Times New Roman" w:cs="Times New Roman"/>
          <w:sz w:val="28"/>
          <w:szCs w:val="28"/>
        </w:rPr>
      </w:pPr>
    </w:p>
    <w:p w14:paraId="6E734F96" w14:textId="0D661F3A" w:rsidR="00992EDF" w:rsidRPr="00992EDF" w:rsidRDefault="00992EDF" w:rsidP="00992EDF">
      <w:pPr>
        <w:ind w:firstLine="708"/>
        <w:contextualSpacing/>
        <w:jc w:val="both"/>
        <w:rPr>
          <w:rFonts w:ascii="Times New Roman" w:hAnsi="Times New Roman" w:cs="Times New Roman"/>
          <w:sz w:val="28"/>
          <w:szCs w:val="28"/>
        </w:rPr>
      </w:pPr>
      <w:r w:rsidRPr="00992EDF">
        <w:rPr>
          <w:rFonts w:ascii="Times New Roman" w:hAnsi="Times New Roman" w:cs="Times New Roman"/>
          <w:sz w:val="28"/>
          <w:szCs w:val="28"/>
        </w:rPr>
        <w:t>В рамках реализации раздела XI «Угольная промышленность»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w:t>
      </w:r>
      <w:r w:rsidR="00D44F15">
        <w:rPr>
          <w:rFonts w:ascii="Times New Roman" w:hAnsi="Times New Roman" w:cs="Times New Roman"/>
          <w:sz w:val="28"/>
          <w:szCs w:val="28"/>
        </w:rPr>
        <w:t>ерации от 16.08.2018</w:t>
      </w:r>
      <w:r w:rsidRPr="00992EDF">
        <w:rPr>
          <w:rFonts w:ascii="Times New Roman" w:hAnsi="Times New Roman" w:cs="Times New Roman"/>
          <w:sz w:val="28"/>
          <w:szCs w:val="28"/>
        </w:rPr>
        <w:t xml:space="preserve"> № 1697-р:</w:t>
      </w:r>
    </w:p>
    <w:p w14:paraId="58C11664" w14:textId="77777777" w:rsidR="00992EDF" w:rsidRPr="00992EDF" w:rsidRDefault="00992EDF" w:rsidP="00992EDF">
      <w:pPr>
        <w:spacing w:after="0" w:line="240" w:lineRule="auto"/>
        <w:ind w:firstLine="709"/>
        <w:jc w:val="both"/>
        <w:rPr>
          <w:rFonts w:ascii="Times New Roman" w:hAnsi="Times New Roman"/>
          <w:sz w:val="28"/>
          <w:szCs w:val="28"/>
        </w:rPr>
      </w:pPr>
      <w:r w:rsidRPr="00992EDF">
        <w:rPr>
          <w:rFonts w:ascii="Times New Roman" w:hAnsi="Times New Roman"/>
          <w:sz w:val="28"/>
          <w:szCs w:val="28"/>
        </w:rPr>
        <w:t>- от 10.12.2018 № 1717/18 «Об утверждении плана мероприятий по запуску биржевой торговли производными инструментами на уголь и реализации части объемов энергетического угля, добываемого российскими компаниями, на биржевых торгах, проводимых в соответствии с Федеральным законом от 21.11.2011 № 325-ФЗ «Об организованных торгах»;</w:t>
      </w:r>
    </w:p>
    <w:p w14:paraId="0284DF8F" w14:textId="5D4E8B11" w:rsidR="00992EDF" w:rsidRPr="00992EDF" w:rsidRDefault="00992EDF" w:rsidP="00992EDF">
      <w:pPr>
        <w:spacing w:after="0" w:line="240" w:lineRule="auto"/>
        <w:ind w:firstLine="709"/>
        <w:jc w:val="both"/>
        <w:rPr>
          <w:rFonts w:ascii="Times New Roman" w:hAnsi="Times New Roman"/>
          <w:sz w:val="28"/>
          <w:szCs w:val="28"/>
        </w:rPr>
      </w:pPr>
      <w:r w:rsidRPr="00992EDF">
        <w:rPr>
          <w:rFonts w:ascii="Times New Roman" w:hAnsi="Times New Roman"/>
          <w:sz w:val="28"/>
          <w:szCs w:val="28"/>
        </w:rPr>
        <w:t xml:space="preserve">- от 11.12.2018 № 1739/18 «Об утверждении плана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w:t>
      </w:r>
      <w:r w:rsidR="00761903">
        <w:rPr>
          <w:rFonts w:ascii="Times New Roman" w:hAnsi="Times New Roman"/>
          <w:sz w:val="28"/>
          <w:szCs w:val="28"/>
        </w:rPr>
        <w:t>Закона</w:t>
      </w:r>
      <w:r w:rsidRPr="00992EDF">
        <w:rPr>
          <w:rFonts w:ascii="Times New Roman" w:hAnsi="Times New Roman"/>
          <w:sz w:val="28"/>
          <w:szCs w:val="28"/>
        </w:rPr>
        <w:t xml:space="preserve"> 223-ФЗ;</w:t>
      </w:r>
    </w:p>
    <w:p w14:paraId="3E8133A3" w14:textId="77777777" w:rsidR="00992EDF" w:rsidRPr="00992EDF" w:rsidRDefault="00992EDF" w:rsidP="00992EDF">
      <w:pPr>
        <w:spacing w:after="0" w:line="240" w:lineRule="auto"/>
        <w:ind w:firstLine="709"/>
        <w:jc w:val="both"/>
        <w:rPr>
          <w:rFonts w:ascii="Times New Roman" w:hAnsi="Times New Roman"/>
          <w:sz w:val="28"/>
          <w:szCs w:val="28"/>
        </w:rPr>
      </w:pPr>
      <w:r w:rsidRPr="00992EDF">
        <w:rPr>
          <w:rFonts w:ascii="Times New Roman" w:hAnsi="Times New Roman"/>
          <w:sz w:val="28"/>
          <w:szCs w:val="28"/>
        </w:rPr>
        <w:t>- от 11.12.2018 № 1738/18 «Об утверждении плана мероприятий по запуску биржевых торгов новыми рыночными биржевыми механизмами на железнодорожном транспорте».</w:t>
      </w:r>
    </w:p>
    <w:p w14:paraId="7DA6C104" w14:textId="77777777" w:rsidR="00992EDF" w:rsidRPr="00992EDF" w:rsidRDefault="00992EDF" w:rsidP="00992ED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992EDF">
        <w:rPr>
          <w:rFonts w:ascii="Times New Roman" w:eastAsia="Calibri" w:hAnsi="Times New Roman" w:cs="Times New Roman"/>
          <w:sz w:val="28"/>
          <w:szCs w:val="28"/>
          <w:lang w:eastAsia="ru-RU"/>
        </w:rPr>
        <w:t>Основными угледобывающими компаниями Российской Федерации являются группа компаний СУЭК, Кузбассразрезуголь, МЕЧЕЛ, Кузбасская топливная компания, Русский уголь, Сибирский Деловой Союз. В России уголь потребляется практически во всех субъектах Российской Федерации. Основные потребители энергетического угля на внутреннем рынке – электростанции, предприятия ЖКХ. Из угледобывающих регионов самым основным поставщиком угля является Кузнецкий бассейн, где производится более половины (59%) всего добываемого угля.</w:t>
      </w:r>
    </w:p>
    <w:p w14:paraId="0147AE45" w14:textId="100ECC90" w:rsidR="00992EDF" w:rsidRPr="00992EDF" w:rsidRDefault="00992EDF" w:rsidP="00992ED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992EDF">
        <w:rPr>
          <w:rFonts w:ascii="Times New Roman" w:eastAsia="Calibri" w:hAnsi="Times New Roman" w:cs="Times New Roman"/>
          <w:sz w:val="28"/>
          <w:szCs w:val="28"/>
          <w:lang w:eastAsia="ru-RU"/>
        </w:rPr>
        <w:t>По обращению теплоснабжающей организации в городе Воркута, ФАС России выдано предупреждение АО «Воркутауголь» о необходимости устранения признаков нарушения пункта 3 части 1 статьи 10 Закон</w:t>
      </w:r>
      <w:r w:rsidR="00761903">
        <w:rPr>
          <w:rFonts w:ascii="Times New Roman" w:eastAsia="Calibri" w:hAnsi="Times New Roman" w:cs="Times New Roman"/>
          <w:sz w:val="28"/>
          <w:szCs w:val="28"/>
          <w:lang w:eastAsia="ru-RU"/>
        </w:rPr>
        <w:t>а</w:t>
      </w:r>
      <w:r w:rsidRPr="00992EDF">
        <w:rPr>
          <w:rFonts w:ascii="Times New Roman" w:eastAsia="Calibri" w:hAnsi="Times New Roman" w:cs="Times New Roman"/>
          <w:sz w:val="28"/>
          <w:szCs w:val="28"/>
          <w:lang w:eastAsia="ru-RU"/>
        </w:rPr>
        <w:t xml:space="preserve"> о защите конкуренции и заключении договора на поставку угля каменного марки ГЖО сорта СШ для ООО «Воркутинские ТЭЦ» и Интинская ТЭЦ ПАО «Т Плюс» на взаимовыгодных условиях. В результате выполнения предупреждения рост цены на уголь не превысил индексы цен, установленные Прогнозом социально-экономического развития Р</w:t>
      </w:r>
      <w:r w:rsidR="00A41C90">
        <w:rPr>
          <w:rFonts w:ascii="Times New Roman" w:eastAsia="Calibri" w:hAnsi="Times New Roman" w:cs="Times New Roman"/>
          <w:sz w:val="28"/>
          <w:szCs w:val="28"/>
          <w:lang w:eastAsia="ru-RU"/>
        </w:rPr>
        <w:t xml:space="preserve">оссийской </w:t>
      </w:r>
      <w:r w:rsidRPr="00992EDF">
        <w:rPr>
          <w:rFonts w:ascii="Times New Roman" w:eastAsia="Calibri" w:hAnsi="Times New Roman" w:cs="Times New Roman"/>
          <w:sz w:val="28"/>
          <w:szCs w:val="28"/>
          <w:lang w:eastAsia="ru-RU"/>
        </w:rPr>
        <w:t>Ф</w:t>
      </w:r>
      <w:r w:rsidR="00A41C90">
        <w:rPr>
          <w:rFonts w:ascii="Times New Roman" w:eastAsia="Calibri" w:hAnsi="Times New Roman" w:cs="Times New Roman"/>
          <w:sz w:val="28"/>
          <w:szCs w:val="28"/>
          <w:lang w:eastAsia="ru-RU"/>
        </w:rPr>
        <w:t>едерации</w:t>
      </w:r>
      <w:r w:rsidRPr="00992EDF">
        <w:rPr>
          <w:rFonts w:ascii="Times New Roman" w:eastAsia="Calibri" w:hAnsi="Times New Roman" w:cs="Times New Roman"/>
          <w:sz w:val="28"/>
          <w:szCs w:val="28"/>
          <w:lang w:eastAsia="ru-RU"/>
        </w:rPr>
        <w:t xml:space="preserve"> Минэкономразвития России.</w:t>
      </w:r>
    </w:p>
    <w:p w14:paraId="35F52B43" w14:textId="77777777" w:rsidR="00992EDF" w:rsidRPr="00694CA3" w:rsidRDefault="00992EDF" w:rsidP="00694CA3">
      <w:pPr>
        <w:rPr>
          <w:lang w:eastAsia="ru-RU"/>
        </w:rPr>
      </w:pPr>
    </w:p>
    <w:p w14:paraId="19898AE6" w14:textId="680CD054" w:rsidR="00694CA3" w:rsidRPr="00694CA3" w:rsidRDefault="00883C8E" w:rsidP="00EF64DA">
      <w:pPr>
        <w:pStyle w:val="2"/>
      </w:pPr>
      <w:bookmarkStart w:id="1557" w:name="_Toc7448012"/>
      <w:r w:rsidRPr="001B2F4E">
        <w:t>В сфере электроэнергетики</w:t>
      </w:r>
      <w:bookmarkEnd w:id="1557"/>
    </w:p>
    <w:p w14:paraId="5490FFF2" w14:textId="77777777" w:rsidR="00CD3F62" w:rsidRPr="00CD3F62" w:rsidRDefault="00CD3F62"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558" w:name="_Toc1061931"/>
      <w:bookmarkStart w:id="1559" w:name="_Toc1062047"/>
      <w:bookmarkStart w:id="1560" w:name="_Toc1062169"/>
      <w:bookmarkStart w:id="1561" w:name="_Toc1062282"/>
      <w:bookmarkStart w:id="1562" w:name="_Toc2589778"/>
      <w:bookmarkStart w:id="1563" w:name="_Toc2589911"/>
      <w:bookmarkStart w:id="1564" w:name="_Toc2590050"/>
      <w:bookmarkStart w:id="1565" w:name="_Toc3393244"/>
      <w:bookmarkStart w:id="1566" w:name="_Toc3399253"/>
      <w:bookmarkStart w:id="1567" w:name="_Toc3399403"/>
      <w:bookmarkStart w:id="1568" w:name="_Toc3399548"/>
      <w:bookmarkStart w:id="1569" w:name="_Toc3399740"/>
      <w:bookmarkStart w:id="1570" w:name="_Toc3399884"/>
      <w:bookmarkStart w:id="1571" w:name="_Toc3400028"/>
      <w:bookmarkStart w:id="1572" w:name="_Toc3400347"/>
      <w:bookmarkStart w:id="1573" w:name="_Toc3400472"/>
      <w:bookmarkStart w:id="1574" w:name="_Toc3400592"/>
      <w:bookmarkStart w:id="1575" w:name="_Toc3557066"/>
      <w:bookmarkStart w:id="1576" w:name="_Toc3559271"/>
      <w:bookmarkStart w:id="1577" w:name="_Toc7189804"/>
      <w:bookmarkStart w:id="1578" w:name="_Toc7190034"/>
      <w:bookmarkStart w:id="1579" w:name="_Toc7190388"/>
      <w:bookmarkStart w:id="1580" w:name="_Toc7190837"/>
      <w:bookmarkStart w:id="1581" w:name="_Toc7191583"/>
      <w:bookmarkStart w:id="1582" w:name="_Toc7447208"/>
      <w:bookmarkStart w:id="1583" w:name="_Toc7448013"/>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14:paraId="786209AE" w14:textId="77777777" w:rsidR="00CD3F62" w:rsidRPr="00CD3F62" w:rsidRDefault="00CD3F62"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584" w:name="_Toc7189805"/>
      <w:bookmarkStart w:id="1585" w:name="_Toc7190035"/>
      <w:bookmarkStart w:id="1586" w:name="_Toc7190389"/>
      <w:bookmarkStart w:id="1587" w:name="_Toc7190838"/>
      <w:bookmarkStart w:id="1588" w:name="_Toc7191584"/>
      <w:bookmarkStart w:id="1589" w:name="_Toc7447209"/>
      <w:bookmarkStart w:id="1590" w:name="_Toc7448014"/>
      <w:bookmarkEnd w:id="1584"/>
      <w:bookmarkEnd w:id="1585"/>
      <w:bookmarkEnd w:id="1586"/>
      <w:bookmarkEnd w:id="1587"/>
      <w:bookmarkEnd w:id="1588"/>
      <w:bookmarkEnd w:id="1589"/>
      <w:bookmarkEnd w:id="1590"/>
    </w:p>
    <w:p w14:paraId="4FDC8620" w14:textId="77777777" w:rsidR="00BB7A44" w:rsidRPr="00BB7A44" w:rsidRDefault="00BB7A44" w:rsidP="00BB7A44">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591" w:name="_Toc7191585"/>
      <w:bookmarkStart w:id="1592" w:name="_Toc7447210"/>
      <w:bookmarkStart w:id="1593" w:name="_Toc7448015"/>
      <w:bookmarkEnd w:id="1591"/>
      <w:bookmarkEnd w:id="1592"/>
      <w:bookmarkEnd w:id="1593"/>
    </w:p>
    <w:p w14:paraId="4CA26B87" w14:textId="2E9CC91F" w:rsidR="00883C8E" w:rsidRPr="00674A97" w:rsidRDefault="00305C53" w:rsidP="00BB7A44">
      <w:pPr>
        <w:pStyle w:val="3"/>
        <w:rPr>
          <w:rFonts w:eastAsiaTheme="majorEastAsia"/>
        </w:rPr>
      </w:pPr>
      <w:r>
        <w:t xml:space="preserve"> </w:t>
      </w:r>
      <w:bookmarkStart w:id="1594" w:name="_Toc7448016"/>
      <w:r w:rsidR="00883C8E" w:rsidRPr="001B2F4E">
        <w:t>Состояние конкуренции: тенденции и проблемы</w:t>
      </w:r>
      <w:bookmarkStart w:id="1595" w:name="_Toc6834360"/>
      <w:bookmarkStart w:id="1596" w:name="_Toc6834647"/>
      <w:bookmarkStart w:id="1597" w:name="_Toc6834850"/>
      <w:bookmarkEnd w:id="1595"/>
      <w:bookmarkEnd w:id="1596"/>
      <w:bookmarkEnd w:id="1597"/>
      <w:bookmarkEnd w:id="1594"/>
    </w:p>
    <w:p w14:paraId="0E03E8F2" w14:textId="77777777" w:rsidR="00674A97" w:rsidRDefault="00674A97" w:rsidP="00674A97">
      <w:pPr>
        <w:keepNext/>
        <w:keepLines/>
        <w:spacing w:before="40" w:after="0"/>
        <w:outlineLvl w:val="2"/>
        <w:rPr>
          <w:rFonts w:ascii="Times New Roman" w:eastAsiaTheme="majorEastAsia" w:hAnsi="Times New Roman" w:cs="Times New Roman"/>
          <w:vanish/>
          <w:sz w:val="28"/>
          <w:szCs w:val="28"/>
        </w:rPr>
      </w:pPr>
    </w:p>
    <w:p w14:paraId="470C49A8" w14:textId="77777777" w:rsidR="00305C53" w:rsidRDefault="00305C53" w:rsidP="00674A97">
      <w:pPr>
        <w:spacing w:after="0" w:line="240" w:lineRule="auto"/>
        <w:ind w:firstLine="709"/>
        <w:jc w:val="both"/>
        <w:rPr>
          <w:rFonts w:ascii="Times New Roman" w:eastAsia="Times New Roman" w:hAnsi="Times New Roman" w:cs="Times New Roman"/>
          <w:sz w:val="28"/>
          <w:szCs w:val="28"/>
          <w:u w:val="single"/>
          <w:lang w:eastAsia="ru-RU"/>
        </w:rPr>
      </w:pPr>
    </w:p>
    <w:p w14:paraId="3D727F4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1. Состояние конкуренции на розничных рынках электрической энергии.</w:t>
      </w:r>
    </w:p>
    <w:p w14:paraId="6C89D16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Одной из основных целей анализа состояния конкурентной среды на розничных рынках электрической энергии (мощности) на территории субъектов Российской Федерации является установление доминирующего положения энергосбытовых компаний (в том числе гарантирующих поставщиков) в рамках рассматриваемых субъектов.</w:t>
      </w:r>
    </w:p>
    <w:p w14:paraId="7E33845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результатам информации, представленной территориальными органами ФАС России в рамках проведения анализа состояния конкуренции в 2018 году, установлено, что региональные розничные рынки купли-продажи электрической энергии (мощности) характеризовались высоким уровнем концентрации и неразвитой конкуренцией.</w:t>
      </w:r>
    </w:p>
    <w:p w14:paraId="19688C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Согласно вышеуказанным расчетам, большинство гарантирующих поставщиков занимают долю на рынке купли-продажи (поставки) электрической энергии в размере более 75% на территории соответствующего субъекта Российской Федерации, в большинстве регионов их доля близка к 100%. При этом, в ряде регионов только гарантирующий поставщик является субъектом оптового рынка электрической энергии, и все остальные энергосбытовые компании покупают электроэнергию у него. В некоторых регионах произошло возрастание рыночной доли гарантирующего поставщика электроэнергии, в том числе за счет поглощения энергосбытовых компаний.</w:t>
      </w:r>
    </w:p>
    <w:p w14:paraId="5AF4C2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Доли остальных энергосбытовых компаний не превышают 35% на розничных рынках электрической энергии (мощности). В ряде регионов произошло ослабление доли гарантирующего поставщика за счет увеличения доли иных энергосбытовых организаций.</w:t>
      </w:r>
    </w:p>
    <w:p w14:paraId="7ADE97E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Картина состояния конкурентной среды в регионах России в целом является схожей по сравнению с 2017 годом: в 2018 г. территориальными органами были отмечены 691 энергосбытовых организаций (в их числе филиалы энергосбытовых организаций, действующих на территориях нескольких субъектов Российской Федерации), 310 из которых обладали статусом гарантирующего поставщика.</w:t>
      </w:r>
    </w:p>
    <w:p w14:paraId="4877812B" w14:textId="22CA6B6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Лишение статуса крупного гарантирующего поставщика АО «Оборонэнергосбыт», действующего на территории более половины субъектов Российской Федерации</w:t>
      </w:r>
      <w:r w:rsidR="00A41C90">
        <w:rPr>
          <w:rFonts w:ascii="Times New Roman" w:eastAsia="Times New Roman" w:hAnsi="Times New Roman" w:cs="Times New Roman"/>
          <w:sz w:val="28"/>
          <w:szCs w:val="28"/>
          <w:lang w:eastAsia="ru-RU"/>
        </w:rPr>
        <w:t>,</w:t>
      </w:r>
      <w:r w:rsidRPr="00674A97">
        <w:rPr>
          <w:rFonts w:ascii="Times New Roman" w:eastAsia="Times New Roman" w:hAnsi="Times New Roman" w:cs="Times New Roman"/>
          <w:sz w:val="28"/>
          <w:szCs w:val="28"/>
          <w:lang w:eastAsia="ru-RU"/>
        </w:rPr>
        <w:t xml:space="preserve"> не оказало существенного влияния на рынки электрической энергии (мощности), а также на состояние конкуренции на указанных рынках. Таким образом, это свидетельствует об устойчивом состоянии рынков электрической энергии (мощности) со способностью быстрого реагирования на неожиданные изменения.</w:t>
      </w:r>
    </w:p>
    <w:p w14:paraId="2BA3244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Розничные рынки купли-продажи (поставки) электрической энергии относятся к потенциально конкурентной сфере деятельности в условиях, если продажа электроэнергии осуществляется несколькими энергосбытовыми организациями в зоне деятельности гарантирующего поставщика на одной и той же территории в границах сетей соответствующей сетевой организации.</w:t>
      </w:r>
    </w:p>
    <w:p w14:paraId="2CB30FC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связи с этим необходимо отметить, что в ряде регионов наблюдается тенденция развития конкуренции на розничном рынке электрической энергии, выразившаяся в появлении независимых энергосбытовых компаний, продающих покупаемую ими на оптовом рынке электроэнергию на розничном рынке, наряду с гарантирующими поставщиками.</w:t>
      </w:r>
    </w:p>
    <w:p w14:paraId="6C7145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Учитывая изложенное, ФАС России выступает за совершенствование концепции развития конкуренции на розничных рынках электрической энергии.</w:t>
      </w:r>
    </w:p>
    <w:p w14:paraId="5089AA8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ФАС России предлагается осуществление следующих мероприятий:</w:t>
      </w:r>
    </w:p>
    <w:p w14:paraId="4C60B45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расширение использования механизмов двухсторонних договоров купли-продажи электрической энергии и мероприятия для развития конкуренции на розничных рынках электрической энергии;</w:t>
      </w:r>
    </w:p>
    <w:p w14:paraId="34F46F7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сокращение зон свободного перетока;</w:t>
      </w:r>
    </w:p>
    <w:p w14:paraId="2065D31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конкуренции на Дальнем Востоке путем создания конкуренции между производителями электрической энергии;</w:t>
      </w:r>
    </w:p>
    <w:p w14:paraId="7D61156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ВИЭ на технологически изолированных территориях Дальнего Востока;</w:t>
      </w:r>
    </w:p>
    <w:p w14:paraId="107E81F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безусловное соблюдение запрета на совмещение естественно- монопольных и конкурентных видов деятельности.</w:t>
      </w:r>
    </w:p>
    <w:p w14:paraId="604C6BB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предлагаются такие изменения, как участие потребителей и энергосбытовых компаний на оптовом рынке по упрощенной схеме по единой группе точек поставки (далее - ГТП), зарегистрированной за гарантирующим поставщиком (ЕГТП), что приведет к либерализации розничного рынка, а именно:</w:t>
      </w:r>
    </w:p>
    <w:p w14:paraId="6ECE4CC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расширению состава участников;</w:t>
      </w:r>
    </w:p>
    <w:p w14:paraId="7B63AE8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снижению монопольной силы ГП;</w:t>
      </w:r>
    </w:p>
    <w:p w14:paraId="3A2B5B3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конкуренции за потребителя;</w:t>
      </w:r>
    </w:p>
    <w:p w14:paraId="2C5735A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договорным условиям по ценам и качеству обслуживания;</w:t>
      </w:r>
    </w:p>
    <w:p w14:paraId="28B23E5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быстрой смене сбытов.</w:t>
      </w:r>
    </w:p>
    <w:p w14:paraId="590EF81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Состояние конкуренции на оптовом рынке электрической энергии (мощности).</w:t>
      </w:r>
    </w:p>
    <w:p w14:paraId="2E5115D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проведен анализ состояния конкуренции на оптовом рынке за 2017 год. Уровень концентрации (CR) на оптовом рынке электрической энергии и мощности по объему производства электрической энергии, установленной мощности в географических границах Первой ценовой зоны - умеренный, в географических границах Второй ценовой зоны по объему производства электрической энергии - высокий, по установленной мощности - высокий.</w:t>
      </w:r>
    </w:p>
    <w:p w14:paraId="77C011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потребления электрической энергии и мощности в географических границах Первой ценовой зоны - низкий, а в географических границах Второй ценовой зоны - умеренный.</w:t>
      </w:r>
    </w:p>
    <w:p w14:paraId="1E60DCE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Большая часть генерирующих активов страны сосредоточена в тепловых генерирующих компаниях оптового рынка электроэнергии (ОГК), федеральной гидрогенерирующей компании оптового рынка (ПАО «Русгидро»), 14 территориальных генерирующих компаниях (ТГК) и концерне «Росэнергоатом».</w:t>
      </w:r>
    </w:p>
    <w:p w14:paraId="0507115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производства электроэнергии и по установленной мощности в географических границах зон свободного перетока – высокий.</w:t>
      </w:r>
    </w:p>
    <w:p w14:paraId="7B30E96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Значение индекса рыночной концентрации Герфиндаля-Гиршмана (HHI) также соответствует высокому уровню концентрации товарных рынков. Умеренный уровень концентрации по установленной мощности в 2017 году установлен только в географических границах ЗСП Урал и ЗСП Центр.</w:t>
      </w:r>
    </w:p>
    <w:p w14:paraId="1E771A7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Несмотря на то, что в 2017 году на оптовом рынке количество участников ОРЭМ увеличилось на 24 (35 %) по сравнению с 2016 годом и функционировало 92 генерирующих компаний, в границах зон свободного перетока рынок характеризуется недостаточным количеством производителей и высокой вероятностью использования ими своей рыночной силы.</w:t>
      </w:r>
    </w:p>
    <w:p w14:paraId="5A3F1F6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целом, реформирование электроэнергетики привело к увеличению количества независимых участников оптового рынка электрической энергии (мощности), и снижению уровня концентрации на нем.</w:t>
      </w:r>
    </w:p>
    <w:p w14:paraId="42A5440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 барьерам входа (выхода) на оптовый рынок электрической энергии (мощности) относятся экономические ограничения, в том числе:</w:t>
      </w:r>
    </w:p>
    <w:p w14:paraId="5930B46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 в том числе на присоединение к объектам электросетевой инфраструктуры;</w:t>
      </w:r>
    </w:p>
    <w:p w14:paraId="3C860C7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D9A0A4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невозможность выйти с рынка (путем вывода из эксплуатации) до получения соответствующего разрешения;</w:t>
      </w:r>
    </w:p>
    <w:p w14:paraId="19890AB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обусловливающего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396D5F9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технические ограничения – установленная генерирующая мощность в каждой группе точек поставки производителя должна составлять не менее 5 МВт.</w:t>
      </w:r>
    </w:p>
    <w:p w14:paraId="33F9959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Расширение границ оптового рынка электрической энергии (мощности).</w:t>
      </w:r>
    </w:p>
    <w:p w14:paraId="08EC013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декабре 2018 года Правительством Российской Федерации было принято решение о присоединении Западного и Центрального энергорайонов Республики Саха (Якутия) к зоне оптового рынка электроэнергии (мощности) (ОРЭМ) с 1 января 2019.</w:t>
      </w:r>
    </w:p>
    <w:p w14:paraId="60F69801" w14:textId="682D39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Так, в соответствии с </w:t>
      </w:r>
      <w:r w:rsidR="00A41C90">
        <w:rPr>
          <w:rFonts w:ascii="Times New Roman" w:eastAsia="Times New Roman" w:hAnsi="Times New Roman" w:cs="Times New Roman"/>
          <w:sz w:val="28"/>
          <w:szCs w:val="28"/>
          <w:lang w:eastAsia="ru-RU"/>
        </w:rPr>
        <w:t>п</w:t>
      </w:r>
      <w:r w:rsidRPr="00674A97">
        <w:rPr>
          <w:rFonts w:ascii="Times New Roman" w:eastAsia="Times New Roman" w:hAnsi="Times New Roman" w:cs="Times New Roman"/>
          <w:sz w:val="28"/>
          <w:szCs w:val="28"/>
          <w:lang w:eastAsia="ru-RU"/>
        </w:rPr>
        <w:t>остановлением Правительства Российской Федерации от 08.12.2018 № 1496 Западный и Центральный энергорайоны Республики Саха (Якутия) исключены из изолированной зоны и включены в неценовую зону оптового рынка электроэнергии (мощности) с 1 января 2019.</w:t>
      </w:r>
    </w:p>
    <w:p w14:paraId="6F324B1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Результатом чего явилось расширении границ оптового рынка электроэнергии и мощности, что способствует улучшению инвестиционного климата не только региона, но и всей зоны ОРЭМ, а также создает условия для развития конкуренции.</w:t>
      </w:r>
    </w:p>
    <w:p w14:paraId="777753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p>
    <w:p w14:paraId="37DD4E4D" w14:textId="77777777" w:rsidR="00674A97" w:rsidRPr="00674A97" w:rsidRDefault="00674A97" w:rsidP="00DA3F05">
      <w:pPr>
        <w:pStyle w:val="3"/>
      </w:pPr>
      <w:bookmarkStart w:id="1598" w:name="_Toc7448017"/>
      <w:r w:rsidRPr="00674A97">
        <w:t>«Достигнутые результаты развития конкуренции и предложения по развитию конкуренции».</w:t>
      </w:r>
      <w:bookmarkStart w:id="1599" w:name="_Toc6834361"/>
      <w:bookmarkStart w:id="1600" w:name="_Toc6834648"/>
      <w:bookmarkStart w:id="1601" w:name="_Toc6834851"/>
      <w:bookmarkEnd w:id="1599"/>
      <w:bookmarkEnd w:id="1600"/>
      <w:bookmarkEnd w:id="1601"/>
      <w:bookmarkEnd w:id="1598"/>
    </w:p>
    <w:p w14:paraId="4011A788" w14:textId="77777777" w:rsidR="00305C53" w:rsidRDefault="00305C53" w:rsidP="00674A97">
      <w:pPr>
        <w:spacing w:after="0" w:line="240" w:lineRule="auto"/>
        <w:ind w:firstLine="709"/>
        <w:jc w:val="both"/>
        <w:rPr>
          <w:rFonts w:ascii="Times New Roman" w:eastAsia="Times New Roman" w:hAnsi="Times New Roman" w:cs="Times New Roman"/>
          <w:sz w:val="28"/>
          <w:szCs w:val="28"/>
          <w:lang w:eastAsia="ru-RU"/>
        </w:rPr>
      </w:pPr>
    </w:p>
    <w:p w14:paraId="0054D1C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ФАС России выданы предупреждения АО «АТС» и Ассоциации «НП Совет рынка»:</w:t>
      </w:r>
    </w:p>
    <w:p w14:paraId="510113DD" w14:textId="77777777" w:rsidR="00674A97" w:rsidRPr="00674A97" w:rsidRDefault="00674A97" w:rsidP="00BE213D">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о необходимости прекращения действий по навязыванию контрагентам невыгодных условий Договора о присоединении к торговой системе оптового рынка (далее – Договор), а именно в части положений раздела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согласно которым установлен закрытый перечень способов обеспечения обязательств по оплате штрафов по ДПМ ВИЭ и отсутствует возможность использования банковской гарантии как одного из способов обеспечения обязательств по оплате штрафов по ДПМ ВИЭ, что может привести к ограничению конкуренции, так как существенно сужает круг возможных участников отбора инвестиционных проектов по строительству генерирующих объектов, функционирующих на основе использования возобновляемых источников энергии, путем внесения в Регламент проведения отборов инвестиционных проектов изменений, предусматривающих возможность использования банковской гарантии как одного из способов обеспечения обязательств по оплате штрафов по ДПМ ВИЭ; </w:t>
      </w:r>
    </w:p>
    <w:p w14:paraId="3163EB3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о недопущении действий, которые могут привести к созданию дискриминационных условий путем внесения изменений в положения статьи 24.2 Положения о применении санкций на оптовом рынке электрической энергии и мощности (Приложение № 21 к Договору о присоединении к торговой системе оптового рынка) в части обстоятельств, исключающих ответственность участника по непредставлению финансовых гарантий на ОРЭМ, если участник представил в адрес Дисциплинарной комиссии нотариально заверенную копию соглашения о реструктуризации задолженности за услуги по передаче с сетевой компанией, заключенного начиная с декабря 2017 года, а также подтверждение от Ассоциации «НП Совет рынка» о выполнении графика оплаты обязательств по договорам, заключенным на оптовом рынке электрической энергии и мощности, представленного в адрес Ассоциации «НП Совет рынка», принятые на ограниченный срок (с 20 февраля 2018 года по 31 июля 2018 года, с пролонгацией до 31 августа 2018 года), путем отмены принятых изменений в положения статьи 24.2 Положения о применении санкций на оптовом рынке электрической энергии и мощности.</w:t>
      </w:r>
    </w:p>
    <w:p w14:paraId="614279D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После вынесения предупреждений ФАС России возможные нарушения антимонопольного законодательства были устранены.</w:t>
      </w:r>
    </w:p>
    <w:p w14:paraId="4E49DC91" w14:textId="680BDC3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 В 2018 году ФАС России признала ПАО «Юнипро»</w:t>
      </w:r>
      <w:r w:rsidR="00A41C90">
        <w:rPr>
          <w:rFonts w:ascii="Times New Roman" w:eastAsia="Times New Roman" w:hAnsi="Times New Roman" w:cs="Times New Roman"/>
          <w:sz w:val="28"/>
          <w:szCs w:val="28"/>
          <w:lang w:eastAsia="ru-RU"/>
        </w:rPr>
        <w:t xml:space="preserve"> и АО «СО ЕЭС» нарушившими часть</w:t>
      </w:r>
      <w:r w:rsidRPr="00674A97">
        <w:rPr>
          <w:rFonts w:ascii="Times New Roman" w:eastAsia="Times New Roman" w:hAnsi="Times New Roman" w:cs="Times New Roman"/>
          <w:sz w:val="28"/>
          <w:szCs w:val="28"/>
          <w:lang w:eastAsia="ru-RU"/>
        </w:rPr>
        <w:t xml:space="preserve"> 1 статьи 10 Закона о защите конкуренции.</w:t>
      </w:r>
    </w:p>
    <w:p w14:paraId="029F72E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феврале 2016 года на генерирующем объекте ПАО «Юнипро» (Энергоблок № 3 Березовской ГРЭС), произошел пожар, что привело к фактической неработоспособности Энергоблока и прекращении поставки мощности.</w:t>
      </w:r>
    </w:p>
    <w:p w14:paraId="3A06F12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ПАО «Юнипро», осознавая фактическую неработоспособность геноборудования, не заявило о необходимости проведения внеочередной аттестации с целью установления объективного состояния оборудования и его фактическую способность быть готовым к выработке электроэнергии. Это безусловно повлияло бы на установление нулевых (фактических) объемов мощности и, соответственно, на счета, выставляемые потребителям.</w:t>
      </w:r>
    </w:p>
    <w:p w14:paraId="375EA06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свою очередь АО «СО ЕЭС», располагая сведениями о том, что Энергоблок не вырабатывает энергию и имея прямые и косвенные данные о масштабности аварии, также не инициировал внеочередную процедуру проведения тестирования генерирующего оборудования.</w:t>
      </w:r>
    </w:p>
    <w:p w14:paraId="443CF04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недобросовестного поведения двух субъектов потребители продолжали в течение 9 месяцев оплачивать фактически не поставляемую на рынок мощность (переплата составила более 950 млн. руб.).</w:t>
      </w:r>
    </w:p>
    <w:p w14:paraId="70DAB19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Арбитражный суд г. Москвы подтвердил законность решения ФАС России.</w:t>
      </w:r>
    </w:p>
    <w:p w14:paraId="10DC4AA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Дело вызвало широкий общественный резонанс как со стороны рыночного сообщества, так и среди органов исполнительной власти.</w:t>
      </w:r>
    </w:p>
    <w:p w14:paraId="6E29675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стадии рассмотрения дела в суде апелляционной инстанции было заключено мировое соглашение с ПАО «Юнипро» и АО «СО ЕЭС», в котором ПАО «Юнипро» признало нарушение.</w:t>
      </w:r>
    </w:p>
    <w:p w14:paraId="456EAA62" w14:textId="02C46D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ходе разбирательств по делу неоднократно вносились изменения в регламенты оптового рынка, а в результате принято постановление Правительства Р</w:t>
      </w:r>
      <w:r w:rsidR="00936FC2">
        <w:rPr>
          <w:rFonts w:ascii="Times New Roman" w:eastAsia="Times New Roman" w:hAnsi="Times New Roman" w:cs="Times New Roman"/>
          <w:sz w:val="28"/>
          <w:szCs w:val="28"/>
          <w:lang w:eastAsia="ru-RU"/>
        </w:rPr>
        <w:t xml:space="preserve">оссийской </w:t>
      </w:r>
      <w:r w:rsidRPr="00674A97">
        <w:rPr>
          <w:rFonts w:ascii="Times New Roman" w:eastAsia="Times New Roman" w:hAnsi="Times New Roman" w:cs="Times New Roman"/>
          <w:sz w:val="28"/>
          <w:szCs w:val="28"/>
          <w:lang w:eastAsia="ru-RU"/>
        </w:rPr>
        <w:t>Ф</w:t>
      </w:r>
      <w:r w:rsidR="00936FC2">
        <w:rPr>
          <w:rFonts w:ascii="Times New Roman" w:eastAsia="Times New Roman" w:hAnsi="Times New Roman" w:cs="Times New Roman"/>
          <w:sz w:val="28"/>
          <w:szCs w:val="28"/>
          <w:lang w:eastAsia="ru-RU"/>
        </w:rPr>
        <w:t>едерации</w:t>
      </w:r>
      <w:r w:rsidRPr="00674A97">
        <w:rPr>
          <w:rFonts w:ascii="Times New Roman" w:eastAsia="Times New Roman" w:hAnsi="Times New Roman" w:cs="Times New Roman"/>
          <w:sz w:val="28"/>
          <w:szCs w:val="28"/>
          <w:lang w:eastAsia="ru-RU"/>
        </w:rPr>
        <w:t xml:space="preserve"> (от 27.12.2017 № 1664), устанавливающее императивный срок (до одного месяца) оплаты за мощность в случае вывода объекта в длительный ремонт в результате аварии.</w:t>
      </w:r>
    </w:p>
    <w:p w14:paraId="418B3E8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благодаря проведенному антимонопольному разбирательству были внесены изменения в нормативные правовые акты и в регламенты оптового рынка, в целях совершенствования порядка расчета объемов при возникновении подобных случаев.</w:t>
      </w:r>
    </w:p>
    <w:p w14:paraId="15EB95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в настоящее время исключены случаи оплаты потребителями фактически не поставленной на рынок мощности.</w:t>
      </w:r>
    </w:p>
    <w:p w14:paraId="09E51068" w14:textId="29AB4010"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3. В 2018 году ФАС России признала в действиях АО «Чеченэнерго» нарушение пункта 11 части 1 статьи 10 </w:t>
      </w:r>
      <w:r w:rsidR="00936FC2">
        <w:rPr>
          <w:rFonts w:ascii="Times New Roman" w:eastAsia="Times New Roman" w:hAnsi="Times New Roman" w:cs="Times New Roman"/>
          <w:sz w:val="28"/>
          <w:szCs w:val="28"/>
          <w:lang w:eastAsia="ru-RU"/>
        </w:rPr>
        <w:t>Закона о защите конкуренции</w:t>
      </w:r>
      <w:r w:rsidRPr="00674A97">
        <w:rPr>
          <w:rFonts w:ascii="Times New Roman" w:eastAsia="Times New Roman" w:hAnsi="Times New Roman" w:cs="Times New Roman"/>
          <w:sz w:val="28"/>
          <w:szCs w:val="28"/>
          <w:lang w:eastAsia="ru-RU"/>
        </w:rPr>
        <w:t>, выразившегося в манипулировании ценами на розничном рынке электрической энергии (мощности).</w:t>
      </w:r>
    </w:p>
    <w:p w14:paraId="33B319EF" w14:textId="1835018D"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действий (бездействия) АО «Чеченэнерго» по выставлению завышенных счетов за электроэнергию, потребители оплачивали электроэнергию (мощность) по нерегулируемой цене (ставки нерегулируемой цены), превышающей значение предельного уровня нерегулируемой цены на 9,7% - в октябре 2016 года, на 18,8% - в сентябре 201</w:t>
      </w:r>
      <w:r w:rsidR="00936FC2">
        <w:rPr>
          <w:rFonts w:ascii="Times New Roman" w:eastAsia="Times New Roman" w:hAnsi="Times New Roman" w:cs="Times New Roman"/>
          <w:sz w:val="28"/>
          <w:szCs w:val="28"/>
          <w:lang w:eastAsia="ru-RU"/>
        </w:rPr>
        <w:t>6 года предельно допустимого 10</w:t>
      </w:r>
      <w:r w:rsidRPr="00674A97">
        <w:rPr>
          <w:rFonts w:ascii="Times New Roman" w:eastAsia="Times New Roman" w:hAnsi="Times New Roman" w:cs="Times New Roman"/>
          <w:sz w:val="28"/>
          <w:szCs w:val="28"/>
          <w:lang w:eastAsia="ru-RU"/>
        </w:rPr>
        <w:t>% порога.</w:t>
      </w:r>
    </w:p>
    <w:p w14:paraId="78F6A97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АО «Чеченэнерго» признало нарушение и не оспаривало решение ФАС России в суде. Назначено наказание в виде административного штрафа в размере 18 217 953 рублей.</w:t>
      </w:r>
    </w:p>
    <w:p w14:paraId="29D0D4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shd w:val="clear" w:color="auto" w:fill="FFFFFF"/>
          <w:lang w:eastAsia="ru-RU"/>
        </w:rPr>
        <w:t xml:space="preserve">4. В </w:t>
      </w:r>
      <w:r w:rsidRPr="00674A97">
        <w:rPr>
          <w:rFonts w:ascii="Times New Roman" w:eastAsia="Times New Roman" w:hAnsi="Times New Roman" w:cs="Times New Roman"/>
          <w:sz w:val="28"/>
          <w:szCs w:val="28"/>
          <w:lang w:eastAsia="ru-RU"/>
        </w:rPr>
        <w:t>настоящее время ФАС России совместно с АО «АТС» осуществляет ежесуточный мониторинг цен на оптовом рынке электроэнергии и мощности, а также проводит работу с АО «АТС» по заключению Соглашения об информационном взаимодействии в электронной форме.</w:t>
      </w:r>
    </w:p>
    <w:p w14:paraId="4B7D1BD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Данное соглашение позволит наладить электронное информационное взаимодействие по вопросам функционирования оптового рынка электрической энергии и мощности в целях выполнения задач и функций, возложенных на ФАС России и АО «АТС» нормативными правовыми актами Российской Федерации, а в отношении АО «АТС» дополнительно Договором о присоединении к торговой системе оптового рынка.</w:t>
      </w:r>
    </w:p>
    <w:p w14:paraId="19A2CD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Соглашение позволит унифицировать процессы, предусмотренные в рамках Порядка формирования сводного прогнозного баланса электрической энергии и мощности, утвержденного приказом ФСТ России от 12.04.2012 № 53-э/1.</w:t>
      </w:r>
    </w:p>
    <w:p w14:paraId="15B7FD0C" w14:textId="77777777" w:rsidR="00674A97" w:rsidRPr="00674A97" w:rsidRDefault="00674A97" w:rsidP="00674A97"/>
    <w:p w14:paraId="4E73817C" w14:textId="77777777" w:rsidR="005E5F6F" w:rsidRPr="009A72C1" w:rsidRDefault="00883C8E" w:rsidP="00EF64DA">
      <w:pPr>
        <w:pStyle w:val="2"/>
        <w:rPr>
          <w:iCs/>
        </w:rPr>
      </w:pPr>
      <w:bookmarkStart w:id="1602" w:name="_Toc7448018"/>
      <w:r w:rsidRPr="001B2F4E">
        <w:t xml:space="preserve">В сфере </w:t>
      </w:r>
      <w:r w:rsidRPr="00611557">
        <w:t>транспортных</w:t>
      </w:r>
      <w:r w:rsidRPr="001B2F4E">
        <w:rPr>
          <w:iCs/>
        </w:rPr>
        <w:t xml:space="preserve"> услуг</w:t>
      </w:r>
      <w:bookmarkStart w:id="1603" w:name="_Toc1061935"/>
      <w:bookmarkStart w:id="1604" w:name="_Toc1062051"/>
      <w:bookmarkStart w:id="1605" w:name="_Toc1062173"/>
      <w:bookmarkStart w:id="1606" w:name="_Toc1062286"/>
      <w:bookmarkStart w:id="1607" w:name="_Toc2589782"/>
      <w:bookmarkStart w:id="1608" w:name="_Toc2589915"/>
      <w:bookmarkStart w:id="1609" w:name="_Toc2590054"/>
      <w:bookmarkStart w:id="1610" w:name="_Toc3393248"/>
      <w:bookmarkStart w:id="1611" w:name="_Toc3399257"/>
      <w:bookmarkStart w:id="1612" w:name="_Toc3399407"/>
      <w:bookmarkStart w:id="1613" w:name="_Toc3399552"/>
      <w:bookmarkStart w:id="1614" w:name="_Toc3399744"/>
      <w:bookmarkStart w:id="1615" w:name="_Toc3399888"/>
      <w:bookmarkStart w:id="1616" w:name="_Toc3400032"/>
      <w:bookmarkStart w:id="1617" w:name="_Toc3400351"/>
      <w:bookmarkStart w:id="1618" w:name="_Toc3400476"/>
      <w:bookmarkStart w:id="1619" w:name="_Toc3400596"/>
      <w:bookmarkStart w:id="1620" w:name="_Toc3557070"/>
      <w:bookmarkStart w:id="1621" w:name="_Toc3559275"/>
      <w:bookmarkStart w:id="1622" w:name="_Toc3914486"/>
      <w:bookmarkStart w:id="1623" w:name="_Toc3914608"/>
      <w:bookmarkStart w:id="1624" w:name="_Toc3915594"/>
      <w:bookmarkStart w:id="1625" w:name="_Toc3916201"/>
      <w:bookmarkStart w:id="1626" w:name="_Toc3917111"/>
      <w:bookmarkStart w:id="1627" w:name="_Toc3917761"/>
      <w:bookmarkStart w:id="1628" w:name="_Toc3988517"/>
      <w:bookmarkStart w:id="1629" w:name="_Toc3989526"/>
      <w:bookmarkStart w:id="1630" w:name="_Toc3990170"/>
      <w:bookmarkStart w:id="1631" w:name="_Toc3991746"/>
      <w:bookmarkStart w:id="1632" w:name="_Toc3992651"/>
      <w:bookmarkStart w:id="1633" w:name="_Toc4000418"/>
      <w:bookmarkStart w:id="1634" w:name="_Toc4426415"/>
      <w:bookmarkStart w:id="1635" w:name="_Toc4426544"/>
      <w:bookmarkStart w:id="1636" w:name="_Toc4426729"/>
      <w:bookmarkStart w:id="1637" w:name="_Toc4426858"/>
      <w:bookmarkStart w:id="1638" w:name="_Toc4428456"/>
      <w:bookmarkStart w:id="1639" w:name="_Toc4429887"/>
      <w:bookmarkStart w:id="1640" w:name="_Toc4430016"/>
      <w:bookmarkStart w:id="1641" w:name="_Toc4430142"/>
      <w:bookmarkStart w:id="1642" w:name="_Toc4430267"/>
      <w:bookmarkStart w:id="1643" w:name="_Toc4430390"/>
      <w:bookmarkStart w:id="1644" w:name="_Toc4430512"/>
      <w:bookmarkStart w:id="1645" w:name="_Toc4430633"/>
      <w:bookmarkStart w:id="1646" w:name="_Toc4431429"/>
      <w:bookmarkStart w:id="1647" w:name="_Toc4431548"/>
      <w:bookmarkStart w:id="1648" w:name="_Toc4431669"/>
      <w:bookmarkStart w:id="1649" w:name="_Toc4431790"/>
      <w:bookmarkStart w:id="1650" w:name="_Toc4433489"/>
      <w:bookmarkStart w:id="1651" w:name="_Toc4433751"/>
      <w:bookmarkStart w:id="1652" w:name="_Toc4433872"/>
      <w:bookmarkStart w:id="1653" w:name="_Toc4434420"/>
      <w:bookmarkStart w:id="1654" w:name="_Toc4436265"/>
      <w:bookmarkStart w:id="1655" w:name="_Toc4436387"/>
      <w:bookmarkStart w:id="1656" w:name="_Toc4436508"/>
      <w:bookmarkStart w:id="1657" w:name="_Toc4436776"/>
      <w:bookmarkStart w:id="1658" w:name="_Toc4436944"/>
      <w:bookmarkStart w:id="1659" w:name="_Toc4437167"/>
      <w:bookmarkStart w:id="1660" w:name="_Toc4437402"/>
      <w:bookmarkStart w:id="1661" w:name="_Toc4438164"/>
      <w:bookmarkStart w:id="1662" w:name="_Toc4438409"/>
      <w:bookmarkStart w:id="1663" w:name="_Toc4438528"/>
      <w:bookmarkStart w:id="1664" w:name="_Toc4438647"/>
      <w:bookmarkStart w:id="1665" w:name="_Toc4491400"/>
      <w:bookmarkStart w:id="1666" w:name="_Toc4492961"/>
      <w:bookmarkStart w:id="1667" w:name="_Toc4588592"/>
      <w:bookmarkStart w:id="1668" w:name="_Toc4592945"/>
      <w:bookmarkStart w:id="1669" w:name="_Toc4593070"/>
      <w:bookmarkStart w:id="1670" w:name="_Toc4596242"/>
      <w:bookmarkStart w:id="1671" w:name="_Toc4596358"/>
      <w:bookmarkStart w:id="1672" w:name="_Toc4601228"/>
      <w:bookmarkStart w:id="1673" w:name="_Toc4601515"/>
      <w:bookmarkStart w:id="1674" w:name="_Toc4604090"/>
      <w:bookmarkStart w:id="1675" w:name="_Toc4604205"/>
      <w:bookmarkStart w:id="1676" w:name="_Toc4605335"/>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02"/>
    </w:p>
    <w:p w14:paraId="0DF6ED7A" w14:textId="77777777" w:rsidR="00CD3F62" w:rsidRPr="00CD3F62" w:rsidRDefault="00CD3F62" w:rsidP="00F6030C">
      <w:pPr>
        <w:pStyle w:val="a5"/>
        <w:keepNext/>
        <w:keepLines/>
        <w:numPr>
          <w:ilvl w:val="1"/>
          <w:numId w:val="62"/>
        </w:numPr>
        <w:spacing w:after="0" w:line="240" w:lineRule="auto"/>
        <w:contextualSpacing w:val="0"/>
        <w:jc w:val="both"/>
        <w:outlineLvl w:val="2"/>
        <w:rPr>
          <w:rFonts w:ascii="Times New Roman" w:eastAsiaTheme="majorEastAsia" w:hAnsi="Times New Roman" w:cs="Times New Roman"/>
          <w:b/>
          <w:vanish/>
          <w:sz w:val="28"/>
          <w:szCs w:val="28"/>
          <w:lang w:eastAsia="ru-RU"/>
        </w:rPr>
      </w:pPr>
      <w:bookmarkStart w:id="1677" w:name="_Toc4660224"/>
      <w:bookmarkStart w:id="1678" w:name="_Toc4660339"/>
      <w:bookmarkStart w:id="1679" w:name="_Toc4683327"/>
      <w:bookmarkStart w:id="1680" w:name="_Toc4683443"/>
      <w:bookmarkStart w:id="1681" w:name="_Toc4684432"/>
      <w:bookmarkStart w:id="1682" w:name="_Toc4684711"/>
      <w:bookmarkStart w:id="1683" w:name="_Toc4685169"/>
      <w:bookmarkStart w:id="1684" w:name="_Toc4685272"/>
      <w:bookmarkStart w:id="1685" w:name="_Toc7189809"/>
      <w:bookmarkStart w:id="1686" w:name="_Toc7190039"/>
      <w:bookmarkStart w:id="1687" w:name="_Toc7190393"/>
      <w:bookmarkStart w:id="1688" w:name="_Toc7190842"/>
      <w:bookmarkStart w:id="1689" w:name="_Toc7191589"/>
      <w:bookmarkStart w:id="1690" w:name="_Toc7447214"/>
      <w:bookmarkStart w:id="1691" w:name="_Toc7448019"/>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2AD9EA47" w14:textId="77777777" w:rsidR="00BB7A44" w:rsidRPr="00BB7A44" w:rsidRDefault="00BB7A44" w:rsidP="00BB7A44">
      <w:pPr>
        <w:pStyle w:val="a5"/>
        <w:keepNext/>
        <w:keepLines/>
        <w:numPr>
          <w:ilvl w:val="1"/>
          <w:numId w:val="61"/>
        </w:numPr>
        <w:spacing w:after="0" w:line="240" w:lineRule="auto"/>
        <w:contextualSpacing w:val="0"/>
        <w:jc w:val="both"/>
        <w:outlineLvl w:val="2"/>
        <w:rPr>
          <w:rFonts w:ascii="Times New Roman" w:eastAsiaTheme="majorEastAsia" w:hAnsi="Times New Roman" w:cs="Times New Roman"/>
          <w:b/>
          <w:vanish/>
          <w:sz w:val="28"/>
          <w:szCs w:val="28"/>
          <w:lang w:eastAsia="ru-RU"/>
        </w:rPr>
      </w:pPr>
      <w:bookmarkStart w:id="1692" w:name="_Toc7191590"/>
      <w:bookmarkStart w:id="1693" w:name="_Toc7447215"/>
      <w:bookmarkStart w:id="1694" w:name="_Toc7448020"/>
      <w:bookmarkEnd w:id="1692"/>
      <w:bookmarkEnd w:id="1693"/>
      <w:bookmarkEnd w:id="1694"/>
    </w:p>
    <w:p w14:paraId="0BD41E80" w14:textId="77777777" w:rsidR="00BB7A44" w:rsidRPr="00BB7A44" w:rsidRDefault="00BB7A44" w:rsidP="00BB7A44">
      <w:pPr>
        <w:pStyle w:val="a5"/>
        <w:keepNext/>
        <w:keepLines/>
        <w:numPr>
          <w:ilvl w:val="1"/>
          <w:numId w:val="61"/>
        </w:numPr>
        <w:spacing w:after="0" w:line="240" w:lineRule="auto"/>
        <w:contextualSpacing w:val="0"/>
        <w:jc w:val="both"/>
        <w:outlineLvl w:val="2"/>
        <w:rPr>
          <w:rFonts w:ascii="Times New Roman" w:eastAsiaTheme="majorEastAsia" w:hAnsi="Times New Roman" w:cs="Times New Roman"/>
          <w:b/>
          <w:vanish/>
          <w:sz w:val="28"/>
          <w:szCs w:val="28"/>
          <w:lang w:eastAsia="ru-RU"/>
        </w:rPr>
      </w:pPr>
      <w:bookmarkStart w:id="1695" w:name="_Toc7191591"/>
      <w:bookmarkStart w:id="1696" w:name="_Toc7447216"/>
      <w:bookmarkStart w:id="1697" w:name="_Toc7448021"/>
      <w:bookmarkEnd w:id="1695"/>
      <w:bookmarkEnd w:id="1696"/>
      <w:bookmarkEnd w:id="1697"/>
    </w:p>
    <w:p w14:paraId="403B60DE" w14:textId="04FD7DEA" w:rsidR="009A72C1" w:rsidRPr="009A72C1" w:rsidRDefault="009A72C1" w:rsidP="00BB7A44">
      <w:pPr>
        <w:pStyle w:val="3"/>
        <w:rPr>
          <w:rFonts w:eastAsiaTheme="majorEastAsia"/>
        </w:rPr>
      </w:pPr>
      <w:bookmarkStart w:id="1698" w:name="_Toc7448022"/>
      <w:r w:rsidRPr="009A72C1">
        <w:rPr>
          <w:rFonts w:eastAsiaTheme="majorEastAsia"/>
        </w:rPr>
        <w:t>Состояние конкуренции: тенденции и проблемы</w:t>
      </w:r>
      <w:bookmarkStart w:id="1699" w:name="_Toc5354938"/>
      <w:bookmarkStart w:id="1700" w:name="_Toc5639318"/>
      <w:bookmarkStart w:id="1701" w:name="_Toc5818943"/>
      <w:bookmarkStart w:id="1702" w:name="_Toc6408127"/>
      <w:bookmarkStart w:id="1703" w:name="_Toc6408511"/>
      <w:bookmarkStart w:id="1704" w:name="_Toc6408886"/>
      <w:bookmarkStart w:id="1705" w:name="_Toc6411089"/>
      <w:bookmarkStart w:id="1706" w:name="_Toc6422740"/>
      <w:bookmarkStart w:id="1707" w:name="_Toc6834363"/>
      <w:bookmarkStart w:id="1708" w:name="_Toc6834650"/>
      <w:bookmarkStart w:id="1709" w:name="_Toc6834853"/>
      <w:bookmarkEnd w:id="1699"/>
      <w:bookmarkEnd w:id="1700"/>
      <w:bookmarkEnd w:id="1701"/>
      <w:bookmarkEnd w:id="1702"/>
      <w:bookmarkEnd w:id="1703"/>
      <w:bookmarkEnd w:id="1704"/>
      <w:bookmarkEnd w:id="1705"/>
      <w:bookmarkEnd w:id="1706"/>
      <w:bookmarkEnd w:id="1707"/>
      <w:bookmarkEnd w:id="1708"/>
      <w:bookmarkEnd w:id="1709"/>
      <w:bookmarkEnd w:id="1698"/>
    </w:p>
    <w:p w14:paraId="40FFF0ED" w14:textId="77777777" w:rsidR="009A72C1" w:rsidRDefault="009A72C1" w:rsidP="009A72C1">
      <w:pPr>
        <w:spacing w:after="0" w:line="240" w:lineRule="auto"/>
        <w:rPr>
          <w:lang w:eastAsia="ru-RU"/>
        </w:rPr>
      </w:pPr>
    </w:p>
    <w:p w14:paraId="35CA8A7E"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eastAsia="Andale Sans UI" w:hAnsi="Times New Roman" w:cs="Tahoma"/>
          <w:kern w:val="3"/>
          <w:sz w:val="28"/>
          <w:szCs w:val="28"/>
          <w:lang w:eastAsia="ja-JP" w:bidi="fa-IR"/>
        </w:rPr>
      </w:pPr>
      <w:r w:rsidRPr="009A72C1">
        <w:rPr>
          <w:rFonts w:ascii="Times New Roman" w:hAnsi="Times New Roman" w:cs="Times New Roman"/>
          <w:sz w:val="28"/>
          <w:szCs w:val="28"/>
        </w:rPr>
        <w:t>С целью р</w:t>
      </w:r>
      <w:r w:rsidRPr="009A72C1">
        <w:rPr>
          <w:rFonts w:ascii="Times New Roman" w:eastAsia="Andale Sans UI" w:hAnsi="Times New Roman" w:cs="Tahoma"/>
          <w:kern w:val="3"/>
          <w:sz w:val="28"/>
          <w:szCs w:val="28"/>
          <w:lang w:eastAsia="ja-JP" w:bidi="fa-IR"/>
        </w:rPr>
        <w:t>еализации принципа единства экономического пространства необходимо обеспечить равные экономические условия для перевозки грузов и пассажиров из/в Республики Крым, Севастополя в другие регионы Российской Федерации по единому тарифному прейскуранту на соответствующие расстояния.</w:t>
      </w:r>
    </w:p>
    <w:p w14:paraId="362FC7CF" w14:textId="5F192821"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С учетом поручений Пра</w:t>
      </w:r>
      <w:r w:rsidR="00936FC2">
        <w:rPr>
          <w:rFonts w:ascii="Times New Roman" w:hAnsi="Times New Roman" w:cs="Times New Roman"/>
          <w:sz w:val="28"/>
          <w:szCs w:val="28"/>
        </w:rPr>
        <w:t>вительства Российской Федерации</w:t>
      </w:r>
      <w:r w:rsidRPr="009A72C1">
        <w:rPr>
          <w:rFonts w:ascii="Times New Roman" w:hAnsi="Times New Roman" w:cs="Times New Roman"/>
          <w:sz w:val="28"/>
          <w:szCs w:val="28"/>
        </w:rPr>
        <w:t xml:space="preserve">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62112757"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 xml:space="preserve">Необходимо дальнейшее развитие электронной торговой площадки под перевозку грузов, в том числе создание экономических стимулов для привлечения вагонного парка независимых от ОАО «РЖД» операторов; формирование рыночных индикаторов на цены для предоставление возможности заказа перевозки грузов в режиме онлайн, включая выбор вагонов под перевозку.  </w:t>
      </w:r>
    </w:p>
    <w:p w14:paraId="471F17F6"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Продолжена работа по выработке предложений в части прекращения государственного регулирования тарифов в соответствии с законодательством о естественных монополиях в отношении перевозок пассажиров и багажа железнодорожным транспортом общего пользования в дальнем следовании.</w:t>
      </w:r>
    </w:p>
    <w:p w14:paraId="0EE70CAA" w14:textId="2A473B1A"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Необходимо совместно с Минтрансом России продолжить работу по актуализации Правил недискриминационного доступа перевозчиков к инфраструктуре железнодорожного транспорта общего пользования, утвержденных постановлением Правительства Р</w:t>
      </w:r>
      <w:r w:rsidR="00936FC2">
        <w:rPr>
          <w:rFonts w:ascii="Times New Roman" w:hAnsi="Times New Roman" w:cs="Times New Roman"/>
          <w:sz w:val="28"/>
          <w:szCs w:val="28"/>
        </w:rPr>
        <w:t xml:space="preserve">оссийской </w:t>
      </w:r>
      <w:r w:rsidRPr="009A72C1">
        <w:rPr>
          <w:rFonts w:ascii="Times New Roman" w:hAnsi="Times New Roman" w:cs="Times New Roman"/>
          <w:sz w:val="28"/>
          <w:szCs w:val="28"/>
        </w:rPr>
        <w:t>Ф</w:t>
      </w:r>
      <w:r w:rsidR="00936FC2">
        <w:rPr>
          <w:rFonts w:ascii="Times New Roman" w:hAnsi="Times New Roman" w:cs="Times New Roman"/>
          <w:sz w:val="28"/>
          <w:szCs w:val="28"/>
        </w:rPr>
        <w:t>едерации</w:t>
      </w:r>
      <w:r w:rsidRPr="009A72C1">
        <w:rPr>
          <w:rFonts w:ascii="Times New Roman" w:hAnsi="Times New Roman" w:cs="Times New Roman"/>
          <w:sz w:val="28"/>
          <w:szCs w:val="28"/>
        </w:rPr>
        <w:t xml:space="preserve"> от 25 ноября 2003 г. № 710.</w:t>
      </w:r>
    </w:p>
    <w:p w14:paraId="50DD967F" w14:textId="77777777" w:rsidR="009A72C1" w:rsidRPr="009A72C1" w:rsidRDefault="009A72C1" w:rsidP="009A72C1">
      <w:pPr>
        <w:tabs>
          <w:tab w:val="left" w:pos="3975"/>
        </w:tabs>
        <w:autoSpaceDE w:val="0"/>
        <w:autoSpaceDN w:val="0"/>
        <w:adjustRightInd w:val="0"/>
        <w:spacing w:after="0" w:line="240" w:lineRule="auto"/>
        <w:ind w:firstLine="709"/>
        <w:contextualSpacing/>
        <w:jc w:val="both"/>
        <w:rPr>
          <w:rFonts w:ascii="Times New Roman" w:hAnsi="Times New Roman" w:cs="Times New Roman"/>
          <w:b/>
          <w:sz w:val="28"/>
          <w:szCs w:val="28"/>
          <w:u w:val="single"/>
        </w:rPr>
      </w:pPr>
      <w:r w:rsidRPr="009A72C1">
        <w:rPr>
          <w:rFonts w:ascii="Times New Roman" w:hAnsi="Times New Roman" w:cs="Times New Roman"/>
          <w:b/>
          <w:sz w:val="28"/>
          <w:szCs w:val="28"/>
          <w:u w:val="single"/>
        </w:rPr>
        <w:t>Воздушный транспорт.</w:t>
      </w:r>
      <w:r w:rsidRPr="009A72C1">
        <w:rPr>
          <w:rFonts w:ascii="Times New Roman" w:hAnsi="Times New Roman" w:cs="Times New Roman"/>
          <w:b/>
          <w:sz w:val="28"/>
          <w:szCs w:val="28"/>
          <w:u w:val="single"/>
        </w:rPr>
        <w:tab/>
      </w:r>
    </w:p>
    <w:p w14:paraId="5FE35D94"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ФАС России проведена работа по мониторингу цен на авиабилеты эконом-класса. По итогам выданы предупреждения ПАО «Аэрофлот-Российские авиалинии» и АК «России».</w:t>
      </w:r>
    </w:p>
    <w:p w14:paraId="3089CFA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 xml:space="preserve">ФАС России требует от группы компаний «Аэрофлот» разработать новую коммерческую политику, чтобы увеличить прозрачность ценообразования. </w:t>
      </w:r>
    </w:p>
    <w:p w14:paraId="31EF3DAA"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Группа компаний «Аэрофлот» занимает доминирующее положение более чем на 100 внутрироссийских маршрутах, поэтому реализуемая авиакомпаниями группы ценовая политика отслеживается ФАС России. Особое внимание обращается на изменения в ценах на билеты одного и того же подкласса, в сегменте экономкласса, по мере приближения срока вылета.</w:t>
      </w:r>
    </w:p>
    <w:p w14:paraId="421D64FF"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Новый документ должен быть направлен на повышение прозрачности процедуры ценообразования и, с одной стороны, обеспечивать рентабельность перевозок и создавать источники для обновления парка воздушных судов, с другой — разъяснить потребителям алгоритмы обоснованного изменения цен. Разработка коммерческой политики будет осуществляться в сотрудничестве с группой «Аэрофлот» и Минтрансом России.</w:t>
      </w:r>
    </w:p>
    <w:p w14:paraId="7CB853FD"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соответствии с Дорожной картой развития конкуренции предусмотрено внесение изменений в постановление Правительства Российской Федерации от 22.07.2009 № 599 «О порядке обеспечения доступа к услугам субъектов естественных монополий в аэропортах».</w:t>
      </w:r>
    </w:p>
    <w:p w14:paraId="467B0A7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действующей редакции указанного постановления определены общие принципы и порядок обеспечения доступа к услугам субъектов естественных монополий (далее - услуги) в аэропортах только авиакомпаний. В отношении взаимодействия других потребителей к объектам инфраструктуры аэропортов, с использованием которых оказываются услуги в аэропортах с целью предупреждения создания условий, которые ставят потребителя (нескольких потребителей) в неравное положение по сравнению с другим потребителем (другими потребителями) при доступе к объектам инфраструктуры аэропортов и к услугам в аэропортах и планируется внесение соответствующих изменений.</w:t>
      </w:r>
    </w:p>
    <w:p w14:paraId="794C82DD" w14:textId="77777777" w:rsidR="009A72C1" w:rsidRPr="009A72C1" w:rsidRDefault="009A72C1" w:rsidP="00DA3F05">
      <w:pPr>
        <w:pStyle w:val="3"/>
        <w:rPr>
          <w:rFonts w:eastAsiaTheme="majorEastAsia"/>
        </w:rPr>
      </w:pPr>
      <w:bookmarkStart w:id="1710" w:name="_Toc4660225"/>
      <w:bookmarkStart w:id="1711" w:name="_Toc4660340"/>
      <w:bookmarkStart w:id="1712" w:name="_Toc4683328"/>
      <w:bookmarkStart w:id="1713" w:name="_Toc4683444"/>
      <w:bookmarkStart w:id="1714" w:name="_Toc4684433"/>
      <w:bookmarkStart w:id="1715" w:name="_Toc4684712"/>
      <w:bookmarkStart w:id="1716" w:name="_Toc4685170"/>
      <w:bookmarkStart w:id="1717" w:name="_Toc4685273"/>
      <w:bookmarkEnd w:id="1710"/>
      <w:bookmarkEnd w:id="1711"/>
      <w:bookmarkEnd w:id="1712"/>
      <w:bookmarkEnd w:id="1713"/>
      <w:bookmarkEnd w:id="1714"/>
      <w:bookmarkEnd w:id="1715"/>
      <w:bookmarkEnd w:id="1716"/>
      <w:bookmarkEnd w:id="1717"/>
      <w:r w:rsidRPr="009A72C1">
        <w:rPr>
          <w:rFonts w:eastAsiaTheme="majorEastAsia"/>
        </w:rPr>
        <w:t xml:space="preserve"> </w:t>
      </w:r>
      <w:bookmarkStart w:id="1718" w:name="_Toc7448023"/>
      <w:r w:rsidRPr="009A72C1">
        <w:rPr>
          <w:rFonts w:eastAsiaTheme="majorEastAsia"/>
        </w:rPr>
        <w:t>Достигнутые результаты развития конкуренции и предложения по развитию конкуренции</w:t>
      </w:r>
      <w:bookmarkStart w:id="1719" w:name="_Toc6834364"/>
      <w:bookmarkStart w:id="1720" w:name="_Toc6834651"/>
      <w:bookmarkStart w:id="1721" w:name="_Toc6834854"/>
      <w:bookmarkEnd w:id="1719"/>
      <w:bookmarkEnd w:id="1720"/>
      <w:bookmarkEnd w:id="1721"/>
      <w:bookmarkEnd w:id="1718"/>
    </w:p>
    <w:p w14:paraId="0745551F" w14:textId="77777777" w:rsidR="009A72C1" w:rsidRPr="009A72C1" w:rsidRDefault="009A72C1" w:rsidP="009A72C1">
      <w:pPr>
        <w:spacing w:after="0" w:line="240" w:lineRule="auto"/>
        <w:ind w:firstLine="709"/>
        <w:contextualSpacing/>
        <w:jc w:val="both"/>
        <w:rPr>
          <w:rFonts w:ascii="Times New Roman" w:eastAsia="Times New Roman" w:hAnsi="Times New Roman"/>
          <w:sz w:val="28"/>
          <w:szCs w:val="28"/>
          <w:u w:val="single"/>
        </w:rPr>
      </w:pPr>
      <w:r w:rsidRPr="009A72C1">
        <w:rPr>
          <w:rFonts w:ascii="Times New Roman" w:eastAsia="Times New Roman" w:hAnsi="Times New Roman"/>
          <w:b/>
          <w:bCs/>
          <w:sz w:val="28"/>
          <w:szCs w:val="28"/>
          <w:u w:val="single"/>
        </w:rPr>
        <w:t xml:space="preserve">Водный транспорт </w:t>
      </w:r>
    </w:p>
    <w:p w14:paraId="09DF2B0E" w14:textId="77777777" w:rsidR="009A72C1" w:rsidRPr="009A72C1" w:rsidRDefault="009A72C1" w:rsidP="00F6030C">
      <w:pPr>
        <w:numPr>
          <w:ilvl w:val="0"/>
          <w:numId w:val="49"/>
        </w:numPr>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9A72C1">
        <w:rPr>
          <w:rFonts w:ascii="Times New Roman" w:eastAsia="Times New Roman" w:hAnsi="Times New Roman" w:cs="Times New Roman"/>
          <w:sz w:val="28"/>
          <w:szCs w:val="28"/>
          <w:lang w:eastAsia="ru-RU"/>
        </w:rPr>
        <w:t>С целью исполнения поручения Президента Российской Федерации В.В. Путина</w:t>
      </w:r>
      <w:r w:rsidRPr="009A72C1">
        <w:rPr>
          <w:rFonts w:ascii="Times New Roman" w:eastAsia="Times New Roman" w:hAnsi="Times New Roman" w:cs="Times New Roman"/>
          <w:color w:val="000000"/>
          <w:sz w:val="28"/>
          <w:szCs w:val="28"/>
          <w:lang w:eastAsia="ru-RU"/>
        </w:rPr>
        <w:t xml:space="preserve"> от 27.10.2015 г. №</w:t>
      </w:r>
      <w:r w:rsidR="003C69F2" w:rsidRPr="003C69F2">
        <w:rPr>
          <w:rFonts w:ascii="Times New Roman" w:eastAsia="Times New Roman" w:hAnsi="Times New Roman" w:cs="Times New Roman"/>
          <w:color w:val="000000"/>
          <w:sz w:val="28"/>
          <w:szCs w:val="28"/>
          <w:lang w:eastAsia="ru-RU"/>
        </w:rPr>
        <w:t xml:space="preserve"> </w:t>
      </w:r>
      <w:r w:rsidRPr="009A72C1">
        <w:rPr>
          <w:rFonts w:ascii="Times New Roman" w:eastAsia="Times New Roman" w:hAnsi="Times New Roman" w:cs="Times New Roman"/>
          <w:color w:val="000000"/>
          <w:sz w:val="28"/>
          <w:szCs w:val="28"/>
          <w:lang w:eastAsia="ru-RU"/>
        </w:rPr>
        <w:t xml:space="preserve">А4-26-575 о пресечении установления цен (тарифов) на услуги по погрузке, выгрузке и хранению грузов, предоставляемых в морских портах Российской Федерации, в иностранной валюте или в условных единицах, поручения </w:t>
      </w:r>
      <w:r w:rsidRPr="009A72C1">
        <w:rPr>
          <w:rFonts w:ascii="Times New Roman" w:eastAsia="Times New Roman" w:hAnsi="Times New Roman" w:cs="Times New Roman"/>
          <w:sz w:val="28"/>
          <w:szCs w:val="28"/>
          <w:lang w:eastAsia="ru-RU"/>
        </w:rPr>
        <w:t>Президента Российской Федерации В.В. Путина от 15.09.2017 г. № Пр-1881 по итогам совещания по вопросам развития транспортной инфраструктуры Северо-Запада России 16 августа 2017 г. (абзац 2 подпункта «г» пункта 1) о внесении необходимых изменений в законодательство Российской Федерации в рамках обеспечения перехода с 1 января 2018 г. на осуществление расчетов за услуги, оказываемые в морских портах Российской Федерации, в российских рублях, принят федеральный закон от 03.08.2018 № 324-ФЗ «О внесении изменений в Федеральный закон «О морских портах в Российской Федерации и о внесении изменений в отдельные законодательные акты Российской Федерации», разработанный Минфином России по инициативе ФАС России.</w:t>
      </w:r>
    </w:p>
    <w:p w14:paraId="518372AE" w14:textId="77777777" w:rsidR="009A72C1" w:rsidRPr="009A72C1" w:rsidRDefault="009A72C1" w:rsidP="009A72C1">
      <w:pPr>
        <w:autoSpaceDE w:val="0"/>
        <w:autoSpaceDN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При этом указанный Федеральный закон предусматривает неприменение перехода на рубли в отношении российских юридических лиц, имеющих по состоянию на 1 января 2018 года обязательства в иностранной валюте, принятые в целях реализации инвестиционных проектов по развитию инфраструктуры морских портов, в том числе с учетом включенных в указанные инвестиционные проекты периодов рефинансирования таких обязательств, до прекращения таких обязательств в связи с их исполнением, но не позднее чем до 1 января 2025 года.</w:t>
      </w:r>
    </w:p>
    <w:p w14:paraId="3AD358B3" w14:textId="49577B0A" w:rsidR="009A72C1" w:rsidRPr="009A72C1" w:rsidRDefault="009A72C1" w:rsidP="00F6030C">
      <w:pPr>
        <w:numPr>
          <w:ilvl w:val="0"/>
          <w:numId w:val="49"/>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Постановлением Правительства Российской Федерации</w:t>
      </w:r>
      <w:r w:rsidRPr="009A72C1">
        <w:rPr>
          <w:rFonts w:ascii="Times New Roman" w:eastAsia="Times New Roman" w:hAnsi="Times New Roman" w:cs="Times New Roman"/>
          <w:sz w:val="28"/>
          <w:szCs w:val="28"/>
          <w:lang w:eastAsia="ru-RU"/>
        </w:rPr>
        <w:br/>
        <w:t>от 20.10.2017 № 1285 были утверждены Правила недискриминационного доступа к услугам субъектов естественных монополий в портах (далее</w:t>
      </w:r>
      <w:r w:rsidR="0098068F">
        <w:rPr>
          <w:rFonts w:ascii="Times New Roman" w:eastAsia="Times New Roman" w:hAnsi="Times New Roman" w:cs="Times New Roman"/>
          <w:sz w:val="28"/>
          <w:szCs w:val="28"/>
          <w:lang w:eastAsia="ru-RU"/>
        </w:rPr>
        <w:t xml:space="preserve"> </w:t>
      </w:r>
      <w:r w:rsidRPr="009A72C1">
        <w:rPr>
          <w:rFonts w:ascii="Times New Roman" w:eastAsia="Times New Roman" w:hAnsi="Times New Roman" w:cs="Times New Roman"/>
          <w:sz w:val="28"/>
          <w:szCs w:val="28"/>
          <w:lang w:eastAsia="ru-RU"/>
        </w:rPr>
        <w:t>- ПНД).</w:t>
      </w:r>
    </w:p>
    <w:p w14:paraId="58FE9C8C"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Целью ПНД является предупреждение создания условий, которые ставят одних потребителей услуг субъектов естественных монополий в портах в неравное положение по сравнению с другими потребителями.</w:t>
      </w:r>
    </w:p>
    <w:p w14:paraId="3AC898AD"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Указанные ПНД регламентируют принципы доступа грузоотправителей к услугам по погрузке, выгрузке, хранению и перевалке, предоставлению буксиров. Стивидоры обязаны вести реестр заявок и создавать равные условия для клиентов, не отказывая им в заключении договоров на оказание услуг субъектов естественных монополий в портах при наличии мощностей. </w:t>
      </w:r>
    </w:p>
    <w:p w14:paraId="3C95FB51" w14:textId="77777777" w:rsidR="009A72C1" w:rsidRPr="009A72C1" w:rsidRDefault="009A72C1" w:rsidP="00F6030C">
      <w:pPr>
        <w:numPr>
          <w:ilvl w:val="0"/>
          <w:numId w:val="49"/>
        </w:numPr>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В 2018 году в целях развития конкуренции в соответствии с Дорожной картой развития конкуренции ФАС России приняты решения о неприменении ценового регулирования в отношении ряда услуг:</w:t>
      </w:r>
    </w:p>
    <w:p w14:paraId="60D71D6D" w14:textId="77777777" w:rsidR="009A72C1" w:rsidRPr="009A72C1" w:rsidRDefault="009A72C1" w:rsidP="00F6030C">
      <w:pPr>
        <w:numPr>
          <w:ilvl w:val="0"/>
          <w:numId w:val="48"/>
        </w:numPr>
        <w:autoSpaceDE w:val="0"/>
        <w:autoSpaceDN w:val="0"/>
        <w:spacing w:after="0" w:line="240" w:lineRule="auto"/>
        <w:ind w:left="0" w:firstLine="709"/>
        <w:contextualSpacing/>
        <w:jc w:val="both"/>
        <w:rPr>
          <w:rFonts w:ascii="Times New Roman" w:eastAsia="Calibri" w:hAnsi="Times New Roman" w:cs="Times New Roman"/>
          <w:sz w:val="28"/>
          <w:szCs w:val="28"/>
        </w:rPr>
      </w:pPr>
      <w:r w:rsidRPr="009A72C1">
        <w:rPr>
          <w:rFonts w:ascii="Times New Roman" w:eastAsia="Times New Roman" w:hAnsi="Times New Roman" w:cs="Times New Roman"/>
          <w:sz w:val="28"/>
          <w:szCs w:val="28"/>
          <w:lang w:eastAsia="ru-RU"/>
        </w:rPr>
        <w:t>по обеспечению экологической безопасности в морских портах (приказ ФАС России от 30.11.2018 № 1670/18 «Об изменении государственного регулирования деятельности субъектов естественных монополий в морских портах Российской Федерации»);</w:t>
      </w:r>
    </w:p>
    <w:p w14:paraId="3790D7FB" w14:textId="77777777" w:rsidR="009A72C1" w:rsidRPr="009A72C1" w:rsidRDefault="009A72C1" w:rsidP="00F6030C">
      <w:pPr>
        <w:numPr>
          <w:ilvl w:val="0"/>
          <w:numId w:val="48"/>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 обслуживанию пассажиров в морских портах, главным образом ориентированных на круизное судоходство (приказ ФАС России от 27.03.2018 № 383/18 «Об изменении государственного регулирования деятельности субъектов естественных монополий в морских портах Российской Федерации»);</w:t>
      </w:r>
    </w:p>
    <w:p w14:paraId="4ABA9BEA" w14:textId="77777777" w:rsidR="009A72C1" w:rsidRPr="009A72C1" w:rsidRDefault="009A72C1" w:rsidP="00F6030C">
      <w:pPr>
        <w:numPr>
          <w:ilvl w:val="0"/>
          <w:numId w:val="48"/>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субъектов естественных монополий по использованию инфраструктуры внутренних водных путей (приказ ФАС России от 03.12.2018 № 1676/18 «Об изменении государственного регулирования деятельности субъектов естественных монополий по использованию инфраструктуры внутренних водных путей»).</w:t>
      </w:r>
    </w:p>
    <w:p w14:paraId="73FC30C7" w14:textId="77777777" w:rsidR="009A72C1" w:rsidRPr="009A72C1" w:rsidRDefault="009A72C1" w:rsidP="009A72C1">
      <w:pPr>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В соответствии с Дорожной картой развития конкуренции ФАС России был проведен анализ состояния конкуренции на товарных рынках услуг погрузо-разгрузочных работ в морских портах Российской Федерации. </w:t>
      </w:r>
    </w:p>
    <w:p w14:paraId="2CE83B27"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С учетом проведенного анализа, будет продолжена работа по внесению изменений в постановление Правительства Российской Федерации от 23 апреля 2008 г.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w:t>
      </w:r>
      <w:r w:rsidR="00EA4805">
        <w:rPr>
          <w:rFonts w:ascii="Times New Roman" w:eastAsia="Calibri" w:hAnsi="Times New Roman" w:cs="Times New Roman"/>
          <w:sz w:val="28"/>
          <w:szCs w:val="28"/>
        </w:rPr>
        <w:t>руктуры внутренних водных путей»</w:t>
      </w:r>
      <w:r w:rsidRPr="009A72C1">
        <w:rPr>
          <w:rFonts w:ascii="Times New Roman" w:eastAsia="Calibri" w:hAnsi="Times New Roman" w:cs="Times New Roman"/>
          <w:sz w:val="28"/>
          <w:szCs w:val="28"/>
        </w:rPr>
        <w:t>, предусматривающих прекращение регулирования цен (тарифов) на услуги субъектов естественных монополий в морских портах в части следующих услуг: предоставление причалов, обеспечение лоцманской проводки судов, услуги буксиров, обеспечение экологической безопасности в порту, обслуживание пассажиров в морских терминалах, погрузка и выгрузка грузов, хранение грузов, за исключением указанных услуг в портах, переваливающих нефть и нефтепродукты, доставляемые по трубопроводной системе, а также в части в части прекращения регулирования цен (тарифов) на услуги в речных портах.</w:t>
      </w:r>
    </w:p>
    <w:p w14:paraId="6432208E" w14:textId="77777777" w:rsidR="009A72C1" w:rsidRPr="009A72C1" w:rsidRDefault="009A72C1" w:rsidP="009A72C1">
      <w:pPr>
        <w:spacing w:after="0" w:line="240" w:lineRule="auto"/>
        <w:ind w:firstLine="709"/>
        <w:contextualSpacing/>
        <w:jc w:val="both"/>
        <w:rPr>
          <w:rFonts w:ascii="Times New Roman" w:eastAsia="Calibri" w:hAnsi="Times New Roman" w:cs="Times New Roman"/>
          <w:b/>
          <w:sz w:val="28"/>
          <w:szCs w:val="28"/>
          <w:u w:val="single"/>
        </w:rPr>
      </w:pPr>
      <w:r w:rsidRPr="009A72C1">
        <w:rPr>
          <w:rFonts w:ascii="Times New Roman" w:eastAsia="Calibri" w:hAnsi="Times New Roman" w:cs="Times New Roman"/>
          <w:b/>
          <w:sz w:val="28"/>
          <w:szCs w:val="28"/>
          <w:u w:val="single"/>
        </w:rPr>
        <w:t>Воздушный транспорт.</w:t>
      </w:r>
    </w:p>
    <w:p w14:paraId="7217DC2C"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Рынки воздушных перевозок развиваются в условиях конкуренции. </w:t>
      </w:r>
    </w:p>
    <w:p w14:paraId="1866761A"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По итогам 2018 года темп роста пассажирских перевозок воздушным транспортом (без учета иностранных перевозчиков) составил 10%, что вдвое превышает среднемировые темпы роста. Перевезено 116 млн. пассажиров, из них на внутренних линиях 68,8 млн. пассажиров. Уровень загрузки воздушных судов в среднем превышает 82%.</w:t>
      </w:r>
    </w:p>
    <w:p w14:paraId="2DCD8F80" w14:textId="3C17FC42"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Рынок авиаперевозок пассажиров в целом находится в состоянии конкуренции – доля рынка 5</w:t>
      </w:r>
      <w:r w:rsidR="0098068F">
        <w:rPr>
          <w:rFonts w:ascii="Times New Roman" w:eastAsia="Calibri" w:hAnsi="Times New Roman" w:cs="Times New Roman"/>
          <w:sz w:val="28"/>
          <w:szCs w:val="28"/>
        </w:rPr>
        <w:t>-</w:t>
      </w:r>
      <w:r w:rsidRPr="009A72C1">
        <w:rPr>
          <w:rFonts w:ascii="Times New Roman" w:eastAsia="Calibri" w:hAnsi="Times New Roman" w:cs="Times New Roman"/>
          <w:sz w:val="28"/>
          <w:szCs w:val="28"/>
        </w:rPr>
        <w:t xml:space="preserve">ти крупнейших авиакомпаний не превышает 70%. Перечень эксплуатантов, имеющих сертификат эксплуатанта для осуществления коммерческих воздушных перевозок Росавиации содержит 109 авиакомпаний. </w:t>
      </w:r>
    </w:p>
    <w:p w14:paraId="4206E2FD"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Цены на авиабилеты формируются на рыночных условиях с учетом спроса, существенно зависящего от уровня доходов населения, а также имеющегося предложения на рынке.</w:t>
      </w:r>
    </w:p>
    <w:p w14:paraId="1D3ED450"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Доля группы «Аэрофлот» в 2018 году составила 48%, всего было перевезено 55,7 млн. пассажиров (в 2017 году было перевезено 50,1 млн. пасс., доля 47,7%).</w:t>
      </w:r>
    </w:p>
    <w:p w14:paraId="0E63B0B8"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Продолжена практика применения группой «Аэрофлот» (ПАО «Аэрофлот» и АО «Авиакомпания «Россия») «плоских» тарифов позволяющая обеспечивать одинаковый тариф при организации перевозок пассажиров на отдельных направлениях (города Дальневосточного федерального округа, Калининград, Симферополь) к местам массового отдыха независимо от сезонности, спроса и других факторов. </w:t>
      </w:r>
    </w:p>
    <w:p w14:paraId="217F4A67" w14:textId="3B661CB3" w:rsidR="009A72C1" w:rsidRPr="009A72C1" w:rsidRDefault="0098068F" w:rsidP="009A72C1">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Вместе с тем</w:t>
      </w:r>
      <w:r w:rsidR="009A72C1" w:rsidRPr="009A72C1">
        <w:rPr>
          <w:rFonts w:ascii="Times New Roman" w:eastAsia="Calibri" w:hAnsi="Times New Roman" w:cs="Times New Roman"/>
          <w:sz w:val="28"/>
          <w:szCs w:val="28"/>
        </w:rPr>
        <w:t xml:space="preserve"> возникающие убытки группы «Аэрофлот» от применения указанных тарифов компенсируются за счет доходов, получаемых с других маршрутов, при этом осуществлять конкурентные перевозки по маршрутам, где применяется «плоский» тариф другие авиакомпании не в состоянии. </w:t>
      </w:r>
    </w:p>
    <w:p w14:paraId="2B5616CE"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целях создания условий равного доступа на маршрутах предлагается проработать вопрос предоставления субсидий на перевозку пассажиров всех категорий на круглогодичной основе на маршрутах в/из ДФО, с целью привлечения других авиаперевозчиков на указанные направления.</w:t>
      </w:r>
    </w:p>
    <w:p w14:paraId="20B597F5"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В целом развивается конкуренция на рынках услуг по наземному обслуживанию в аэропортах. В большинстве аэропортов услуги по обслуживанию пассажиров оказывают несколько операторов, в том числе и сами авиакомпании, что соответствует мировой практике. В 22 аэропортах Российской Федерации услуги по заправке воздушных судов и хранению авиатоплива оказываются на альтернативной основе. При этом перевозчики имеют возможность выбора поставщика нефтепродукта или приобретения авиатоплива на бирже. </w:t>
      </w:r>
    </w:p>
    <w:p w14:paraId="7193518A"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соответствии с поручением Президента Российской Федерации от 22.06.2018 № Пр-1076 по итогам специальной программы «Прямая линия с В.В. Путиным» 7 июня 2018 г. и письма Контрольного Управления Президента Российской Федерации от 12.10.2018 № А8-10101-2 ФАС России организован мониторинг цен на авиабилеты в целях недопущения их необоснованного роста, в том числе</w:t>
      </w:r>
      <w:r w:rsidRPr="009A72C1">
        <w:rPr>
          <w:sz w:val="28"/>
          <w:szCs w:val="28"/>
        </w:rPr>
        <w:t xml:space="preserve"> </w:t>
      </w:r>
      <w:r w:rsidRPr="009A72C1">
        <w:rPr>
          <w:rFonts w:ascii="Times New Roman" w:eastAsia="Calibri" w:hAnsi="Times New Roman" w:cs="Times New Roman"/>
          <w:sz w:val="28"/>
          <w:szCs w:val="28"/>
        </w:rPr>
        <w:t>посредством федеральной государственной информационной системы «Единая Информационно-Аналитическая Система» (ФГИС ЕИАС), что позволило авиакомпаниям оперативно направлять информацию исключая внутреннюю административную нагрузку.</w:t>
      </w:r>
    </w:p>
    <w:p w14:paraId="3BAC1C89" w14:textId="77777777" w:rsidR="009A72C1" w:rsidRPr="009A72C1" w:rsidRDefault="009A72C1" w:rsidP="009A72C1">
      <w:pPr>
        <w:spacing w:after="0" w:line="240" w:lineRule="auto"/>
        <w:ind w:firstLine="709"/>
        <w:contextualSpacing/>
        <w:jc w:val="both"/>
        <w:rPr>
          <w:rFonts w:ascii="Times New Roman" w:hAnsi="Times New Roman"/>
          <w:b/>
          <w:sz w:val="28"/>
          <w:szCs w:val="28"/>
          <w:u w:val="single"/>
        </w:rPr>
      </w:pPr>
      <w:r w:rsidRPr="009A72C1">
        <w:rPr>
          <w:rFonts w:ascii="Times New Roman" w:hAnsi="Times New Roman"/>
          <w:b/>
          <w:sz w:val="28"/>
          <w:szCs w:val="28"/>
          <w:u w:val="single"/>
        </w:rPr>
        <w:t>Автомобильный транспорт</w:t>
      </w:r>
    </w:p>
    <w:p w14:paraId="54CF81EB"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В сфере автомобильного транспорта в настоящее время можно выделить следующие основные проблемы: </w:t>
      </w:r>
    </w:p>
    <w:p w14:paraId="37B7FF85"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1) Неоднозначное трактование и, как следствие, не всегда корректное применение положений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Закон № 220-ФЗ) и соблюдения норм антимонопольного законодательства. </w:t>
      </w:r>
    </w:p>
    <w:p w14:paraId="28D2616B"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Так, например, в период 2017 – 2018 гг. в ряде субъектов Р</w:t>
      </w:r>
      <w:r w:rsidR="00454721">
        <w:rPr>
          <w:rFonts w:ascii="Times New Roman" w:hAnsi="Times New Roman"/>
          <w:sz w:val="28"/>
          <w:szCs w:val="28"/>
        </w:rPr>
        <w:t xml:space="preserve">оссийской </w:t>
      </w:r>
      <w:r w:rsidRPr="009A72C1">
        <w:rPr>
          <w:rFonts w:ascii="Times New Roman" w:hAnsi="Times New Roman"/>
          <w:sz w:val="28"/>
          <w:szCs w:val="28"/>
        </w:rPr>
        <w:t>Ф</w:t>
      </w:r>
      <w:r w:rsidR="00454721">
        <w:rPr>
          <w:rFonts w:ascii="Times New Roman" w:hAnsi="Times New Roman"/>
          <w:sz w:val="28"/>
          <w:szCs w:val="28"/>
        </w:rPr>
        <w:t>едерации</w:t>
      </w:r>
      <w:r w:rsidRPr="009A72C1">
        <w:rPr>
          <w:rFonts w:ascii="Times New Roman" w:hAnsi="Times New Roman"/>
          <w:sz w:val="28"/>
          <w:szCs w:val="28"/>
        </w:rPr>
        <w:t xml:space="preserve"> было установлено несколько случаев выдачи перевозчикам свидетельств на осуществление перевозочной деятельности без проведения необходимых конкурсных процедур, что является нарушением норма законодательства. </w:t>
      </w:r>
    </w:p>
    <w:p w14:paraId="29F00004"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2) Возрастающее количество обращений (жалоб) на стоимость пассажирских автомобильных перевозок на всей территории Российской Федерации по регулируемым и нерегулируемым тарифам на всех видах маршрутов. </w:t>
      </w:r>
    </w:p>
    <w:p w14:paraId="773D717E"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Основной целью на 2019 г. в сфере автомобильного транспорта является совершенствование регулирования рынков пассажирских автоперевозок на территории Российской Федерации (в т.ч. путем внесения соответствующих изменений в Закон № 220-ФЗ и другое отраслевое законодательство).</w:t>
      </w:r>
    </w:p>
    <w:p w14:paraId="0B37D906"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К основным задачам в сфере автомобильного транспорта на 2019 г. относятся:</w:t>
      </w:r>
    </w:p>
    <w:p w14:paraId="788D8488"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выработка (совместно с Минтрансом России и транспортными министерствами и ведомствами субъектов Р</w:t>
      </w:r>
      <w:r w:rsidR="00CF771D">
        <w:rPr>
          <w:rFonts w:ascii="Times New Roman" w:hAnsi="Times New Roman"/>
          <w:sz w:val="28"/>
          <w:szCs w:val="28"/>
        </w:rPr>
        <w:t xml:space="preserve">оссийской </w:t>
      </w:r>
      <w:r w:rsidRPr="009A72C1">
        <w:rPr>
          <w:rFonts w:ascii="Times New Roman" w:hAnsi="Times New Roman"/>
          <w:sz w:val="28"/>
          <w:szCs w:val="28"/>
        </w:rPr>
        <w:t>Ф</w:t>
      </w:r>
      <w:r w:rsidR="00CF771D">
        <w:rPr>
          <w:rFonts w:ascii="Times New Roman" w:hAnsi="Times New Roman"/>
          <w:sz w:val="28"/>
          <w:szCs w:val="28"/>
        </w:rPr>
        <w:t>едерации</w:t>
      </w:r>
      <w:r w:rsidRPr="009A72C1">
        <w:rPr>
          <w:rFonts w:ascii="Times New Roman" w:hAnsi="Times New Roman"/>
          <w:sz w:val="28"/>
          <w:szCs w:val="28"/>
        </w:rPr>
        <w:t>) единых подходов к корректному трактованию вопросов и процедур, связанных с конкурсным отбором перевозчиком на маршруты, возможностью объединения одного маршрута в один лот, изменения схемы движения по маршрутам (изменены длина маршрутов и график движения транспортных средств) и т.д;</w:t>
      </w:r>
    </w:p>
    <w:p w14:paraId="68224EF0"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анализ состояния конкуренции на рынках автоперевозок пассажиров по муниципальным, межмуниципальным, межрегиональным и смежным межрегиональным маршрутам;</w:t>
      </w:r>
    </w:p>
    <w:p w14:paraId="073B3F02"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выявление соотношения частных и государственных (муниципальных) перевозчиков на всех маршрутах пассажирских автоперевозок на территории каждого субъекта РФ;</w:t>
      </w:r>
    </w:p>
    <w:p w14:paraId="06ECDFD6"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определение средних показателей затрат за 1 перевезенного пассажира в каждом регионе РФ (в случае с перевозками по муниципальным маршрутам), а также средней стоимости 1 км пути в каждом субъекте РФ (в случае с перевозками по межмуниципальным, межрегиональным и смежным межрегиональными маршрутам);</w:t>
      </w:r>
    </w:p>
    <w:p w14:paraId="4853B962" w14:textId="77777777" w:rsid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 обобщение и систематизация правоприменительной практики территориальных управлений (включая жалобы, заявления, обращения, решения Комиссий и судов различных инстанций), связанной с перевозками автобусными пассажирскими перевозками по муниципальным, межмуниципальным, межрегиональным и смежным межрегиональным маршрутам. </w:t>
      </w:r>
    </w:p>
    <w:p w14:paraId="4EFBB79F" w14:textId="77777777" w:rsidR="00305C53" w:rsidRPr="009A72C1" w:rsidRDefault="00305C53" w:rsidP="009A72C1">
      <w:pPr>
        <w:spacing w:after="0" w:line="240" w:lineRule="auto"/>
        <w:ind w:firstLine="709"/>
        <w:contextualSpacing/>
        <w:jc w:val="both"/>
        <w:rPr>
          <w:rFonts w:ascii="Times New Roman" w:hAnsi="Times New Roman"/>
          <w:sz w:val="28"/>
          <w:szCs w:val="28"/>
        </w:rPr>
      </w:pPr>
    </w:p>
    <w:p w14:paraId="29C0327E" w14:textId="77777777" w:rsidR="0043629A" w:rsidRPr="0043629A" w:rsidRDefault="0043629A" w:rsidP="0043629A">
      <w:pPr>
        <w:keepNext/>
        <w:keepLines/>
        <w:spacing w:before="40" w:after="0"/>
        <w:outlineLvl w:val="2"/>
        <w:rPr>
          <w:rFonts w:ascii="Times New Roman" w:eastAsiaTheme="majorEastAsia" w:hAnsi="Times New Roman" w:cs="Times New Roman"/>
          <w:vanish/>
          <w:sz w:val="28"/>
          <w:szCs w:val="28"/>
        </w:rPr>
      </w:pPr>
    </w:p>
    <w:p w14:paraId="4D5DDC8C" w14:textId="2059C876" w:rsidR="00883C8E" w:rsidRDefault="00883C8E" w:rsidP="00EF64DA">
      <w:pPr>
        <w:pStyle w:val="2"/>
      </w:pPr>
      <w:bookmarkStart w:id="1722" w:name="_Toc7448024"/>
      <w:r w:rsidRPr="001B2F4E">
        <w:rPr>
          <w:bCs/>
        </w:rPr>
        <w:t xml:space="preserve">В сфере </w:t>
      </w:r>
      <w:r w:rsidRPr="00611557">
        <w:t>промышленности</w:t>
      </w:r>
      <w:bookmarkEnd w:id="1722"/>
    </w:p>
    <w:p w14:paraId="6BB39CE1" w14:textId="77777777" w:rsidR="00CD3F62" w:rsidRPr="00CD3F62" w:rsidRDefault="00CD3F62"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723" w:name="_Toc7189813"/>
      <w:bookmarkStart w:id="1724" w:name="_Toc7190043"/>
      <w:bookmarkStart w:id="1725" w:name="_Toc7190397"/>
      <w:bookmarkStart w:id="1726" w:name="_Toc7190846"/>
      <w:bookmarkStart w:id="1727" w:name="_Toc7191595"/>
      <w:bookmarkStart w:id="1728" w:name="_Toc7447220"/>
      <w:bookmarkStart w:id="1729" w:name="_Toc7448025"/>
      <w:bookmarkEnd w:id="1723"/>
      <w:bookmarkEnd w:id="1724"/>
      <w:bookmarkEnd w:id="1725"/>
      <w:bookmarkEnd w:id="1726"/>
      <w:bookmarkEnd w:id="1727"/>
      <w:bookmarkEnd w:id="1728"/>
      <w:bookmarkEnd w:id="1729"/>
    </w:p>
    <w:p w14:paraId="727C7F32" w14:textId="77777777" w:rsidR="00BB7A44" w:rsidRPr="00BB7A44" w:rsidRDefault="00BB7A44" w:rsidP="00BB7A44">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730" w:name="_Toc7191596"/>
      <w:bookmarkStart w:id="1731" w:name="_Toc7447221"/>
      <w:bookmarkStart w:id="1732" w:name="_Toc7448026"/>
      <w:bookmarkEnd w:id="1730"/>
      <w:bookmarkEnd w:id="1731"/>
      <w:bookmarkEnd w:id="1732"/>
    </w:p>
    <w:p w14:paraId="24E2B95B" w14:textId="71DE269E" w:rsidR="00E10254" w:rsidRDefault="00E10254" w:rsidP="00BB7A44">
      <w:pPr>
        <w:pStyle w:val="3"/>
      </w:pPr>
      <w:bookmarkStart w:id="1733" w:name="_Toc7448027"/>
      <w:r w:rsidRPr="001B2F4E">
        <w:t>Состояние конкуренции: тенденции и проблемы</w:t>
      </w:r>
      <w:bookmarkStart w:id="1734" w:name="_Toc6834366"/>
      <w:bookmarkStart w:id="1735" w:name="_Toc6834653"/>
      <w:bookmarkStart w:id="1736" w:name="_Toc6834856"/>
      <w:bookmarkEnd w:id="1734"/>
      <w:bookmarkEnd w:id="1735"/>
      <w:bookmarkEnd w:id="1736"/>
      <w:bookmarkEnd w:id="1733"/>
    </w:p>
    <w:p w14:paraId="28EDB160" w14:textId="46988714" w:rsidR="00E10254" w:rsidRPr="00E60F3C" w:rsidRDefault="00E10254" w:rsidP="00E60F3C">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2018 году </w:t>
      </w:r>
      <w:r w:rsidR="0098068F">
        <w:rPr>
          <w:rFonts w:ascii="Times New Roman" w:hAnsi="Times New Roman" w:cs="Times New Roman"/>
          <w:sz w:val="28"/>
          <w:szCs w:val="28"/>
        </w:rPr>
        <w:t>ФАС России</w:t>
      </w:r>
      <w:r w:rsidRPr="00E10254">
        <w:rPr>
          <w:rFonts w:ascii="Times New Roman" w:hAnsi="Times New Roman" w:cs="Times New Roman"/>
          <w:sz w:val="28"/>
          <w:szCs w:val="28"/>
        </w:rPr>
        <w:t xml:space="preserve"> проведена работа по анализу конкуренции на нескольких рынках. Основные тенденции и проблемы, выявленные в результате проведения анализа, представлены далее.</w:t>
      </w:r>
    </w:p>
    <w:p w14:paraId="41BA7722" w14:textId="77777777" w:rsidR="00E10254" w:rsidRPr="00E10254" w:rsidRDefault="00E10254" w:rsidP="00960325">
      <w:pPr>
        <w:spacing w:after="0" w:line="240" w:lineRule="auto"/>
        <w:ind w:firstLine="709"/>
        <w:rPr>
          <w:rFonts w:ascii="Times New Roman" w:eastAsia="Times New Roman" w:hAnsi="Times New Roman" w:cs="Times New Roman"/>
          <w:b/>
          <w:color w:val="000000"/>
          <w:sz w:val="28"/>
          <w:szCs w:val="28"/>
          <w:lang w:eastAsia="ru-RU"/>
        </w:rPr>
      </w:pPr>
      <w:r w:rsidRPr="00E10254">
        <w:rPr>
          <w:rFonts w:ascii="Times New Roman" w:hAnsi="Times New Roman" w:cs="Times New Roman"/>
          <w:sz w:val="28"/>
          <w:szCs w:val="28"/>
        </w:rPr>
        <w:t xml:space="preserve">1) </w:t>
      </w:r>
      <w:r w:rsidRPr="00E10254">
        <w:rPr>
          <w:rFonts w:ascii="Times New Roman" w:eastAsia="Times New Roman" w:hAnsi="Times New Roman" w:cs="Times New Roman"/>
          <w:b/>
          <w:color w:val="000000"/>
          <w:sz w:val="28"/>
          <w:szCs w:val="28"/>
          <w:lang w:eastAsia="ru-RU"/>
        </w:rPr>
        <w:t>Рынок оловянного концентрата</w:t>
      </w:r>
    </w:p>
    <w:p w14:paraId="2979233A"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Технологический прогресс, в том числе цифровизация и автоматизация, влияют на большое число традиционных рынков. Появление новых технологий и увеличение наукоёмкости производства позволяют компаниям шире взглянуть на используемые в производстве материалы.</w:t>
      </w:r>
    </w:p>
    <w:p w14:paraId="274933A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Динамичное развитие технологий, а также интеграция мировых рынков могут привести к возникновению дефицита на традиционные материалы, привлекательность и масштабы использования которых в предыдущие периоды могли сокращаться.</w:t>
      </w:r>
    </w:p>
    <w:p w14:paraId="3E5031E4"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Одним из примеров является рынок олова, который в течение продолжительного времени находился в состоянии стагнации. </w:t>
      </w:r>
      <w:r w:rsidRPr="00E10254">
        <w:rPr>
          <w:rFonts w:ascii="Times New Roman" w:hAnsi="Times New Roman" w:cs="Times New Roman"/>
          <w:sz w:val="28"/>
          <w:szCs w:val="28"/>
        </w:rPr>
        <w:t>Снижение потребления олова в мире связано с различными причинами, одной из которых является миниатюризация в электронике.</w:t>
      </w:r>
    </w:p>
    <w:p w14:paraId="2596BA97"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Принимая во внимание растущую значимость рынка олова, а также в связи с намерениями отдельных участников рынка по осуществлению сделок экономической концентрации ФАС России был проведен анализ состояния конкуренции на рынке оловосодержащего сырья.</w:t>
      </w:r>
    </w:p>
    <w:p w14:paraId="228106A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b/>
          <w:color w:val="000000" w:themeColor="text1"/>
          <w:sz w:val="28"/>
          <w:szCs w:val="28"/>
          <w:lang w:eastAsia="ru-RU"/>
        </w:rPr>
        <w:t>Оловянный концентрат</w:t>
      </w:r>
      <w:r w:rsidRPr="00E10254">
        <w:rPr>
          <w:rFonts w:ascii="Times New Roman" w:eastAsia="Times New Roman" w:hAnsi="Times New Roman" w:cs="Times New Roman"/>
          <w:color w:val="000000" w:themeColor="text1"/>
          <w:sz w:val="28"/>
          <w:szCs w:val="28"/>
          <w:lang w:eastAsia="ru-RU"/>
        </w:rPr>
        <w:t xml:space="preserve"> является продуктом обогащения оловосодержащих руд и песков. </w:t>
      </w:r>
    </w:p>
    <w:p w14:paraId="4AE804D0"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России запасы оловянных руд расположены в Хабаровском крае (Солнечный район – месторождения Фестивальное и Соболиное; Верхнебуреинский район – Правоурмийское месторождение), в Приморском крае (Кавалеровский район – месторождения Верхнее и Тигриное), в Якутии (месторождение Депутатское, россыпь руч. Тирехтях, россыпь руч. Одинокий) и других районах.</w:t>
      </w:r>
    </w:p>
    <w:p w14:paraId="420D6D7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 xml:space="preserve">Оловянный концентрат используется для производства олова и оловосодержащих сплавов. </w:t>
      </w:r>
    </w:p>
    <w:p w14:paraId="182E2AA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Основное применение олово находит в сплавах (припоях, баббитах, бронзах, типографском и др.), а также при изготовлении белой жести (лужёное железо) для изготовления тары пищевых продуктов, в припоях для электроники, в подшипниковых сплавах и в покрытиях из олова и его сплавов. Соли олова применяются при производстве эмалей, в красильном деле, стекольной промышленности, гальванопластике, сельском хозяйстве.</w:t>
      </w:r>
    </w:p>
    <w:p w14:paraId="3E27252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последние годы в связи с автоматизацией и цифровизацией производственных процессов олово высокой чистоты используется в полупроводниковой и электронной, автомобильной (электромобили и т.п.) промышленности.</w:t>
      </w:r>
    </w:p>
    <w:p w14:paraId="7EC8425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Одна из ключевых характеристик функционирования рынка оловянного концентрата связана с тем, что оловянный концентрат имеет достаточно узкий рынок сбыта в мире и в границах Российской Федерации, при этом мировой рынок оловосодержащего сырья является дефицитным.</w:t>
      </w:r>
    </w:p>
    <w:p w14:paraId="63A7191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 импорт Продукции в Российскую Федерацию с января 2015 года по ноябрь 2017 года не осуществлялся. Кроме того, возможность закупки Продукции за пределами Российской Федерации отсутствует ввиду мирового дефицита оловосодержащего сырья.</w:t>
      </w:r>
    </w:p>
    <w:p w14:paraId="1C7B6F3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Рынок оловянного концентрата в границах Российской Федерации является высококонцентрированным, следовательно, относится к рынку с неразвитой конкуренцией.</w:t>
      </w:r>
    </w:p>
    <w:p w14:paraId="46673ABF"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Рассматриваемый товарный рынок характеризуется наличием значительных экономических и административных барьеров, препятствующих входу на данный рынок хозяйствующих субъектов.</w:t>
      </w:r>
    </w:p>
    <w:p w14:paraId="01458516"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Единственными поставщиками оловянного концентрата с высоким содержанием олова на территории Российской Федерации являются                        ООО «Правоурмийское» и ОАО «Оловянная рудная компания», входящее в группу лиц ПАО «Русолово».</w:t>
      </w:r>
    </w:p>
    <w:p w14:paraId="630F4C5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При этом на территории Российской Федерации единственным потребителем оловянного концентрата и, соответственно, единственным производителем олова является ООО «НОК».</w:t>
      </w:r>
    </w:p>
    <w:p w14:paraId="5CF0C46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Таким образом, смежные рынки олова и оловянного концентрата на территории Российской Федерации являются высококонцентрированными.</w:t>
      </w:r>
    </w:p>
    <w:p w14:paraId="1BAA9E93"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eastAsia="Times New Roman" w:hAnsi="Times New Roman" w:cs="Times New Roman"/>
          <w:color w:val="000000" w:themeColor="text1"/>
          <w:sz w:val="28"/>
          <w:szCs w:val="28"/>
          <w:lang w:eastAsia="ru-RU"/>
        </w:rPr>
        <w:t>В условиях дефицита продукции, вертикальная интеграция может привести к возникновению доминирующего положения. При этом, доминирующее положение на рынках оловянного концентрата и олова может привести не только к «типичным» для экономической теории негативным последствиями монополизации в виде потерь общественного благосостояния от снижения объемов производства и монопольного ценообразования, но и подорвать технологический прогресс в отраслях, использующих олово. Так, наблюдается тенденция увеличения спроса на олово в Российской Федерации в связи с развитием цифровых технологий, и как следствие, ростом применения оловосодержащих припоев, то есть сплавов для пайки изделий различной электронной аппаратуры (электротехники, радиотелевизионной аппаратуры, средств связи, компьютерной техники), а также ввиду ужесточения требований экологического законодательства по ограничению использования опасных веществ, в том числе постепенного прекращения использования свинца.</w:t>
      </w:r>
    </w:p>
    <w:p w14:paraId="7B921F00"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целях </w:t>
      </w:r>
      <w:r w:rsidRPr="00E10254">
        <w:rPr>
          <w:rFonts w:ascii="Times New Roman" w:eastAsia="Times New Roman" w:hAnsi="Times New Roman" w:cs="Times New Roman"/>
          <w:sz w:val="28"/>
          <w:szCs w:val="28"/>
          <w:lang w:eastAsia="ru-RU"/>
        </w:rPr>
        <w:t>развития</w:t>
      </w:r>
      <w:r w:rsidRPr="00E10254">
        <w:rPr>
          <w:rFonts w:ascii="Times New Roman" w:hAnsi="Times New Roman" w:cs="Times New Roman"/>
          <w:sz w:val="28"/>
          <w:szCs w:val="28"/>
        </w:rPr>
        <w:t xml:space="preserve"> конкуренции на рынке оловянного концентрата, а также смежного с ним рынка олова, и расширения производственного потенциала отечественной оловянной отрасли предполагается целесообразным уделять особое внимание динамике технологического развития в смежных отраслях при оценке положения хозяйствующих субъектов на рынке в рамках осуществления антимонопольным органом функций по контролю за экономической концентрацией.</w:t>
      </w:r>
    </w:p>
    <w:p w14:paraId="2FBC4CA5" w14:textId="77777777" w:rsidR="00E10254" w:rsidRPr="00E10254" w:rsidRDefault="00E10254" w:rsidP="00960325">
      <w:pPr>
        <w:spacing w:after="0" w:line="240" w:lineRule="auto"/>
        <w:ind w:firstLine="709"/>
        <w:jc w:val="both"/>
        <w:rPr>
          <w:sz w:val="28"/>
          <w:szCs w:val="28"/>
        </w:rPr>
      </w:pPr>
    </w:p>
    <w:p w14:paraId="65D52357" w14:textId="77777777" w:rsidR="00E10254" w:rsidRPr="00AF0B3C" w:rsidRDefault="00E10254" w:rsidP="00AF0B3C">
      <w:pPr>
        <w:spacing w:after="0" w:line="240" w:lineRule="auto"/>
        <w:ind w:firstLine="709"/>
        <w:rPr>
          <w:rFonts w:ascii="Times New Roman" w:eastAsia="Times New Roman" w:hAnsi="Times New Roman" w:cs="Times New Roman"/>
          <w:b/>
          <w:sz w:val="28"/>
          <w:szCs w:val="28"/>
          <w:lang w:eastAsia="ru-RU"/>
        </w:rPr>
      </w:pPr>
      <w:r w:rsidRPr="00E10254">
        <w:rPr>
          <w:rFonts w:ascii="Times New Roman" w:eastAsia="Times New Roman" w:hAnsi="Times New Roman" w:cs="Times New Roman"/>
          <w:b/>
          <w:sz w:val="28"/>
          <w:szCs w:val="28"/>
          <w:lang w:eastAsia="ru-RU"/>
        </w:rPr>
        <w:t xml:space="preserve">2) </w:t>
      </w:r>
      <w:r w:rsidR="00AF0B3C">
        <w:rPr>
          <w:rFonts w:ascii="Times New Roman" w:eastAsia="Times New Roman" w:hAnsi="Times New Roman" w:cs="Times New Roman"/>
          <w:b/>
          <w:sz w:val="28"/>
          <w:szCs w:val="28"/>
          <w:lang w:eastAsia="ru-RU"/>
        </w:rPr>
        <w:t>Рынок железорудного концентрата</w:t>
      </w:r>
    </w:p>
    <w:p w14:paraId="3CB9B2CC" w14:textId="77777777" w:rsidR="00305C53" w:rsidRDefault="00305C53" w:rsidP="00960325">
      <w:pPr>
        <w:spacing w:after="0" w:line="240" w:lineRule="auto"/>
        <w:ind w:firstLine="709"/>
        <w:contextualSpacing/>
        <w:jc w:val="both"/>
        <w:rPr>
          <w:rFonts w:ascii="Times New Roman" w:eastAsia="Times New Roman" w:hAnsi="Times New Roman" w:cs="Times New Roman"/>
          <w:sz w:val="28"/>
          <w:szCs w:val="28"/>
          <w:lang w:eastAsia="ru-RU"/>
        </w:rPr>
      </w:pPr>
    </w:p>
    <w:p w14:paraId="3B0D0F0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FF0000"/>
          <w:sz w:val="28"/>
          <w:szCs w:val="28"/>
          <w:lang w:eastAsia="ru-RU"/>
        </w:rPr>
      </w:pPr>
      <w:r w:rsidRPr="00E10254">
        <w:rPr>
          <w:rFonts w:ascii="Times New Roman" w:eastAsia="Times New Roman" w:hAnsi="Times New Roman" w:cs="Times New Roman"/>
          <w:sz w:val="28"/>
          <w:szCs w:val="28"/>
          <w:lang w:eastAsia="ru-RU"/>
        </w:rPr>
        <w:t>ФАС России в 2018 году проведен анализ состояния конкуренции на рынке железорудного концентрата.</w:t>
      </w:r>
      <w:r w:rsidRPr="00E10254">
        <w:rPr>
          <w:rFonts w:ascii="Times New Roman" w:eastAsia="Times New Roman" w:hAnsi="Times New Roman" w:cs="Times New Roman"/>
          <w:color w:val="FF0000"/>
          <w:sz w:val="28"/>
          <w:szCs w:val="28"/>
          <w:lang w:eastAsia="ru-RU"/>
        </w:rPr>
        <w:t xml:space="preserve"> </w:t>
      </w:r>
    </w:p>
    <w:p w14:paraId="7F0768D8"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Для осуществления металлургического производства необходима железная руда, уровень добычи которой отражает состояние сырьевой базы отрасли. Российская Федерация является ведущим производителем железной руды с годовым объемом производства около 100 млн. тонн. По количеству прогнозных ресурсов железных руд Россия занимает второе место в мире после Бразилии. </w:t>
      </w:r>
    </w:p>
    <w:p w14:paraId="5A4E21B9" w14:textId="77777777" w:rsidR="00E10254" w:rsidRPr="00E10254" w:rsidRDefault="00E10254" w:rsidP="00960325">
      <w:pPr>
        <w:spacing w:after="0" w:line="240" w:lineRule="auto"/>
        <w:ind w:firstLine="709"/>
        <w:contextualSpacing/>
        <w:jc w:val="both"/>
        <w:rPr>
          <w:rFonts w:ascii="Times New Roman" w:eastAsia="Calibri" w:hAnsi="Times New Roman" w:cs="Times New Roman"/>
          <w:color w:val="000000" w:themeColor="text1"/>
          <w:sz w:val="28"/>
          <w:szCs w:val="28"/>
        </w:rPr>
      </w:pPr>
      <w:r w:rsidRPr="00E10254">
        <w:rPr>
          <w:rFonts w:ascii="Times New Roman" w:eastAsia="Calibri" w:hAnsi="Times New Roman" w:cs="Times New Roman"/>
          <w:color w:val="000000" w:themeColor="text1"/>
          <w:sz w:val="28"/>
          <w:szCs w:val="28"/>
        </w:rPr>
        <w:t xml:space="preserve">Руда является исходным сырьем для получения железорудного концентрата. </w:t>
      </w:r>
      <w:r w:rsidRPr="00E10254">
        <w:rPr>
          <w:rFonts w:ascii="Times New Roman" w:eastAsia="Times New Roman" w:hAnsi="Times New Roman" w:cs="Times New Roman"/>
          <w:sz w:val="28"/>
          <w:szCs w:val="28"/>
          <w:lang w:eastAsia="ru-RU"/>
        </w:rPr>
        <w:t>При этом содержание железа в концентрате может быть повышено по сравнению с рудой с 30% до 60-65%.</w:t>
      </w:r>
      <w:r w:rsidRPr="00E10254">
        <w:rPr>
          <w:rFonts w:ascii="Times New Roman" w:eastAsia="Calibri" w:hAnsi="Times New Roman" w:cs="Times New Roman"/>
          <w:color w:val="000000" w:themeColor="text1"/>
          <w:sz w:val="28"/>
          <w:szCs w:val="28"/>
        </w:rPr>
        <w:t xml:space="preserve"> </w:t>
      </w:r>
      <w:r w:rsidRPr="00E10254">
        <w:rPr>
          <w:rFonts w:ascii="Times New Roman" w:eastAsia="Times New Roman" w:hAnsi="Times New Roman" w:cs="Times New Roman"/>
          <w:sz w:val="28"/>
          <w:szCs w:val="28"/>
          <w:lang w:eastAsia="ru-RU"/>
        </w:rPr>
        <w:t>Железорудный концентрат в составе доменной шихты используется для выплавки чугуна.</w:t>
      </w:r>
    </w:p>
    <w:p w14:paraId="0270AEC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На территории Российской Федерации наблюдается диспропорция в размещении металлургических комбинатов и их сырьевой базы, что приводит к транспортировке железорудного сырья на значительные расстояния. Среднее расстояние перевозки превышает 1500 км. </w:t>
      </w:r>
    </w:p>
    <w:p w14:paraId="37ED7902"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10254">
        <w:rPr>
          <w:rFonts w:ascii="Times New Roman" w:eastAsia="Times New Roman" w:hAnsi="Times New Roman" w:cs="Times New Roman"/>
          <w:color w:val="000000"/>
          <w:sz w:val="28"/>
          <w:szCs w:val="28"/>
          <w:lang w:eastAsia="ru-RU"/>
        </w:rPr>
        <w:t>Железорудная подотрасль черной металлургии в России включает более 20 предприятий по добыче и обогащению железных руд. Практически все из них входят в состав вертикально-интегрированных компаний.</w:t>
      </w:r>
    </w:p>
    <w:p w14:paraId="2C48197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Основными производителями железорудного сырья в Российской Федерации являются ООО УК «Металлоинвест» (Михайловский                                       и Лебединский ГОКи), ПАО «НЛМК» (Стойленский ГОК), ПАО Северсталь (Костомукшский и Оленегорский ГОКи, Яковлевский рудник),                                    ООО «ЕвразХодинг» (Качканарский ГОК), ПАО «Мечел» (Коршуновский ГОК), АО «МХК «Еврохим» (Ковдорский ГОК).</w:t>
      </w:r>
    </w:p>
    <w:p w14:paraId="6505F5F8"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О</w:t>
      </w:r>
      <w:r w:rsidRPr="00E10254">
        <w:rPr>
          <w:rFonts w:ascii="Times New Roman" w:eastAsia="Times New Roman" w:hAnsi="Times New Roman" w:cs="Times New Roman"/>
          <w:sz w:val="28"/>
          <w:szCs w:val="28"/>
          <w:lang w:eastAsia="ru-RU"/>
        </w:rPr>
        <w:t xml:space="preserve">сновной объем экспортных поставок железорудного концентрата приходится на Китай. При этом Китай является главным импортером железорудного сырья в мире. Крупнейшими экспортерами - Австралия и Бразилия. </w:t>
      </w:r>
    </w:p>
    <w:p w14:paraId="30BA221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sz w:val="28"/>
          <w:szCs w:val="28"/>
          <w:lang w:eastAsia="ru-RU"/>
        </w:rPr>
        <w:t xml:space="preserve">Состояние конкуренции на рынке железорудного сырья является </w:t>
      </w:r>
      <w:r w:rsidRPr="00E10254">
        <w:rPr>
          <w:rFonts w:ascii="Times New Roman" w:eastAsia="Times New Roman" w:hAnsi="Times New Roman" w:cs="Times New Roman"/>
          <w:color w:val="000000" w:themeColor="text1"/>
          <w:sz w:val="28"/>
          <w:szCs w:val="28"/>
          <w:lang w:eastAsia="ru-RU"/>
        </w:rPr>
        <w:t>неразвитым, характеризуется наличием хозяйствующих субъектов, занимающих доминирующее положение.</w:t>
      </w:r>
    </w:p>
    <w:p w14:paraId="6FBA4430"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Выявлены барьеры входа и выхода:</w:t>
      </w:r>
    </w:p>
    <w:p w14:paraId="57D6C6F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материальные и временные издержки, связанные с поиском/разработкой участков недр для производства железорудного концентрата;</w:t>
      </w:r>
    </w:p>
    <w:p w14:paraId="659CEB4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w:t>
      </w:r>
    </w:p>
    <w:p w14:paraId="4FFB811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E9488A6"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34B5014"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вертикально-интегрированных компаний.</w:t>
      </w:r>
    </w:p>
    <w:p w14:paraId="1B4BC7D7"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В результате проведенного анализа отмечаются следующие тенденции железорудной подотрасли.</w:t>
      </w:r>
    </w:p>
    <w:p w14:paraId="453E3BE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1. Основное влияние на цены железорудного концентрата оказывает рынок Китая. Согласно оценкам на территории государства сосредоточено до половины мирового производства стали, доля в глобальном объеме закупок железорудного сырья составляет 2/3.</w:t>
      </w:r>
    </w:p>
    <w:p w14:paraId="7F8CDA9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При проведении анализа установлено наличие внебиржевого индикатора, отражающего уровень цен на мировых рынках со сравнительно развитой конкурентной средой.</w:t>
      </w:r>
    </w:p>
    <w:p w14:paraId="59ABC71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Так, наибольшее влияние на цену железорудного концентрата оказывает индекс </w:t>
      </w:r>
      <w:r w:rsidRPr="00E10254">
        <w:rPr>
          <w:rFonts w:ascii="Times New Roman" w:hAnsi="Times New Roman" w:cs="Times New Roman"/>
          <w:sz w:val="28"/>
          <w:szCs w:val="28"/>
          <w:shd w:val="clear" w:color="auto" w:fill="FFFFFF"/>
        </w:rPr>
        <w:t xml:space="preserve">железорудной мелочи </w:t>
      </w:r>
      <w:r w:rsidRPr="00E10254">
        <w:rPr>
          <w:rFonts w:ascii="Times New Roman" w:hAnsi="Times New Roman" w:cs="Times New Roman"/>
          <w:sz w:val="28"/>
          <w:szCs w:val="28"/>
        </w:rPr>
        <w:t xml:space="preserve">Iron ore fines Fe 62% CFR </w:t>
      </w:r>
      <w:r w:rsidRPr="00E10254">
        <w:rPr>
          <w:rFonts w:ascii="Times New Roman" w:hAnsi="Times New Roman" w:cs="Times New Roman"/>
          <w:sz w:val="28"/>
          <w:szCs w:val="28"/>
          <w:shd w:val="clear" w:color="auto" w:fill="FFFFFF"/>
          <w:lang w:val="en-US"/>
        </w:rPr>
        <w:t>China</w:t>
      </w:r>
      <w:r w:rsidRPr="00E10254">
        <w:rPr>
          <w:rFonts w:ascii="Times New Roman" w:hAnsi="Times New Roman" w:cs="Times New Roman"/>
          <w:sz w:val="28"/>
          <w:szCs w:val="28"/>
        </w:rPr>
        <w:t xml:space="preserve">. Данный индекс сложившился в зоне активного потребления товара с развитой конкурентной средой </w:t>
      </w:r>
      <w:r w:rsidRPr="00E10254">
        <w:rPr>
          <w:rFonts w:ascii="Times New Roman" w:eastAsia="Times New Roman" w:hAnsi="Times New Roman" w:cs="Times New Roman"/>
          <w:sz w:val="28"/>
          <w:szCs w:val="28"/>
          <w:lang w:eastAsia="ru-RU"/>
        </w:rPr>
        <w:t>‒</w:t>
      </w:r>
      <w:r w:rsidRPr="00E10254">
        <w:rPr>
          <w:rFonts w:ascii="Times New Roman" w:hAnsi="Times New Roman" w:cs="Times New Roman"/>
          <w:sz w:val="28"/>
          <w:szCs w:val="28"/>
        </w:rPr>
        <w:t xml:space="preserve"> Китае. Индекс ежедневно публикуется аналитическими агентствами как: Platts, Argus, Metal Bulletin, MMI и т.д. </w:t>
      </w:r>
    </w:p>
    <w:p w14:paraId="2E01F2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Потребители и производители на территории Российской Федерации не могут оказать влияние на данный индекс. При этом индикатор является общепризнанным репрезентативным источником, используемым большинством потребителей и производителей железорудного концентрата на территории Российской Федерации при ценообразовании.</w:t>
      </w:r>
    </w:p>
    <w:p w14:paraId="1BD08C8B"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соответствии с частью 8 статьи 6 Закона о защите конкуренции при определении монопольно высокой цены товара в соответствии с частью 1 статьи 6 учитываются биржевые и внебиржевые индикаторы цен, установленные на мировых рынках аналогичного товара.</w:t>
      </w:r>
    </w:p>
    <w:p w14:paraId="2AAC774E"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 этом при формировании цен на железорудный концентрат производителям надлежит учитывать особенности спроса и конъюнктуру внутреннего рынка.</w:t>
      </w:r>
    </w:p>
    <w:p w14:paraId="3569B7C4" w14:textId="77777777"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 xml:space="preserve">2. </w:t>
      </w:r>
      <w:r w:rsidRPr="00E10254">
        <w:rPr>
          <w:rFonts w:ascii="Times New Roman" w:hAnsi="Times New Roman" w:cs="Times New Roman"/>
          <w:sz w:val="28"/>
          <w:szCs w:val="28"/>
        </w:rPr>
        <w:t>Доменный процесс предназначается для выплавки стали, чугун является промежуточным продуктом в современной технологии производства стали: 85% от всего количества выплавляемого чугуна используется для дальнейшего передела стали в конверторах.</w:t>
      </w:r>
    </w:p>
    <w:p w14:paraId="33BB982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Альтернативный вариант производства стали - с использованием электродуговых печей или дуговых сталеплавильных печей. Основным сырьем при производстве таким способом является лом черных металлов и горячебрикетированное железо. Таким образом, отмечается конкуренция со стороны альтернативных технологий производства стали.</w:t>
      </w:r>
    </w:p>
    <w:p w14:paraId="3EC98BC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Увеличение переработки лома черных металлов для производства чугуна связанна с несколькими причинами: </w:t>
      </w:r>
    </w:p>
    <w:p w14:paraId="5504292F"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сокращение нагрузки на месторождения металлов (объем месторождений богатой железной рудой в Российской Федерации сокращается);</w:t>
      </w:r>
    </w:p>
    <w:p w14:paraId="1BACCC63"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улучшение экологической обстановки (добыча сырья из руды наносит в 10 раз больше вреда окружающей среде)</w:t>
      </w:r>
    </w:p>
    <w:p w14:paraId="4F29C36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экономия энергетических и временных ресурсов, т.к. переработка лома процесс более быстрый, чем добыча и использование железной руды.</w:t>
      </w:r>
    </w:p>
    <w:p w14:paraId="103A7DFF"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3. В рамках проведенного исследования отмечается п</w:t>
      </w:r>
      <w:r w:rsidRPr="00E10254">
        <w:rPr>
          <w:rFonts w:ascii="Times New Roman" w:eastAsia="Times New Roman" w:hAnsi="Times New Roman" w:cs="Times New Roman"/>
          <w:sz w:val="28"/>
          <w:szCs w:val="28"/>
          <w:lang w:eastAsia="ru-RU"/>
        </w:rPr>
        <w:t>олитика по ужесточению экологических стандартов.</w:t>
      </w:r>
      <w:r w:rsidRPr="00E10254">
        <w:rPr>
          <w:rFonts w:ascii="Times New Roman" w:hAnsi="Times New Roman" w:cs="Times New Roman"/>
          <w:sz w:val="28"/>
          <w:szCs w:val="28"/>
        </w:rPr>
        <w:t xml:space="preserve"> </w:t>
      </w:r>
      <w:r w:rsidRPr="00E10254">
        <w:rPr>
          <w:rFonts w:ascii="Times New Roman" w:eastAsia="Times New Roman" w:hAnsi="Times New Roman" w:cs="Times New Roman"/>
          <w:sz w:val="28"/>
          <w:szCs w:val="28"/>
          <w:lang w:eastAsia="ru-RU"/>
        </w:rPr>
        <w:t>Отмечается рост спроса на более дорогостоящий и экологичный товар - железорудные окатыши. Потребители окатышей платят премию к цене железорудного концентрата.</w:t>
      </w:r>
    </w:p>
    <w:p w14:paraId="2F0053DD"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Отечественные металлургические предприятия увеличивают производство продуктов с более высокой добавленной стоимостью (железорудные окатыши, горячебрикетированное железо), которые представляют интерес для широкого круга производителей стали, в том числе электрометаллургов. Отмечается, что при транспортировке данных товаров потери продукции ниже, чем при транспортировке железорудного концентрата, в том числе ввиду просыпания.</w:t>
      </w:r>
    </w:p>
    <w:p w14:paraId="3A9E0FEA"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Окатыши производятся из железорудного концентрата с добавлением известняка в результате окомкования и последующего обжига. </w:t>
      </w:r>
    </w:p>
    <w:p w14:paraId="5CD55A8C"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На территории Российской Федерации мощности для производства железорудных окатышей есть у 4 групп компаний: ООО УК «Металлоинвест», ПАО «НЛМК», ПАО «Северсталь» и ООО «ЕвразХодинг».</w:t>
      </w:r>
    </w:p>
    <w:p w14:paraId="7FFFA531"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Мощностями по производству горячебрикетированного железа в Российской Федерации располагает группа компаний ООО УК «Металлоинвест».</w:t>
      </w:r>
    </w:p>
    <w:p w14:paraId="0D713E11" w14:textId="77777777"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По результатам проведенного анализа отмечается, что внутренний рынок железорудного сырья имеет огромный потенциал для развития металлургической отрасли, как в направлении экологии, так и сточки зрения экономики производственного процесса, что наиболее ярко проявляется в соотношении динамики выпуска традиционных (железорудный концентрат, агломерат) и относительно новых (окатыши, горячебрикетированное железо) продуктов. Таким образом, предполагается целесообразным уделять внимание соотношению динамики выпуска смежных продуктов на рынках железорудного сырья как с точки зрения технологического развития, так и с точки зрения подходов к определению продуктовых границ рынка, при осуществлении антимонопольным органом функций по контролю за экономической концентрацией и рассмотрении заявлений о нарушении антимонопольного законодательства.</w:t>
      </w:r>
    </w:p>
    <w:p w14:paraId="4C66CFFE" w14:textId="77777777" w:rsidR="00E10254" w:rsidRPr="00E10254" w:rsidRDefault="00E10254" w:rsidP="00AF0B3C">
      <w:pPr>
        <w:spacing w:after="0" w:line="240" w:lineRule="auto"/>
        <w:jc w:val="both"/>
        <w:rPr>
          <w:rFonts w:ascii="Times New Roman" w:hAnsi="Times New Roman" w:cs="Times New Roman"/>
          <w:b/>
          <w:sz w:val="28"/>
          <w:szCs w:val="28"/>
        </w:rPr>
      </w:pPr>
    </w:p>
    <w:p w14:paraId="1F46177F" w14:textId="77777777" w:rsidR="00E10254" w:rsidRPr="00E10254" w:rsidRDefault="00E10254" w:rsidP="00960325">
      <w:pPr>
        <w:spacing w:after="0" w:line="240" w:lineRule="auto"/>
        <w:ind w:firstLine="709"/>
        <w:jc w:val="both"/>
        <w:rPr>
          <w:rFonts w:ascii="Times New Roman" w:hAnsi="Times New Roman" w:cs="Times New Roman"/>
          <w:b/>
          <w:sz w:val="28"/>
          <w:szCs w:val="28"/>
        </w:rPr>
      </w:pPr>
      <w:r w:rsidRPr="00E10254">
        <w:rPr>
          <w:rFonts w:ascii="Times New Roman" w:hAnsi="Times New Roman" w:cs="Times New Roman"/>
          <w:b/>
          <w:sz w:val="28"/>
          <w:szCs w:val="28"/>
        </w:rPr>
        <w:t>3) Рынок подвесных потолочных систем</w:t>
      </w:r>
    </w:p>
    <w:p w14:paraId="5F001C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Рынок подвесных потолочных систем находится в активной стадии роста, которая характеризуется постоянно растущим спросом, динамично меняющимися предпочтениями покупателей, как следствие широкой дифференциацией продукции.</w:t>
      </w:r>
    </w:p>
    <w:p w14:paraId="2261CBD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Необходимость изучения состояния конкуренции на данном рынке обусловлена планируемыми на нем сделками по консолидации предприятий, а именно намерениями группы компании «КНАУФ ИНТЕРНАЦИОНАЛЬ ГмбХ» о приобретении </w:t>
      </w:r>
      <w:r w:rsidRPr="00E10254">
        <w:rPr>
          <w:rFonts w:ascii="Times New Roman" w:hAnsi="Times New Roman" w:cs="Times New Roman"/>
          <w:iCs/>
          <w:sz w:val="28"/>
          <w:szCs w:val="28"/>
          <w:shd w:val="clear" w:color="auto" w:fill="FFFFFF"/>
        </w:rPr>
        <w:t xml:space="preserve">долей в размере 100% уставного капитала                             </w:t>
      </w:r>
      <w:r w:rsidRPr="00E10254">
        <w:rPr>
          <w:rFonts w:ascii="Times New Roman" w:hAnsi="Times New Roman" w:cs="Times New Roman"/>
          <w:sz w:val="28"/>
          <w:szCs w:val="28"/>
        </w:rPr>
        <w:t>ООО «Армстронг Ворлд Индастриз» и ООО «Армстронг Билдинг Продактс».</w:t>
      </w:r>
    </w:p>
    <w:p w14:paraId="1CD5F5F6" w14:textId="77777777" w:rsidR="00E10254" w:rsidRPr="00E10254" w:rsidRDefault="00E10254" w:rsidP="00960325">
      <w:pPr>
        <w:tabs>
          <w:tab w:val="left" w:pos="10206"/>
        </w:tabs>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b/>
          <w:sz w:val="28"/>
          <w:szCs w:val="28"/>
          <w:lang w:eastAsia="ru-RU"/>
        </w:rPr>
        <w:t>Подвесные потолочные системы</w:t>
      </w:r>
      <w:r w:rsidRPr="00E10254">
        <w:rPr>
          <w:rFonts w:ascii="Times New Roman" w:eastAsia="Times New Roman" w:hAnsi="Times New Roman" w:cs="Times New Roman"/>
          <w:sz w:val="28"/>
          <w:szCs w:val="28"/>
          <w:lang w:eastAsia="ru-RU"/>
        </w:rPr>
        <w:t xml:space="preserve"> представляют собой целостную конструкцию, состоящую из различных облицовочных элементов, а также подвесных и каркасных звеньев конструктивно связанных между собой с целью обеспечения определенных функциональных, архитектурных, эргономических и других задач в устанавливаемых помещениях зданий и сооружений.</w:t>
      </w:r>
    </w:p>
    <w:p w14:paraId="5749A5B3"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По причине невысокой доли транспортных расходов в конечной стоимости товара, транспортировка подвесных потолочных систем возможна в пределах всей территории Российской Федерации. Стоит отметить, что наряду с готовыми изделиями могут отдельно поставляться необходимые комплектующие (системы подвесов, профили, и т.п.) и облицовочные панели необходимые конечным потребителям при осуществлении локального ремонта потолочных конструкций.</w:t>
      </w:r>
    </w:p>
    <w:p w14:paraId="3F669ADF"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Кроме того, крупные мировые компании, не имеющие на территории Российской Федерации производственных мощностей по выпуску подвесных потолочных конструкций, поставляют продукции из иностранных государств, через собственные подразделения или через уполномоченных дилеров/партнеров в Российской Федерации. </w:t>
      </w:r>
    </w:p>
    <w:p w14:paraId="5E50247E"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На рынке представлено достаточное количество хозяйствующих субъектов, продавцов, которые представляют собой как независимых производителей, так и крупные международные холдинги. В виду наличия последних рынок характеризуется умеренно высокой концентрацией.</w:t>
      </w:r>
    </w:p>
    <w:p w14:paraId="4394DA8D"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тем, что подвесные потолочные конструкции, при внутренней отделке жилых и нежилых коммерческих помещений (сооружений), решают определенный круг функциональных, архитектурных, и эргономических задач, рынок характеризуется постоянно изменяющимися предпочтениями потребителей. В этой связи, производители вынуждены реагировать на запросы потребителей и постоянно диверсифицировать выпускаемый ассортимент продукции.</w:t>
      </w:r>
    </w:p>
    <w:p w14:paraId="409138D3"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Сложившиеся тенденции по консолидации нескольких хозяйствующих субъектов-конкурентов, также свидетельствуют о необходимости диверсификации и завоевания новых продуктовых ниш, как подтверждение сделка группы компаний «Кнауф» по приобретению группы «Армстронг».</w:t>
      </w:r>
    </w:p>
    <w:p w14:paraId="1E3DDC2F" w14:textId="77777777" w:rsidR="00E10254" w:rsidRPr="00E10254" w:rsidRDefault="00E10254" w:rsidP="00E10254">
      <w:pPr>
        <w:spacing w:after="0" w:line="240" w:lineRule="auto"/>
        <w:ind w:firstLine="567"/>
        <w:jc w:val="both"/>
        <w:rPr>
          <w:rFonts w:ascii="Times New Roman" w:eastAsia="Times New Roman" w:hAnsi="Times New Roman" w:cs="Times New Roman"/>
          <w:sz w:val="28"/>
          <w:szCs w:val="28"/>
          <w:lang w:eastAsia="ru-RU"/>
        </w:rPr>
      </w:pPr>
    </w:p>
    <w:p w14:paraId="4634AF45" w14:textId="77777777" w:rsidR="00E10254" w:rsidRPr="00960325" w:rsidRDefault="00305C53" w:rsidP="00DA3F05">
      <w:pPr>
        <w:pStyle w:val="3"/>
      </w:pPr>
      <w:r>
        <w:t xml:space="preserve"> </w:t>
      </w:r>
      <w:bookmarkStart w:id="1737" w:name="_Toc7448028"/>
      <w:r w:rsidR="00E10254" w:rsidRPr="00960325">
        <w:t>Достигнутые результаты развития конкуренции и предложения по развитию конкуренции</w:t>
      </w:r>
      <w:bookmarkStart w:id="1738" w:name="_Toc6834367"/>
      <w:bookmarkStart w:id="1739" w:name="_Toc6834654"/>
      <w:bookmarkStart w:id="1740" w:name="_Toc6834857"/>
      <w:bookmarkEnd w:id="1738"/>
      <w:bookmarkEnd w:id="1739"/>
      <w:bookmarkEnd w:id="1740"/>
      <w:bookmarkEnd w:id="1737"/>
    </w:p>
    <w:p w14:paraId="6E34CCBF" w14:textId="77777777" w:rsidR="00E10254" w:rsidRPr="00E10254" w:rsidRDefault="00E10254" w:rsidP="00E10254">
      <w:pPr>
        <w:spacing w:after="0" w:line="240" w:lineRule="auto"/>
        <w:ind w:firstLine="567"/>
        <w:jc w:val="both"/>
        <w:rPr>
          <w:rFonts w:ascii="Times New Roman" w:eastAsia="Times New Roman" w:hAnsi="Times New Roman" w:cs="Times New Roman"/>
          <w:sz w:val="28"/>
          <w:szCs w:val="28"/>
          <w:highlight w:val="yellow"/>
          <w:lang w:eastAsia="ru-RU"/>
        </w:rPr>
      </w:pPr>
    </w:p>
    <w:p w14:paraId="7A9F9DB0"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Одним из основных достигнутых результатов в области конкуренции в сфере промышленности является процесс формирования новой промышленной политики на недискриминационных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и прозрачных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условиях,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промышленности.</w:t>
      </w:r>
    </w:p>
    <w:p w14:paraId="58717521"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 2015 года в Российской Федерации внедрена новая форма сотрудничества государства и частных инвесторов – специальный инвестиционный контракт (СПИК).</w:t>
      </w:r>
    </w:p>
    <w:p w14:paraId="13A74723"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Цель его внедрения заключается в привлечении крупных инвестиций в создание и модернизацию новых промышленных производств на территории Российской Федерации. Данная цель достигается посредством предоставления инвесторам льгот и преференций, обеспечения стабильных условий ведения бизнеса в течение всего срока действия специального инвестиционного контракта, в том числе в части государственных закупок, совокупной налоговой нагрузки, обязательных требований к выпускаемой промышленной продукции.</w:t>
      </w:r>
    </w:p>
    <w:p w14:paraId="1360BC85"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 настоящему времени специальные инвестиционные контракты заключены в таких отраслях как автомобилестроение, сельскохозяйственное и нефтегазовое машиностроение, фармацевтическая и химическая промышленность, станкостроение. </w:t>
      </w:r>
    </w:p>
    <w:p w14:paraId="012CF3A4"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Общий объем плановых инвестиций в рамках заключенных специальных инвестиционных контрактов превышает </w:t>
      </w:r>
      <w:r w:rsidRPr="00E10254">
        <w:rPr>
          <w:rFonts w:ascii="Times New Roman" w:hAnsi="Times New Roman" w:cs="Times New Roman"/>
          <w:b/>
          <w:sz w:val="28"/>
          <w:szCs w:val="28"/>
        </w:rPr>
        <w:t>279</w:t>
      </w:r>
      <w:r w:rsidRPr="00E10254">
        <w:rPr>
          <w:rFonts w:ascii="Times New Roman" w:hAnsi="Times New Roman" w:cs="Times New Roman"/>
          <w:sz w:val="28"/>
          <w:szCs w:val="28"/>
        </w:rPr>
        <w:t xml:space="preserve"> </w:t>
      </w:r>
      <w:r w:rsidRPr="00E10254">
        <w:rPr>
          <w:rFonts w:ascii="Times New Roman" w:hAnsi="Times New Roman" w:cs="Times New Roman"/>
          <w:b/>
          <w:sz w:val="28"/>
          <w:szCs w:val="28"/>
        </w:rPr>
        <w:t>млрд рублей</w:t>
      </w:r>
      <w:r w:rsidRPr="00E10254">
        <w:rPr>
          <w:rFonts w:ascii="Times New Roman" w:hAnsi="Times New Roman" w:cs="Times New Roman"/>
          <w:sz w:val="28"/>
          <w:szCs w:val="28"/>
        </w:rPr>
        <w:t xml:space="preserve">, в стадии рассмотрения находятся проекты специальных инвестиционных контрактов с объемом инвестиций свыше </w:t>
      </w:r>
      <w:r w:rsidRPr="00E10254">
        <w:rPr>
          <w:rFonts w:ascii="Times New Roman" w:hAnsi="Times New Roman" w:cs="Times New Roman"/>
          <w:b/>
          <w:sz w:val="28"/>
          <w:szCs w:val="28"/>
        </w:rPr>
        <w:t>1 трлн рублей</w:t>
      </w:r>
      <w:r w:rsidRPr="00E10254">
        <w:rPr>
          <w:rFonts w:ascii="Times New Roman" w:hAnsi="Times New Roman" w:cs="Times New Roman"/>
          <w:b/>
          <w:sz w:val="28"/>
          <w:szCs w:val="28"/>
          <w:vertAlign w:val="superscript"/>
        </w:rPr>
        <w:footnoteReference w:id="22"/>
      </w:r>
      <w:r w:rsidRPr="00E10254">
        <w:rPr>
          <w:rFonts w:ascii="Times New Roman" w:hAnsi="Times New Roman" w:cs="Times New Roman"/>
          <w:sz w:val="28"/>
          <w:szCs w:val="28"/>
        </w:rPr>
        <w:t>.</w:t>
      </w:r>
    </w:p>
    <w:p w14:paraId="348B8C55" w14:textId="20D5BCB9"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Несмотря на эффективность данного инструмента инве</w:t>
      </w:r>
      <w:r w:rsidR="004C2705">
        <w:rPr>
          <w:rFonts w:ascii="Times New Roman" w:hAnsi="Times New Roman" w:cs="Times New Roman"/>
          <w:sz w:val="28"/>
          <w:szCs w:val="28"/>
        </w:rPr>
        <w:t>стиционной политики, ФАС России</w:t>
      </w:r>
      <w:r w:rsidRPr="00E10254">
        <w:rPr>
          <w:rFonts w:ascii="Times New Roman" w:hAnsi="Times New Roman" w:cs="Times New Roman"/>
          <w:sz w:val="28"/>
          <w:szCs w:val="28"/>
        </w:rPr>
        <w:t xml:space="preserve"> совместно с Минэкономразвития России выявлены риски, связанные с возможностью необоснованного принятия решений о предоставлении льгот и преференций отдельным производителям:</w:t>
      </w:r>
    </w:p>
    <w:p w14:paraId="689363BB"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заключение специального инвестиционного контракта может негативно отразиться на уже существующих производствах аналогичной продукции, которые были созданы без предоставления льгот и преференций;</w:t>
      </w:r>
    </w:p>
    <w:p w14:paraId="7965F3E1"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наделение стороны специального инвестиционного контракта статусом единственного поставщика в рамках системы государственных закупок могло повлечь за собой неэффективное расходование бюджетных средств в связи с отсутствием у единственного поставщика стимула к снижению цен;</w:t>
      </w:r>
    </w:p>
    <w:p w14:paraId="5749F952"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предоставление на длительный период преференций (до 10 лет) льгот и преференций отдельным производителя могло привести к ограничению конкуренции на соответствующих рынках, снижению качества и конкурентоспособности отечественной продукции.</w:t>
      </w:r>
    </w:p>
    <w:p w14:paraId="4BEE9EEC"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этим ФАС России совместно с Минэкономразвития России были разработаны следующие меры, поддержанные на уровне Правительства Российской Федерации:</w:t>
      </w:r>
    </w:p>
    <w:p w14:paraId="1C539F4D"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участие представителей ФАС России в работе Межведомственной комиссии по оценке возможности заключения специальных инвестиционных контрактов;</w:t>
      </w:r>
    </w:p>
    <w:p w14:paraId="4F12FF19"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вынесение специальных инвестиционных контрактов, несогласованных на уровне федеральных органов исполнительной власти, на уровень Правительства Российской Федерации.</w:t>
      </w:r>
    </w:p>
    <w:p w14:paraId="26D14FC7"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Протоколом совместного совещания Первого заместителя Председателя Правительства Российской Федерации — Министра финансов Российской Федерации А.Г. Силуанова и Заместителя Председателя Правительства Российской Федерации Д.Н. Козака от 25.06.2018 № СА-П9-19пр поддержаны предложения о необходимости внесения изменений в Федеральный закон от 31.12.2014 № 488-ФЗ «О промышленной политике в Российской Федерации», иные законодательные акты Российской Федерации, регулирующие систему специальных инвестиционных контрактов, правила заключения специальных инвестиционных контрактов, утвержденные постановлением Правительства Российской Федерации от 16.07.2015 № 708.</w:t>
      </w:r>
    </w:p>
    <w:p w14:paraId="46EE5C22"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Предполагается, что заключение специальных инвестиционных контрактов будет осуществляться по результатам публичных конкурсных процедур в отношении проектов по разработке современных технологий, созданию или модернизации предприятий по производству продукции на основе указанных технологий.</w:t>
      </w:r>
    </w:p>
    <w:p w14:paraId="41517232"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Кроме того, ФАС России инициировано внесение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w:t>
      </w:r>
    </w:p>
    <w:p w14:paraId="6C96CCF1"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настоящее время порядок предоставления субсидий отечественным производителям промышленной продукции регламентируется значительным количеством нормативных правовых актов. </w:t>
      </w:r>
    </w:p>
    <w:p w14:paraId="70411F27"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Вместе с тем нормативные правовые акты не содержат механизма оценки эффективности предоставляемых мер государственной поддержки, а также ответственности хозяйствующих субъектов, участвующих в промышленном субсидировании, при невыполнении ими принятых на себя обязательств.  </w:t>
      </w:r>
    </w:p>
    <w:p w14:paraId="0D5500B3" w14:textId="5E5B012E"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связи с этим Заместителем Председателя Правительства Российской Федерации Д.Н. Козаком было поручено федеральным органами исполнительной власти провести работу по разработке и принятию нормативного правового акта, унифицирующего процедуру предоставления соответствующих мер государственной поддержки (протокол от 28.08.2018 </w:t>
      </w:r>
      <w:r w:rsidR="0021705D">
        <w:rPr>
          <w:rFonts w:ascii="Times New Roman" w:eastAsia="Times New Roman" w:hAnsi="Times New Roman" w:cs="Times New Roman"/>
          <w:sz w:val="28"/>
          <w:szCs w:val="28"/>
          <w:lang w:eastAsia="ru-RU"/>
        </w:rPr>
        <w:t xml:space="preserve">          </w:t>
      </w:r>
      <w:r w:rsidRPr="00E10254">
        <w:rPr>
          <w:rFonts w:ascii="Times New Roman" w:eastAsia="Times New Roman" w:hAnsi="Times New Roman" w:cs="Times New Roman"/>
          <w:sz w:val="28"/>
          <w:szCs w:val="28"/>
          <w:lang w:eastAsia="ru-RU"/>
        </w:rPr>
        <w:t>№ ДК-П9-148пр).</w:t>
      </w:r>
    </w:p>
    <w:p w14:paraId="11088B4D"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 результатам проведенной в соответствии с поручениями Заместителя Председателя Правительства Российской Федерации Д.Н. Козака работы, Минпромторгом России при участии Минэкономразвития России и ФАС России</w:t>
      </w:r>
      <w:r w:rsidRPr="00E10254">
        <w:rPr>
          <w:rFonts w:ascii="Times New Roman" w:hAnsi="Times New Roman" w:cs="Times New Roman"/>
          <w:sz w:val="28"/>
          <w:szCs w:val="28"/>
          <w:lang w:val="de-DE"/>
        </w:rPr>
        <w:t xml:space="preserve"> </w:t>
      </w:r>
      <w:r w:rsidRPr="00E10254">
        <w:rPr>
          <w:rFonts w:ascii="Times New Roman" w:hAnsi="Times New Roman" w:cs="Times New Roman"/>
          <w:sz w:val="28"/>
          <w:szCs w:val="28"/>
        </w:rPr>
        <w:t>подготовлен проект нормативного правового акта, который регламентирует процедуру предоставления государственной поддержки промышленным предприятиям на конкурсной основе, принципах открытости и равного доступа, не противоречащих нормам ВТО.</w:t>
      </w:r>
    </w:p>
    <w:p w14:paraId="0FD4CC43"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Кроме того, в 2019 году ФАС России начала работу над разработкой Методики оценки конкурентоспособности товаров отраслей промышленности по отношению к зарубежным товарам-аналогам на внутреннем и внешнем рынках.</w:t>
      </w:r>
    </w:p>
    <w:p w14:paraId="71ACDE2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Таким образом, в настоящее время идет процесс формирования новой промышленной политики, основанной на недискриминационных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и прозрачных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условиях, включающей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промышленности.</w:t>
      </w:r>
    </w:p>
    <w:p w14:paraId="0FD3B11A" w14:textId="77777777" w:rsidR="00E10254" w:rsidRDefault="00E10254" w:rsidP="00E10254">
      <w:pPr>
        <w:rPr>
          <w:lang w:eastAsia="ru-RU"/>
        </w:rPr>
      </w:pPr>
    </w:p>
    <w:p w14:paraId="473DDCA1" w14:textId="77777777" w:rsidR="005E5F6F" w:rsidRPr="005A0B9A" w:rsidRDefault="005E5F6F" w:rsidP="005A0B9A">
      <w:pPr>
        <w:keepNext/>
        <w:keepLines/>
        <w:spacing w:before="40" w:after="0"/>
        <w:outlineLvl w:val="2"/>
        <w:rPr>
          <w:rFonts w:ascii="Times New Roman" w:eastAsiaTheme="majorEastAsia" w:hAnsi="Times New Roman" w:cs="Times New Roman"/>
          <w:vanish/>
          <w:sz w:val="28"/>
          <w:szCs w:val="28"/>
        </w:rPr>
      </w:pPr>
      <w:bookmarkStart w:id="1741" w:name="_Toc1061939"/>
      <w:bookmarkStart w:id="1742" w:name="_Toc1062055"/>
      <w:bookmarkStart w:id="1743" w:name="_Toc1062177"/>
      <w:bookmarkStart w:id="1744" w:name="_Toc1062290"/>
      <w:bookmarkStart w:id="1745" w:name="_Toc2589786"/>
      <w:bookmarkStart w:id="1746" w:name="_Toc2589919"/>
      <w:bookmarkStart w:id="1747" w:name="_Toc2590058"/>
      <w:bookmarkStart w:id="1748" w:name="_Toc3393252"/>
      <w:bookmarkStart w:id="1749" w:name="_Toc3399261"/>
      <w:bookmarkStart w:id="1750" w:name="_Toc3399411"/>
      <w:bookmarkStart w:id="1751" w:name="_Toc3399556"/>
      <w:bookmarkStart w:id="1752" w:name="_Toc3399748"/>
      <w:bookmarkStart w:id="1753" w:name="_Toc3399892"/>
      <w:bookmarkStart w:id="1754" w:name="_Toc3400036"/>
      <w:bookmarkStart w:id="1755" w:name="_Toc3400355"/>
      <w:bookmarkStart w:id="1756" w:name="_Toc3400480"/>
      <w:bookmarkStart w:id="1757" w:name="_Toc3400600"/>
      <w:bookmarkStart w:id="1758" w:name="_Toc3557074"/>
      <w:bookmarkStart w:id="1759" w:name="_Toc3559279"/>
      <w:bookmarkStart w:id="1760" w:name="_Toc3914490"/>
      <w:bookmarkStart w:id="1761" w:name="_Toc3914612"/>
      <w:bookmarkStart w:id="1762" w:name="_Toc3915598"/>
      <w:bookmarkStart w:id="1763" w:name="_Toc3916205"/>
      <w:bookmarkStart w:id="1764" w:name="_Toc3917115"/>
      <w:bookmarkStart w:id="1765" w:name="_Toc3917765"/>
      <w:bookmarkStart w:id="1766" w:name="_Toc3988521"/>
      <w:bookmarkStart w:id="1767" w:name="_Toc3989530"/>
      <w:bookmarkStart w:id="1768" w:name="_Toc3990174"/>
      <w:bookmarkStart w:id="1769" w:name="_Toc3991750"/>
      <w:bookmarkStart w:id="1770" w:name="_Toc3992655"/>
      <w:bookmarkStart w:id="1771" w:name="_Toc4000422"/>
      <w:bookmarkStart w:id="1772" w:name="_Toc4426418"/>
      <w:bookmarkStart w:id="1773" w:name="_Toc4426548"/>
      <w:bookmarkStart w:id="1774" w:name="_Toc4426733"/>
      <w:bookmarkStart w:id="1775" w:name="_Toc4426862"/>
      <w:bookmarkStart w:id="1776" w:name="_Toc4428460"/>
      <w:bookmarkStart w:id="1777" w:name="_Toc4429891"/>
      <w:bookmarkStart w:id="1778" w:name="_Toc4430020"/>
      <w:bookmarkStart w:id="1779" w:name="_Toc4430146"/>
      <w:bookmarkStart w:id="1780" w:name="_Toc4430271"/>
      <w:bookmarkStart w:id="1781" w:name="_Toc4430394"/>
      <w:bookmarkStart w:id="1782" w:name="_Toc4430516"/>
      <w:bookmarkStart w:id="1783" w:name="_Toc4430637"/>
      <w:bookmarkStart w:id="1784" w:name="_Toc4431433"/>
      <w:bookmarkStart w:id="1785" w:name="_Toc4431552"/>
      <w:bookmarkStart w:id="1786" w:name="_Toc4431673"/>
      <w:bookmarkStart w:id="1787" w:name="_Toc4431794"/>
      <w:bookmarkStart w:id="1788" w:name="_Toc4433493"/>
      <w:bookmarkStart w:id="1789" w:name="_Toc4433755"/>
      <w:bookmarkStart w:id="1790" w:name="_Toc4433876"/>
      <w:bookmarkStart w:id="1791" w:name="_Toc4434424"/>
      <w:bookmarkStart w:id="1792" w:name="_Toc4436269"/>
      <w:bookmarkStart w:id="1793" w:name="_Toc4436391"/>
      <w:bookmarkStart w:id="1794" w:name="_Toc4436512"/>
      <w:bookmarkStart w:id="1795" w:name="_Toc4436780"/>
      <w:bookmarkStart w:id="1796" w:name="_Toc4436948"/>
      <w:bookmarkStart w:id="1797" w:name="_Toc4437171"/>
      <w:bookmarkStart w:id="1798" w:name="_Toc4437406"/>
      <w:bookmarkStart w:id="1799" w:name="_Toc4438168"/>
      <w:bookmarkStart w:id="1800" w:name="_Toc4438413"/>
      <w:bookmarkStart w:id="1801" w:name="_Toc4438532"/>
      <w:bookmarkStart w:id="1802" w:name="_Toc4438651"/>
      <w:bookmarkStart w:id="1803" w:name="_Toc4491404"/>
      <w:bookmarkStart w:id="1804" w:name="_Toc4492965"/>
      <w:bookmarkStart w:id="1805" w:name="_Toc4588596"/>
      <w:bookmarkStart w:id="1806" w:name="_Toc4592949"/>
      <w:bookmarkStart w:id="1807" w:name="_Toc4593074"/>
      <w:bookmarkStart w:id="1808" w:name="_Toc4596246"/>
      <w:bookmarkStart w:id="1809" w:name="_Toc4596362"/>
      <w:bookmarkStart w:id="1810" w:name="_Toc4601232"/>
      <w:bookmarkStart w:id="1811" w:name="_Toc4601519"/>
      <w:bookmarkStart w:id="1812" w:name="_Toc4604094"/>
      <w:bookmarkStart w:id="1813" w:name="_Toc4604209"/>
      <w:bookmarkStart w:id="1814" w:name="_Toc4605339"/>
      <w:bookmarkStart w:id="1815" w:name="_Toc4660229"/>
      <w:bookmarkStart w:id="1816" w:name="_Toc4660344"/>
      <w:bookmarkStart w:id="1817" w:name="_Toc4683332"/>
      <w:bookmarkStart w:id="1818" w:name="_Toc4683448"/>
      <w:bookmarkStart w:id="1819" w:name="_Toc4684437"/>
      <w:bookmarkStart w:id="1820" w:name="_Toc4684716"/>
      <w:bookmarkStart w:id="1821" w:name="_Toc4685174"/>
      <w:bookmarkStart w:id="1822" w:name="_Toc4685277"/>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2B45F072" w14:textId="1432EA2B" w:rsidR="00883C8E" w:rsidRPr="001B2F4E" w:rsidRDefault="00883C8E" w:rsidP="00EF64DA">
      <w:pPr>
        <w:pStyle w:val="2"/>
      </w:pPr>
      <w:bookmarkStart w:id="1823" w:name="_Toc7448029"/>
      <w:r w:rsidRPr="001B2F4E">
        <w:t xml:space="preserve">В </w:t>
      </w:r>
      <w:r w:rsidRPr="00611557">
        <w:t>сфере</w:t>
      </w:r>
      <w:r w:rsidRPr="001B2F4E">
        <w:t xml:space="preserve"> финансовых рынков</w:t>
      </w:r>
      <w:bookmarkEnd w:id="1823"/>
    </w:p>
    <w:p w14:paraId="352604BB" w14:textId="77777777" w:rsidR="00305C53" w:rsidRDefault="00305C53" w:rsidP="00A771B0">
      <w:pPr>
        <w:suppressAutoHyphens/>
        <w:spacing w:after="0" w:line="240" w:lineRule="auto"/>
        <w:ind w:firstLine="709"/>
        <w:jc w:val="both"/>
        <w:rPr>
          <w:rFonts w:ascii="Times New Roman" w:hAnsi="Times New Roman" w:cs="Times New Roman"/>
          <w:sz w:val="28"/>
          <w:szCs w:val="28"/>
        </w:rPr>
      </w:pPr>
      <w:bookmarkStart w:id="1824" w:name="_Toc1061943"/>
      <w:bookmarkStart w:id="1825" w:name="_Toc1062059"/>
      <w:bookmarkStart w:id="1826" w:name="_Toc1062181"/>
      <w:bookmarkStart w:id="1827" w:name="_Toc1062294"/>
      <w:bookmarkEnd w:id="1824"/>
      <w:bookmarkEnd w:id="1825"/>
      <w:bookmarkEnd w:id="1826"/>
      <w:bookmarkEnd w:id="1827"/>
    </w:p>
    <w:p w14:paraId="0E90401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В части рынков финансовых услуг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 (далее – Дорожная карта), предусмотрен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который, в свою очередь, разделен на подразделы, содержащие 28 мероприятий по развитию конкуренции на рыках банковских, платежных и иных связанных с осуществлением и получением платежей услуг, микрофинансовых, страховых, лизинговых и депозитарных услуг, а также по развитию конкуренции на рынке финансовых услуг в целом.</w:t>
      </w:r>
    </w:p>
    <w:p w14:paraId="4EF6A69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Указанные мероприятия в большинстве своем направленны на:</w:t>
      </w:r>
    </w:p>
    <w:p w14:paraId="6762B817"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создание нормативных правовых условий для развития конкуренции на рынке финансовых услуг, в том числе путем снижения административных барьеров;</w:t>
      </w:r>
    </w:p>
    <w:p w14:paraId="513D292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исключение негативного влияния на состояние конкуренции отдельных действий органов государственной власти; сокращение возможности влияния отдельных участников рынка на общие условия обращения услуг на этом рынке;</w:t>
      </w:r>
    </w:p>
    <w:p w14:paraId="32601B4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предупреждение отдельных форм недобросовестного поведения финансовых организаций.</w:t>
      </w:r>
    </w:p>
    <w:p w14:paraId="2C042EEB"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Как отмечалось,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предусматривает мероприятия по развитию конкуренции на рыках лизинговых и депозитарных услуг. Указанные мероприятия при этом заложены непосредственно в Перечне к Национальному плану. Информация по этим мероприятиям представлена в разделе 2 настоящего доклада. </w:t>
      </w:r>
    </w:p>
    <w:p w14:paraId="3788ADF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Практически все мероприятия раздела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прорабатываются при участии Рабочей группы по развитию конкуренции на рынке финансовых услуг, сформированной в соответствии с приказом ФАС России от 23.04.2018 № 535/18 (далее – Рабочая группа).</w:t>
      </w:r>
    </w:p>
    <w:p w14:paraId="11867FE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При этом важно отметить, что Рабочая группа – первый в своем роде специальный межведомственный рабочий орган по развитию конкуренции именно на рынке финансовых услуг, в котором обеспечено представительство обеих палат Федерального Собрания Российской Федерации, Минфина России, Минэкономразвития России, ФАС России и Банка России. </w:t>
      </w:r>
    </w:p>
    <w:p w14:paraId="6FE46F1E"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2018 году были выработаны первостепенные направления деятельности Рабочей группы и принято решение о необходимости формирования соответствующих этим направлениям подгрупп Рабочей группы, члены которых анализируют актуальные проблемы развития конкуренции на финансовых рынках и вырабатывают конкретные меры по их решению.</w:t>
      </w:r>
    </w:p>
    <w:p w14:paraId="2987BB5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К настоящему времени сформированы составы семи таких подгрупп Рабочей группы, в которые, помимо представителей федеральных органов исполнительной и законодательной властей, а также Банка России, вошли представители бизнес-сообщества.</w:t>
      </w:r>
    </w:p>
    <w:p w14:paraId="572A2882" w14:textId="77777777" w:rsidR="00A771B0" w:rsidRPr="00076549" w:rsidRDefault="00A771B0" w:rsidP="00A771B0">
      <w:pPr>
        <w:suppressAutoHyphens/>
        <w:spacing w:after="0" w:line="240" w:lineRule="auto"/>
        <w:ind w:firstLine="709"/>
        <w:jc w:val="both"/>
        <w:rPr>
          <w:rFonts w:ascii="Times New Roman" w:hAnsi="Times New Roman" w:cs="Times New Roman"/>
          <w:sz w:val="26"/>
          <w:szCs w:val="26"/>
        </w:rPr>
      </w:pPr>
    </w:p>
    <w:p w14:paraId="0760D667" w14:textId="5B18D532" w:rsidR="00A771B0" w:rsidRPr="00305C53" w:rsidRDefault="00AE1868" w:rsidP="00DA3F05">
      <w:pPr>
        <w:pStyle w:val="3"/>
      </w:pPr>
      <w:r>
        <w:t xml:space="preserve"> </w:t>
      </w:r>
      <w:bookmarkStart w:id="1828" w:name="_Toc7448030"/>
      <w:r w:rsidR="00A771B0" w:rsidRPr="00305C53">
        <w:t>Рынок банковских и взаимозаменяемых с ним услуг</w:t>
      </w:r>
      <w:bookmarkEnd w:id="1828"/>
    </w:p>
    <w:p w14:paraId="290DD25C" w14:textId="77777777" w:rsidR="00A771B0" w:rsidRPr="00305C53" w:rsidRDefault="00A771B0" w:rsidP="00A771B0">
      <w:pPr>
        <w:suppressAutoHyphens/>
        <w:spacing w:after="0" w:line="240" w:lineRule="auto"/>
        <w:ind w:firstLine="709"/>
        <w:jc w:val="both"/>
        <w:rPr>
          <w:rFonts w:ascii="Times New Roman" w:hAnsi="Times New Roman" w:cs="Times New Roman"/>
          <w:b/>
          <w:bCs/>
          <w:iCs/>
          <w:sz w:val="28"/>
          <w:szCs w:val="28"/>
        </w:rPr>
      </w:pPr>
      <w:r w:rsidRPr="00305C53">
        <w:rPr>
          <w:rFonts w:ascii="Times New Roman" w:hAnsi="Times New Roman" w:cs="Times New Roman"/>
          <w:b/>
          <w:bCs/>
          <w:iCs/>
          <w:sz w:val="28"/>
          <w:szCs w:val="28"/>
        </w:rPr>
        <w:t>3.16.1.1. Состояние конкуренции: тенденции и проблемы развития конкуренции</w:t>
      </w:r>
    </w:p>
    <w:p w14:paraId="124BDBF5"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color w:val="000000"/>
          <w:sz w:val="28"/>
          <w:szCs w:val="28"/>
        </w:rPr>
        <w:t>Состояние конкурентной среды на рынке банковских услуг в 2018 году в большинстве своем можно охарактеризовать как неудовлетворительное. По мнению ФАС России, это в большей степени обусловлено сохранившей свою актуальность проблемой наличия административных барьеров при предоставлении кредитным организациям доступа к оказанию отдельных видов банковских услуг и участию в программах льготного финансирования.</w:t>
      </w:r>
    </w:p>
    <w:p w14:paraId="0341F2E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color w:val="000000"/>
          <w:sz w:val="28"/>
          <w:szCs w:val="28"/>
        </w:rPr>
        <w:t>Так, по имеющейся у ФАС России информации, в настоящее время насчитывается не менее 57 нормативных правовых актов федерального уровня, устанавливающих специальные требования к кредитным организациям при представлении им такого доступа.</w:t>
      </w:r>
    </w:p>
    <w:p w14:paraId="140FC0BD"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Как правило, содержащиеся в них требования связаны с наличием:</w:t>
      </w:r>
    </w:p>
    <w:p w14:paraId="3B61D713"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собственных средств (капитала) банка в определенном размере;</w:t>
      </w:r>
    </w:p>
    <w:p w14:paraId="3384B82A"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факта участия государства в уставном капитале банка.</w:t>
      </w:r>
    </w:p>
    <w:p w14:paraId="0599E8F2"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Предъявление подобных требований приводит к необоснованному получению доступа к оказанию отдельных видов банковских услуг или получению субсидий только ограниченным кругом банков – преимущественно крупных банков с государственным участием.</w:t>
      </w:r>
    </w:p>
    <w:p w14:paraId="7C8A3C8A"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sz w:val="28"/>
          <w:szCs w:val="28"/>
        </w:rPr>
        <w:t>Указанные обстоятельства побуждают (1) органы государственной власти субъектов Российской Федерации и органы местного самоуправления также создавать нерыночные преимущества крупным банкам с государственным участием за счет принятия аналогичных нормативных правовых актов и (или) осуществления иных действий, например, дачи рекомендаций (указаний) подконтрольным лицам переходить на обслуживание в эти банки; (2) стимулируют иных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дискредитации конкурентов путем распространения негативной или иной информации, способной причинить им убытки.</w:t>
      </w:r>
    </w:p>
    <w:p w14:paraId="5E4175EA"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Сложившаяся ситуация также дает крупным банкам с государственным участием возможность существенно снижать процентные ставки по вкладам населения при сохранении относительно высоких ставок по кредитам. При этом имеются случаи, когда при размещении рекламы своих услуг такие кредитные организации для привлечения клиентов акцентируют внимание не на условиях предлагаемых ими услуг, включая стоимость, а именно на наличие в их уставном капитале государственного участия, тем самым создавая ложное впечатление об их исключительной надежности по сравнению с другими банками.</w:t>
      </w:r>
    </w:p>
    <w:p w14:paraId="10556E8C"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В связи с этим в целях улучшения состояния конкурентной среды на рассматриваемом рынке ФАС России считает необходимым проведение работы по исключению таких необоснованных требований из нормативной правовой базы.</w:t>
      </w:r>
    </w:p>
    <w:p w14:paraId="387EB0D9" w14:textId="77777777" w:rsidR="00A771B0" w:rsidRPr="00AF0B3C" w:rsidRDefault="00A771B0" w:rsidP="00A771B0">
      <w:pPr>
        <w:pStyle w:val="Standard"/>
        <w:widowControl/>
        <w:ind w:firstLine="709"/>
        <w:jc w:val="both"/>
        <w:rPr>
          <w:rFonts w:cs="Times New Roman"/>
          <w:color w:val="000000"/>
          <w:sz w:val="28"/>
          <w:szCs w:val="28"/>
        </w:rPr>
      </w:pPr>
      <w:r w:rsidRPr="00AF0B3C">
        <w:rPr>
          <w:rFonts w:cs="Times New Roman"/>
          <w:color w:val="000000"/>
          <w:sz w:val="28"/>
          <w:szCs w:val="28"/>
        </w:rPr>
        <w:t xml:space="preserve">Так, требование к наличию </w:t>
      </w:r>
      <w:r w:rsidRPr="00AF0B3C">
        <w:rPr>
          <w:rFonts w:cs="Times New Roman"/>
          <w:sz w:val="28"/>
          <w:szCs w:val="28"/>
        </w:rPr>
        <w:t>собственных средств (капитала) банка в определенном размере</w:t>
      </w:r>
      <w:r w:rsidRPr="00AF0B3C">
        <w:rPr>
          <w:rFonts w:cs="Times New Roman"/>
          <w:color w:val="000000"/>
          <w:sz w:val="28"/>
          <w:szCs w:val="28"/>
        </w:rPr>
        <w:t xml:space="preserve"> не может использоваться в качестве основного обязательного критерия при предоставлении кредитным организациям доступа к отдельным видам деятельности, поскольку такой показатель без учета принятых кредитной организацией обязательств не может характеризовать такую организацию как устойчивую и платежеспособную.</w:t>
      </w:r>
    </w:p>
    <w:p w14:paraId="6F535350"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Участие государства в уставном капитале банка также не является гарантией финансовой устойчивости и платежеспособности, а предъявление такого требования приводит лишь к сокращению количества кредитных организаций, допущенных к участию в соответствующих отборах, что ограничивает конкуренцию.</w:t>
      </w:r>
    </w:p>
    <w:p w14:paraId="6AB02623" w14:textId="77777777" w:rsidR="00A771B0" w:rsidRPr="00AF0B3C" w:rsidRDefault="00A771B0" w:rsidP="00A771B0">
      <w:pPr>
        <w:pStyle w:val="Standard"/>
        <w:widowControl/>
        <w:ind w:firstLine="709"/>
        <w:jc w:val="both"/>
        <w:rPr>
          <w:rFonts w:cs="Times New Roman"/>
          <w:sz w:val="28"/>
          <w:szCs w:val="28"/>
        </w:rPr>
      </w:pPr>
      <w:r w:rsidRPr="00AF0B3C">
        <w:rPr>
          <w:rFonts w:cs="Times New Roman"/>
          <w:color w:val="000000"/>
          <w:sz w:val="28"/>
          <w:szCs w:val="28"/>
          <w:shd w:val="clear" w:color="auto" w:fill="FFFFFF"/>
        </w:rPr>
        <w:t xml:space="preserve">В качестве альтернативы этим требованиям при предоставлении кредитным организациям доступа к привлечению во вклады средств федерального бюджета, государственных внебюджетных фондов и отдельных видов юридических лиц, а также к выдаче банковских гарантий с учетом </w:t>
      </w:r>
      <w:r w:rsidRPr="00AF0B3C">
        <w:rPr>
          <w:rFonts w:cs="Times New Roman"/>
          <w:sz w:val="28"/>
          <w:szCs w:val="28"/>
        </w:rPr>
        <w:t>проведенной реформы рейтинговой деятельности</w:t>
      </w:r>
      <w:r w:rsidRPr="00AF0B3C">
        <w:rPr>
          <w:rFonts w:cs="Times New Roman"/>
          <w:color w:val="000000"/>
          <w:sz w:val="28"/>
          <w:szCs w:val="28"/>
          <w:shd w:val="clear" w:color="auto" w:fill="FFFFFF"/>
        </w:rPr>
        <w:t xml:space="preserve"> ФАС России считает возможным использовать критерий определенного уровня кредитного рейтинга. </w:t>
      </w:r>
      <w:r w:rsidRPr="00AF0B3C">
        <w:rPr>
          <w:rFonts w:cs="Times New Roman"/>
          <w:sz w:val="28"/>
          <w:szCs w:val="28"/>
        </w:rPr>
        <w:t>При этом в отношении участия кредитных организаций в программах субсидирования льготного кредитования целесообразно предусмотреть исключительно заявительный порядок.</w:t>
      </w:r>
    </w:p>
    <w:p w14:paraId="02B3F325" w14:textId="77777777" w:rsidR="00A771B0" w:rsidRPr="00AF0B3C" w:rsidRDefault="00A771B0" w:rsidP="00A771B0">
      <w:pPr>
        <w:pStyle w:val="Standard"/>
        <w:widowControl/>
        <w:ind w:firstLine="709"/>
        <w:jc w:val="both"/>
        <w:rPr>
          <w:rFonts w:cs="Times New Roman"/>
          <w:sz w:val="28"/>
          <w:szCs w:val="28"/>
        </w:rPr>
      </w:pPr>
      <w:r w:rsidRPr="00AF0B3C">
        <w:rPr>
          <w:rFonts w:cs="Times New Roman"/>
          <w:sz w:val="28"/>
          <w:szCs w:val="28"/>
        </w:rPr>
        <w:t xml:space="preserve">Такую позицию ФАС России направила в 2018 году в Минфин России в рамках исполнения им пункта 1 раздела </w:t>
      </w:r>
      <w:r w:rsidRPr="00AF0B3C">
        <w:rPr>
          <w:rFonts w:cs="Times New Roman"/>
          <w:sz w:val="28"/>
          <w:szCs w:val="28"/>
          <w:lang w:val="en-US"/>
        </w:rPr>
        <w:t>XIV</w:t>
      </w:r>
      <w:r w:rsidRPr="00AF0B3C">
        <w:rPr>
          <w:rFonts w:cs="Times New Roman"/>
          <w:sz w:val="28"/>
          <w:szCs w:val="28"/>
        </w:rPr>
        <w:t xml:space="preserve"> «Финансовые рынки» Дорожной карты по подготовке доклада в Правительство Российской Федерации по рассматриваемому вопросу.  </w:t>
      </w:r>
    </w:p>
    <w:p w14:paraId="4C839188"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 xml:space="preserve">По итогам рассмотрения Правительством Российской Федерации этого доклада будет приниматься решение о реализации мероприятий, предусмотренных пунктами 2-4 раздела </w:t>
      </w:r>
      <w:r w:rsidRPr="00AF0B3C">
        <w:rPr>
          <w:sz w:val="28"/>
          <w:szCs w:val="28"/>
          <w:lang w:val="en-US"/>
        </w:rPr>
        <w:t>XIV</w:t>
      </w:r>
      <w:r w:rsidRPr="00AF0B3C">
        <w:rPr>
          <w:sz w:val="28"/>
          <w:szCs w:val="28"/>
        </w:rPr>
        <w:t xml:space="preserve"> «Финансовые рынки» Дорожной карты, которые, в свою очередь, предполагают внесение конкретных изменений в федеральные законы, а также акты Правительства Российской Федерации и федеральных органов исполнительной власти.</w:t>
      </w:r>
    </w:p>
    <w:p w14:paraId="6E72E5FF" w14:textId="648D3810"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i/>
          <w:iCs/>
          <w:color w:val="000000"/>
          <w:sz w:val="28"/>
          <w:szCs w:val="28"/>
        </w:rPr>
      </w:pPr>
      <w:r w:rsidRPr="00AF0B3C">
        <w:rPr>
          <w:rFonts w:ascii="Times New Roman" w:hAnsi="Times New Roman" w:cs="Times New Roman"/>
          <w:color w:val="000000"/>
          <w:sz w:val="28"/>
          <w:szCs w:val="28"/>
        </w:rPr>
        <w:t>При этом необходимо отметить, что исключение дискриминации по признаку формы собственности в уставном капитале актуально не только для программ субсидирования кредитных, но и микрофинансовых организаций (</w:t>
      </w:r>
      <w:r w:rsidR="0021705D">
        <w:rPr>
          <w:rFonts w:ascii="Times New Roman" w:hAnsi="Times New Roman" w:cs="Times New Roman"/>
          <w:color w:val="000000"/>
          <w:sz w:val="28"/>
          <w:szCs w:val="28"/>
        </w:rPr>
        <w:t xml:space="preserve">далее – </w:t>
      </w:r>
      <w:r w:rsidRPr="00AF0B3C">
        <w:rPr>
          <w:rFonts w:ascii="Times New Roman" w:hAnsi="Times New Roman" w:cs="Times New Roman"/>
          <w:color w:val="000000"/>
          <w:sz w:val="28"/>
          <w:szCs w:val="28"/>
        </w:rPr>
        <w:t>МФО).</w:t>
      </w:r>
    </w:p>
    <w:p w14:paraId="48EE6571" w14:textId="6A77DF6D"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Так, исходя из действующих в настоящее время норм субъект Российской Федерации может получить денежные средства из федерального бюджета в случае создания в качестве учредителя на своей территории МФО, в связи с чем круг МФО, которые за счет государственной компенсации могут предоставлять займы субъектам </w:t>
      </w:r>
      <w:r w:rsidR="0021705D">
        <w:rPr>
          <w:rFonts w:ascii="Times New Roman" w:hAnsi="Times New Roman" w:cs="Times New Roman"/>
          <w:sz w:val="28"/>
          <w:szCs w:val="28"/>
        </w:rPr>
        <w:t>МСП</w:t>
      </w:r>
      <w:r w:rsidRPr="00AF0B3C">
        <w:rPr>
          <w:rFonts w:ascii="Times New Roman" w:hAnsi="Times New Roman" w:cs="Times New Roman"/>
          <w:sz w:val="28"/>
          <w:szCs w:val="28"/>
        </w:rPr>
        <w:t xml:space="preserve"> на льготных условиях, значительно ограничен. Поскольку такое ограничение приводит не только к искусственному перераспределению спроса на рынке, но и к сокращению возможности получения для субъектов МСП заемных средств по льготной ставке, ФАС России считает необходимым внесение изменений в акты Правительства Российской Федерации и ведомственные акты в части создания конкурентного механизма субсидирования микрофинансовых организаций при осуществлении ими деятельности по выдаче льготных займов. Проведение такой работы предусмотрено мероприятием пункта 12 раздела XIV «Финансовые рынки» Дорожной карты.</w:t>
      </w:r>
    </w:p>
    <w:p w14:paraId="7CB678FD" w14:textId="77777777" w:rsidR="00A771B0" w:rsidRPr="00AF0B3C" w:rsidRDefault="00A771B0" w:rsidP="00A771B0">
      <w:pPr>
        <w:pStyle w:val="Textbody"/>
        <w:widowControl/>
        <w:spacing w:after="0"/>
        <w:ind w:firstLine="709"/>
        <w:jc w:val="both"/>
        <w:rPr>
          <w:rFonts w:cs="Times New Roman"/>
          <w:sz w:val="28"/>
          <w:szCs w:val="28"/>
        </w:rPr>
      </w:pPr>
      <w:r w:rsidRPr="00AF0B3C">
        <w:rPr>
          <w:rFonts w:cs="Times New Roman"/>
          <w:sz w:val="28"/>
          <w:szCs w:val="28"/>
        </w:rPr>
        <w:t xml:space="preserve">Еще одной проблемой, оказывающей негативное влияние на состояние конкурентной среды на рынке банковских услуг, является наличие неравных условий осуществления переводов с банковских счетов физических лиц на счета третьих лиц, открытые как в одной, так и в различных кредитных организациях. </w:t>
      </w:r>
    </w:p>
    <w:p w14:paraId="7F4C730C"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Так, результаты опроса участников рынка, проведенного совместно ФАС России и Банком России, свидетельствуют о наличии на рынке ряда барьеров, которые могут препятствовать эффективному развитию конкуренции.</w:t>
      </w:r>
    </w:p>
    <w:p w14:paraId="32E69E5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Большинство кредитных организаций, принявших участие в опросе, признают в качестве значимого барьера наличие крупных игроков со значительными клиентскими базами – так, по экспертным оценкам, рассматриваемый сегмент характеризуется высокой степенью концентрации при наличии хозяйствующего субъекта, занимающего лидирующее положение с большим отрывом от остальных участников рынка, что затрудняет конкуренцию с ними других игроков.</w:t>
      </w:r>
    </w:p>
    <w:p w14:paraId="5455BA6F"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К числу иных барьеров участниками рынка были отнесены:</w:t>
      </w:r>
    </w:p>
    <w:p w14:paraId="77DE290F" w14:textId="77777777" w:rsidR="00A771B0" w:rsidRPr="00AF0B3C" w:rsidRDefault="00A771B0" w:rsidP="00BE213D">
      <w:pPr>
        <w:pStyle w:val="13"/>
        <w:numPr>
          <w:ilvl w:val="0"/>
          <w:numId w:val="6"/>
        </w:numPr>
        <w:shd w:val="clear" w:color="auto" w:fill="auto"/>
        <w:suppressAutoHyphens/>
        <w:spacing w:before="0" w:line="240" w:lineRule="auto"/>
        <w:ind w:firstLine="709"/>
        <w:rPr>
          <w:sz w:val="28"/>
          <w:szCs w:val="28"/>
        </w:rPr>
      </w:pPr>
      <w:r w:rsidRPr="00AF0B3C">
        <w:rPr>
          <w:sz w:val="28"/>
          <w:szCs w:val="28"/>
        </w:rPr>
        <w:t>не достаточно высокий уровень проникновения безналичных расчетов (включая ограниченное доверие населения);</w:t>
      </w:r>
    </w:p>
    <w:p w14:paraId="20DA2481" w14:textId="77777777" w:rsidR="00A771B0" w:rsidRPr="00AF0B3C" w:rsidRDefault="00A771B0" w:rsidP="00BE213D">
      <w:pPr>
        <w:pStyle w:val="13"/>
        <w:numPr>
          <w:ilvl w:val="0"/>
          <w:numId w:val="6"/>
        </w:numPr>
        <w:shd w:val="clear" w:color="auto" w:fill="auto"/>
        <w:suppressAutoHyphens/>
        <w:spacing w:before="0" w:line="240" w:lineRule="auto"/>
        <w:ind w:firstLine="709"/>
        <w:rPr>
          <w:sz w:val="28"/>
          <w:szCs w:val="28"/>
        </w:rPr>
      </w:pPr>
      <w:r w:rsidRPr="00AF0B3C">
        <w:rPr>
          <w:sz w:val="28"/>
          <w:szCs w:val="28"/>
        </w:rPr>
        <w:t>стратегии поведения существующих игроков на рынке;</w:t>
      </w:r>
    </w:p>
    <w:p w14:paraId="6BB72CAC" w14:textId="77777777" w:rsidR="00A771B0" w:rsidRPr="00AF0B3C" w:rsidRDefault="00A771B0" w:rsidP="00BE213D">
      <w:pPr>
        <w:pStyle w:val="13"/>
        <w:numPr>
          <w:ilvl w:val="0"/>
          <w:numId w:val="6"/>
        </w:numPr>
        <w:shd w:val="clear" w:color="auto" w:fill="auto"/>
        <w:suppressAutoHyphens/>
        <w:spacing w:before="0" w:line="240" w:lineRule="auto"/>
        <w:ind w:firstLine="709"/>
        <w:rPr>
          <w:sz w:val="28"/>
          <w:szCs w:val="28"/>
        </w:rPr>
      </w:pPr>
      <w:r w:rsidRPr="00AF0B3C">
        <w:rPr>
          <w:sz w:val="28"/>
          <w:szCs w:val="28"/>
        </w:rPr>
        <w:t>инфраструктурные барьеры (тарифы платежных систем, высокая стоимость внедрения технологических решений и др.);</w:t>
      </w:r>
    </w:p>
    <w:p w14:paraId="6D39AB15" w14:textId="77777777" w:rsidR="00A771B0" w:rsidRPr="00AF0B3C" w:rsidRDefault="00A771B0" w:rsidP="00BE213D">
      <w:pPr>
        <w:pStyle w:val="13"/>
        <w:numPr>
          <w:ilvl w:val="0"/>
          <w:numId w:val="6"/>
        </w:numPr>
        <w:shd w:val="clear" w:color="auto" w:fill="auto"/>
        <w:suppressAutoHyphens/>
        <w:spacing w:before="0" w:line="240" w:lineRule="auto"/>
        <w:ind w:firstLine="709"/>
        <w:rPr>
          <w:sz w:val="28"/>
          <w:szCs w:val="28"/>
        </w:rPr>
      </w:pPr>
      <w:r w:rsidRPr="00AF0B3C">
        <w:rPr>
          <w:sz w:val="28"/>
          <w:szCs w:val="28"/>
        </w:rPr>
        <w:t>отсутствие возможности переводов по «простым реквизитам» (номер мобильного телефона и др.).</w:t>
      </w:r>
    </w:p>
    <w:p w14:paraId="58653459"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Одновременно с этим необходимо отметить, что переводы между банковскими счетами и банковскими картами физических лиц, открытыми в одном банке, осуществляются через платежную инфраструктуру этого банка. Филиалы и внутренние структурные подразделения банка являются составной частью единой организационной структуры банка, и переводы между счетами, открытыми в различных его территориальных подразделениях, являются в полном смысле обычными внутренними переводами.</w:t>
      </w:r>
    </w:p>
    <w:p w14:paraId="3D960D94"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связи с этим можно констатировать, что при осуществлении внутрибанковского перевода между различными территориальными зонами банк не создает добавленной стоимости по сравнению с переводами внутри одной территориальной зоны и не оказывает потребителю какой-либо дополнительной услуги.</w:t>
      </w:r>
    </w:p>
    <w:p w14:paraId="4093B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силу этого установление различных комиссий за такие переводы в зависимости от местонахождения получателя перевода свидетельствует о межрегиональной дискриминации потребителя.</w:t>
      </w:r>
    </w:p>
    <w:p w14:paraId="7E2E7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Учитывая изложенное, по итогам детальной проработки указанного вопроса с заинтересованными федеральными органами исполнительной власти и Банком России ФАС России пришла к выводу о целесообразности законодательного закрепления следующих принципов и правил формирования комиссионного вознаграждения в сегменте банковских переводов:</w:t>
      </w:r>
    </w:p>
    <w:p w14:paraId="57E66E9D" w14:textId="77777777" w:rsidR="00A771B0" w:rsidRPr="00AF0B3C" w:rsidRDefault="00A771B0" w:rsidP="00BE213D">
      <w:pPr>
        <w:pStyle w:val="13"/>
        <w:numPr>
          <w:ilvl w:val="0"/>
          <w:numId w:val="6"/>
        </w:numPr>
        <w:shd w:val="clear" w:color="auto" w:fill="auto"/>
        <w:suppressAutoHyphens/>
        <w:spacing w:before="0" w:line="240" w:lineRule="auto"/>
        <w:ind w:firstLine="709"/>
        <w:rPr>
          <w:sz w:val="28"/>
          <w:szCs w:val="28"/>
        </w:rPr>
      </w:pPr>
      <w:r w:rsidRPr="00AF0B3C">
        <w:rPr>
          <w:sz w:val="28"/>
          <w:szCs w:val="28"/>
        </w:rPr>
        <w:t>установление требования о том, что размеры комиссии банка за осуществление внутрирегиональных и межрегиональных переводов денежных средств с банковского счета физического лица на банковский счет иного физического лица, открытые в одной кредитной организации, по сопоставимым категориям переводов должны быть равны независимо от места открытия счетов отправителя и получателя перевода (в пределах России);</w:t>
      </w:r>
    </w:p>
    <w:p w14:paraId="3E2E7226" w14:textId="77777777" w:rsidR="00A771B0" w:rsidRPr="00AF0B3C" w:rsidRDefault="00A771B0" w:rsidP="00BE213D">
      <w:pPr>
        <w:pStyle w:val="13"/>
        <w:numPr>
          <w:ilvl w:val="0"/>
          <w:numId w:val="6"/>
        </w:numPr>
        <w:shd w:val="clear" w:color="auto" w:fill="auto"/>
        <w:suppressAutoHyphens/>
        <w:spacing w:before="0" w:line="240" w:lineRule="auto"/>
        <w:ind w:firstLine="709"/>
        <w:rPr>
          <w:sz w:val="28"/>
          <w:szCs w:val="28"/>
        </w:rPr>
      </w:pPr>
      <w:r w:rsidRPr="00AF0B3C">
        <w:rPr>
          <w:sz w:val="28"/>
          <w:szCs w:val="28"/>
        </w:rPr>
        <w:t>установление обязанности всех кредитных организаций по подключению к системе быстрых платежей при закреплении права Банка России определять предельное значение надбавки, устанавливаемой кредитными организациями при введении ими тарифов на услуги по переводу в рамках системе быстрых платежей для своих клиентов.</w:t>
      </w:r>
    </w:p>
    <w:p w14:paraId="16DDF1F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Важно также отметить, что исключение такой межрегиональной дискриминации потребителя в конечном итоге будет стимулировать выполнение одной из ключевых задач развития любого рынка – обеспечение единства экономического пространства.</w:t>
      </w:r>
    </w:p>
    <w:p w14:paraId="5B98B2F3"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Указанную позицию ФАС России изложила в соответствующем докладе в Правительство Российской Федерации в рамках реализации мероприятия пункта 7 раздела XIV «Финансовые рынки» Дорожной карты.</w:t>
      </w:r>
    </w:p>
    <w:p w14:paraId="0C15F7C9" w14:textId="77777777" w:rsidR="00A771B0" w:rsidRPr="00AF0B3C" w:rsidRDefault="00A771B0" w:rsidP="00A771B0">
      <w:pPr>
        <w:suppressAutoHyphens/>
        <w:spacing w:after="0" w:line="240" w:lineRule="auto"/>
        <w:ind w:firstLine="709"/>
        <w:jc w:val="both"/>
        <w:rPr>
          <w:rFonts w:ascii="Times New Roman" w:hAnsi="Times New Roman" w:cs="Times New Roman"/>
          <w:b/>
          <w:bCs/>
          <w:i/>
          <w:iCs/>
          <w:sz w:val="28"/>
          <w:szCs w:val="28"/>
        </w:rPr>
      </w:pPr>
    </w:p>
    <w:p w14:paraId="41CF95E3" w14:textId="77777777" w:rsidR="00A771B0" w:rsidRPr="00305C53" w:rsidRDefault="00A771B0" w:rsidP="00A771B0">
      <w:pPr>
        <w:suppressAutoHyphens/>
        <w:spacing w:after="0" w:line="240" w:lineRule="auto"/>
        <w:ind w:firstLine="709"/>
        <w:jc w:val="both"/>
        <w:rPr>
          <w:rFonts w:ascii="Times New Roman" w:hAnsi="Times New Roman" w:cs="Times New Roman"/>
          <w:b/>
          <w:bCs/>
          <w:iCs/>
          <w:sz w:val="28"/>
          <w:szCs w:val="28"/>
        </w:rPr>
      </w:pPr>
      <w:r w:rsidRPr="00305C53">
        <w:rPr>
          <w:rFonts w:ascii="Times New Roman" w:hAnsi="Times New Roman" w:cs="Times New Roman"/>
          <w:b/>
          <w:bCs/>
          <w:iCs/>
          <w:sz w:val="28"/>
          <w:szCs w:val="28"/>
        </w:rPr>
        <w:t>3.16.1.2. Достигнутые результаты развития конкуренции и предложения по развитию конкуренции</w:t>
      </w:r>
    </w:p>
    <w:p w14:paraId="53B60453" w14:textId="77777777" w:rsidR="00A771B0" w:rsidRPr="00AF0B3C" w:rsidRDefault="00A771B0" w:rsidP="00A771B0">
      <w:pPr>
        <w:suppressAutoHyphens/>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sz w:val="28"/>
          <w:szCs w:val="28"/>
        </w:rPr>
        <w:t xml:space="preserve">Как отмечалось ранее, </w:t>
      </w:r>
      <w:r w:rsidRPr="00AF0B3C">
        <w:rPr>
          <w:rFonts w:ascii="Times New Roman" w:hAnsi="Times New Roman" w:cs="Times New Roman"/>
          <w:color w:val="000000"/>
          <w:sz w:val="28"/>
          <w:szCs w:val="28"/>
        </w:rPr>
        <w:t>ФАС России в целях улучшения состояния конкурентной среды на рынке банковских услуг предлагается:</w:t>
      </w:r>
    </w:p>
    <w:p w14:paraId="08D0BC59"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выработать конкурентные подходы при установлении условий допуска кредитных организаций к оказанию отдельных видов банковских услуг и субсидиям из бюджетных средств;</w:t>
      </w:r>
    </w:p>
    <w:p w14:paraId="4AD64DCA"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снизить издержки переключения потребителя между кредитными организациями и сетевой эффект доминирующих кредитных организаций.</w:t>
      </w:r>
    </w:p>
    <w:p w14:paraId="1A7325B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Одновременно с этим ФАС России в целях развития конкуренции на рынке банковских услуг также предлагает снизить возможность влияния на стоимостные условия обращения услуг по предоставлению потребительских кредитов (займов) кредиторов, занимающих доминирующее положение на соответствующем рынке, путем создания правовых условий для ограничения влияния крупных кредиторов на среднерыночное значение полной стоимости потребительского кредита (займа) (ПСК) путем ограничения на уровне 10% доли одного кредитора, учитываемой в таком расчете.</w:t>
      </w:r>
    </w:p>
    <w:p w14:paraId="4E7A7D1A"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Необходимость реализации такого мероприятия обусловлена следующим. </w:t>
      </w:r>
    </w:p>
    <w:p w14:paraId="4C1E1AF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настоящее время в силу действующего законодательства ПСК, применяемое кредиторами при заключении с гражданином соответствующего договора, не может превышать более чем на одну треть рассчитываемое Банком России ежеквартально среднерыночное значение ПСК.</w:t>
      </w:r>
    </w:p>
    <w:p w14:paraId="39FCA13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При этом такое среднерыночное значение ПСК рассчитывается как средневзвешенное значение не менее чем по ста крупнейшим кредиторам либо не менее чем по одной трети общего количества кредиторов.</w:t>
      </w:r>
    </w:p>
    <w:p w14:paraId="2BC172A7"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Таким образом, допустима ситуация, при которой итоговый показатель среднерыночного значения ПСК и, как следствие, значение ПСК иных кредиторов может определять кредитор, который занимает доминирующее положение на рынке.</w:t>
      </w:r>
    </w:p>
    <w:p w14:paraId="375848EF"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Такой подход к определению среднерыночного значения ПСК может привести к усилению рыночных позиций доминирующего игрока, а также не учитывает возможность установления им необоснованно высоких или низких цен на услуги по предоставлению кредитов (займов), что является нарушением статьи 10 Закона о защите конкуренции.</w:t>
      </w:r>
    </w:p>
    <w:p w14:paraId="50F2D19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В связи с этим в целях обеспечения справедливых условий конкуренции и снижения степени влияния на стоимостные условия обращения на рынке предоставления потребительского кредита (займа) доминирующих кредиторов ФАС России считает необходимым ограничить долю одного кредитора в расчете среднерыночного значения ПСК. </w:t>
      </w:r>
    </w:p>
    <w:p w14:paraId="0E60573E"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реализацию пункта 5 раздела XIV «Финансовые рынки» Дорожной карты Минфином России должен быть внесен в Правительство Российской Федерации соответствующий проект федерального закона.</w:t>
      </w:r>
    </w:p>
    <w:p w14:paraId="20FFABE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Отдельно ФАС России также считает необходимым проведение работы по предупреждению возможных нарушений антимонопольного законодательства на рынке банковских услуг, в том числе в части недобросовестной конкуренции.</w:t>
      </w:r>
    </w:p>
    <w:p w14:paraId="0B71C616" w14:textId="47974921"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качестве одного из примеров механизмов по предупреждению недобросовестной конкуренции на этом рынке можно привести издание в 2018 году совместного информационного письма ФАС Росс</w:t>
      </w:r>
      <w:r w:rsidR="0021705D">
        <w:rPr>
          <w:rFonts w:ascii="Times New Roman" w:hAnsi="Times New Roman" w:cs="Times New Roman"/>
          <w:sz w:val="28"/>
          <w:szCs w:val="28"/>
        </w:rPr>
        <w:t xml:space="preserve">ии и Банка России от 29.12.2018 </w:t>
      </w:r>
      <w:r w:rsidRPr="00AF0B3C">
        <w:rPr>
          <w:rFonts w:ascii="Times New Roman" w:hAnsi="Times New Roman" w:cs="Times New Roman"/>
          <w:sz w:val="28"/>
          <w:szCs w:val="28"/>
        </w:rPr>
        <w:t>№№ ИА/108764/18 и ИН-01-52/82 о практике признания актом недобросовестной конкуренции действий кредитной организации по привлечению денежных средств физических лиц в срочные банковские вклады с последующим ухудшением потребительских свойств данных вкладов по сравнению с первоначально заявленными.</w:t>
      </w:r>
    </w:p>
    <w:p w14:paraId="26C8EA5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Издание этого письма обусловлено обширной практикой антимонопольных органов, которые с определенной периодичностью сталкивались с подобным недобросовестным поведением кредитных организаций на рынке привлечения денежных средств физических лиц во вклады.</w:t>
      </w:r>
    </w:p>
    <w:p w14:paraId="04D22BB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Ранее наиболее значимым достижением в этой части стало признание Арбитражным судом г. Москвы правомерным решения и предписания в отношении банка, снизившего размер процентов, начисляемых на внесенные во вклады пополнения, и, тем самым, как было установлено, нарушившего антимонопольное законодательство. Во исполнение указанного предписания ответчик отменил свое решение о снижении размера процентов, начисляемых на суммы пополнений по уже заключенным договорам вкладов, выплатил более 9 тыс. действующих вкладчиков более 156 млн руб. недоначисленных процентов по вкладам. </w:t>
      </w:r>
    </w:p>
    <w:p w14:paraId="0DE338B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Указанное совместное письмо подготовлено в реализацию пункта 6 раздела XIV «Финансовые рынки» Дорожной карты и позволило донести как до участников рынка, так и до потребителей соответствующих услуг совместную позицию регуляторов о недопустимости подобных действий.</w:t>
      </w:r>
    </w:p>
    <w:p w14:paraId="6102766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p>
    <w:p w14:paraId="3686202B" w14:textId="11DFA886" w:rsidR="00A771B0" w:rsidRPr="00305C53" w:rsidRDefault="00A771B0" w:rsidP="00DA3F05">
      <w:pPr>
        <w:pStyle w:val="3"/>
      </w:pPr>
      <w:bookmarkStart w:id="1829" w:name="_Toc7448031"/>
      <w:r w:rsidRPr="00305C53">
        <w:t>Рынок платежных и иных связанных с осуществлением и получением платежей услуг</w:t>
      </w:r>
      <w:bookmarkEnd w:id="1829"/>
    </w:p>
    <w:p w14:paraId="528CF307" w14:textId="77777777" w:rsidR="00A771B0" w:rsidRPr="00305C53" w:rsidRDefault="00A771B0" w:rsidP="00A771B0">
      <w:pPr>
        <w:suppressAutoHyphens/>
        <w:spacing w:after="0" w:line="240" w:lineRule="auto"/>
        <w:ind w:firstLine="709"/>
        <w:jc w:val="both"/>
        <w:rPr>
          <w:rFonts w:ascii="Times New Roman" w:hAnsi="Times New Roman" w:cs="Times New Roman"/>
          <w:b/>
          <w:sz w:val="28"/>
          <w:szCs w:val="28"/>
        </w:rPr>
      </w:pPr>
      <w:r w:rsidRPr="00305C53">
        <w:rPr>
          <w:rFonts w:ascii="Times New Roman" w:hAnsi="Times New Roman" w:cs="Times New Roman"/>
          <w:b/>
          <w:sz w:val="28"/>
          <w:szCs w:val="28"/>
        </w:rPr>
        <w:t>3.16.2.1.</w:t>
      </w:r>
      <w:r w:rsidRPr="00305C53">
        <w:rPr>
          <w:rFonts w:ascii="Times New Roman" w:hAnsi="Times New Roman" w:cs="Times New Roman"/>
          <w:b/>
          <w:bCs/>
          <w:iCs/>
          <w:sz w:val="28"/>
          <w:szCs w:val="28"/>
        </w:rPr>
        <w:t xml:space="preserve"> Состояние конкуренции: тенденции и проблемы развития конкуренции</w:t>
      </w:r>
    </w:p>
    <w:p w14:paraId="0454327B"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В 2018 году для рынка платежных и иных связанных с осуществлением и получением платежей услуг сохранила свою актуальность проблема наличия возможности создания препятствий гражданам при выборе кредитной организации для открытия банковского счета для перечисления на него пенсий и иных видов выплат.</w:t>
      </w:r>
    </w:p>
    <w:p w14:paraId="2D21517B"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Так, в настоящее время в соответствии с законодательством Российской Федерации доставка страховой пенсии производится по желанию пенсионера через кредитную организацию путем зачисления сумм страховой пенсии на счет пенсионера в этой кредитной организации либо через организации почтовой связи и иные организации, занимающиеся доставкой страховых пенсий, путем вручения сумм страховой пенсии на дому или в кассе организации, производящей доставку.</w:t>
      </w:r>
    </w:p>
    <w:p w14:paraId="723FA962"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Порядок взаимодействия организации, осуществляющей доставку страховой пенсии, с органом, осуществляющим пенсионное обеспечение, устанавливается договором о взаимодействии.</w:t>
      </w:r>
    </w:p>
    <w:p w14:paraId="0F51FC4E"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Согласно утвержденным Минтрудом России правилам выплаты пенсий в случае выбора пенсионером организации, осуществляющей доставку, с которой у территориального органа Пенсионного фонда Российской Федерации (далее – ТО ПФР) договор о взаимодействии не заключен, рассмотрение заявления пенсионера о доставке пенсии приостанавливается до заключения такого договора между ТО ПФР и выбранной пенсионером организацией, осуществляющей доставку, но не более чем на три месяца.</w:t>
      </w:r>
    </w:p>
    <w:p w14:paraId="5748FECC"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Проведенный ФАС России анализ показал, что на настоящий момент при реализации указанной схемы выплаты пенсий гражданам, при которой возможность свободного выбора пенсионером доставочной организации поставлена в зависимость от наличия заключенного такой организацией договора о взаимодействии с ТО ПФР, возникает ряд проблем.</w:t>
      </w:r>
    </w:p>
    <w:p w14:paraId="2663B65F"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Таким образом, несмотря на то, что в соответствии с законодательством Российской Федерации граждане свободны и не ограничены в выборе способа получения пенсии и организации, с использованием услуг которой они желают получать соответствующие денежные средства, реализуемый порядок выплаты пенсий может приводить к ограничению как прав граждан, так и нарушению условий конкуренции между кредитными организациями на рынке.</w:t>
      </w:r>
    </w:p>
    <w:p w14:paraId="5A582151"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Право на пенсионное обеспечение неразрывно связано с правом конкретного гражданина на распоряжение начисленными и подлежащими выплате этому гражданину в качестве пенсии денежными средствами, в том числе путем их размещения во вклад в банке с целью обеспечения их сохранности и получения дохода в виде процентов по вкладу. При этом гражданин - в силу вытекающего из Конституции Российской Федерации принципа свободы договора – вправе, самостоятельно оценивая предлагаемые различными банками условия договора банковского вклада и связанные с ними риски, по своему усмотрению выбирать банк в качестве контрагента по договору.</w:t>
      </w:r>
    </w:p>
    <w:p w14:paraId="02031338"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Невозможность зачисления суммы пенсии на счет гражданина (в том числе на счет по вкладу) в кредитной организации по его выбору, в частности, в связи с отсутствием заключенного между такой организацией и ТО ПФР договора, нарушает право гражданина на свободное использование денежных средств.</w:t>
      </w:r>
    </w:p>
    <w:p w14:paraId="4B05094F"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Учитывая изложенное, по мнению ФАС России, на законодательном уровне должна быть закреплена обязанность ТО ПФР переводить денежные средства в любую выбранную гражданином кредитную организацию без взимания с гражданина платы вне зависимости от наличия договора.</w:t>
      </w:r>
    </w:p>
    <w:p w14:paraId="1B42FDDC"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При этом в целях соблюдения возможности ПФР осуществлять контроль за соответствующими денежными средствами ФАС России считает необходимым установить одну из следующих схем взаимодействия органов ПФР с кредитными организациями:</w:t>
      </w:r>
    </w:p>
    <w:p w14:paraId="7411A973"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(1) закрепить на законодательном уровне для кредитной организации обязанность в случае выбора ее пенсионером предоставлять определенный перечень необходимой ТО ПФР информации по его запросу, исключив таким образом необходимость наличия договоров между ТО ПФР и кредитными организациями, либо</w:t>
      </w:r>
    </w:p>
    <w:p w14:paraId="649E9A62"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(2) предусмотреть обязанность для кредитной организации по заключению договоров о взаимодействии с ПФР при наличии определенного количества граждан, выбравших кредитную организацию для получения пенсии (например, свыше 50 человек в субъекте Российской Федерации). В случае непревышения установленного числа пенсионеров, пользующихся услугами кредитной организации для получения пенсии, перевод пенсионных средств должен осуществляться с использованием отдельных платежных поручений. При этом кредитной организации должен быть предоставлен выбор порядка заключения такого договора – централизованно между ПФР и головным офисом кредитной организации, либо на уровне отдельного субъекта Российской Федерации.</w:t>
      </w:r>
    </w:p>
    <w:p w14:paraId="33959A50"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Дополнительно необходимо отметить, что исключению обязанности по наличию договоров между ТО ПФР и кредитными организациями будет также способствовать совершенствование порядка взаимодействия ТО ПФР и органов записи актов гражданского состояния, а также органов МВД России с использованием функционала Единого портала государственных услуг в части оперативной передачи ТО ПФР актуальной информации о пенсионерах, что, в частности, сможет решить проблему перечисления денежных средств по счетам умерших граждан в связи с несвоевременным получением ТО ПФР соответствующих сведений.</w:t>
      </w:r>
    </w:p>
    <w:p w14:paraId="0D4DBA72" w14:textId="77777777" w:rsidR="00A771B0" w:rsidRPr="00AF0B3C" w:rsidRDefault="00A771B0" w:rsidP="00A771B0">
      <w:pPr>
        <w:suppressAutoHyphens/>
        <w:spacing w:after="0" w:line="240" w:lineRule="auto"/>
        <w:ind w:firstLine="709"/>
        <w:jc w:val="both"/>
        <w:rPr>
          <w:rFonts w:ascii="Times New Roman" w:hAnsi="Times New Roman" w:cs="Times New Roman"/>
          <w:bCs/>
          <w:sz w:val="28"/>
          <w:szCs w:val="28"/>
        </w:rPr>
      </w:pPr>
      <w:r w:rsidRPr="00AF0B3C">
        <w:rPr>
          <w:rFonts w:ascii="Times New Roman" w:hAnsi="Times New Roman" w:cs="Times New Roman"/>
          <w:bCs/>
          <w:sz w:val="28"/>
          <w:szCs w:val="28"/>
        </w:rPr>
        <w:t>Указанная позиция антимонопольного органа по рассматриваемому вопросу представлена в докладе в Правительство Российской Федерации, подготовленном в реализацию первого абзаца пункта 9 раздела XIV «Финансовые рынки» Дорожной карты.</w:t>
      </w:r>
    </w:p>
    <w:p w14:paraId="79F6508C" w14:textId="77777777" w:rsidR="00A771B0" w:rsidRPr="00AF0B3C" w:rsidRDefault="00A771B0" w:rsidP="00A771B0">
      <w:pPr>
        <w:suppressAutoHyphens/>
        <w:spacing w:after="0" w:line="240" w:lineRule="auto"/>
        <w:ind w:firstLine="709"/>
        <w:jc w:val="both"/>
        <w:rPr>
          <w:rFonts w:ascii="Times New Roman" w:hAnsi="Times New Roman" w:cs="Times New Roman"/>
          <w:b/>
          <w:sz w:val="28"/>
          <w:szCs w:val="28"/>
        </w:rPr>
      </w:pPr>
    </w:p>
    <w:p w14:paraId="797D0058" w14:textId="77777777" w:rsidR="00A771B0" w:rsidRPr="00305C53" w:rsidRDefault="00A771B0" w:rsidP="00A771B0">
      <w:pPr>
        <w:suppressAutoHyphens/>
        <w:spacing w:after="0" w:line="240" w:lineRule="auto"/>
        <w:ind w:firstLine="709"/>
        <w:jc w:val="both"/>
        <w:rPr>
          <w:rFonts w:ascii="Times New Roman" w:hAnsi="Times New Roman" w:cs="Times New Roman"/>
          <w:b/>
          <w:sz w:val="28"/>
          <w:szCs w:val="28"/>
        </w:rPr>
      </w:pPr>
      <w:r w:rsidRPr="00305C53">
        <w:rPr>
          <w:rFonts w:ascii="Times New Roman" w:hAnsi="Times New Roman" w:cs="Times New Roman"/>
          <w:b/>
          <w:sz w:val="28"/>
          <w:szCs w:val="28"/>
        </w:rPr>
        <w:t>3.16.2.2. Достигнутые результаты развития конкуренции и предложения по развитию конкуренции</w:t>
      </w:r>
    </w:p>
    <w:p w14:paraId="4B8328FA"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Как отмечалось ранее, в целях улучшения состояния конкурентной среды на рынке платежных и иных связанных с осуществлением и получением платежей услуг ФАС России предлагает обеспечить конкурентные условия при выборе гражданами кредитной организации для открытия банковского счета для перечисления на него пенсий и иных видов выплат. </w:t>
      </w:r>
    </w:p>
    <w:p w14:paraId="01C7E627"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Важно при этом отметить, что в реализацию третьего абзаца пункта 9 раздела XIV «Финансовые рынки» Дорожной карты ФАС России отдельно были подготовлены и направлены в федеральные органы исполнительной власти и государственные внебюджетные фонды рекомендации об обеспечении и повышении информированности граждан и хозяйствующих субъектов соответственно обо всех предусмотренных способах получения пенсий и иных социальных выплат, а также о возможности оказания услуг в рамках осуществления таких выплат. </w:t>
      </w:r>
    </w:p>
    <w:p w14:paraId="6CD505C9"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Исполнение таких рекомендаций, как считает ФАС России, предупредит возможное возникновение признаков нарушения антимонопольного законодательства в соответствующей части, а также создаст условия для развития спроса на услуги, необходимые для получения гражданами различного рода выплат, всех категорий хозяйствующих субъектов, предлагающих или способных предложить такие услуги.</w:t>
      </w:r>
    </w:p>
    <w:p w14:paraId="434BE2E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Еще одним мероприятием, реализация которого поспособствует развитию конкуренции на рынке платежных услуг, является исключение неоправданных преимуществ для отдельных платежных организаций и обеспечение развития ценовой конкуренции при оказании ими платежных услуг при оплате гражданами жилищно-коммунальных услуг.</w:t>
      </w:r>
    </w:p>
    <w:p w14:paraId="514BFA67"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Необходимость реализации указанного предложения, по мнению ФАС России, обусловлена следующим.</w:t>
      </w:r>
    </w:p>
    <w:p w14:paraId="6AD2166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настоящее время имеется практика учета расходов ресурсоснабжающих организаций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При этом включение таких расходов в состав финансовых потребностей поставщиков коммунальных ресурсов осуществляется в связи с заключением этими поставщиками и управляющими организациями договоров с платежными организациями (кредитными организациями, организациями федеральной почтовой связи и платежными агентами), согласно которым платежные услуги оплачиваются за счет самих поставщиков и управляющих организаций. Как правило, эти договоры заключаются с ограниченным количеством платежных организаций и содержат условие о невзимании платы за внесение платежей, что вызывает искусственное перераспределение спроса потребителей, негативно влияющее на конкуренцию. При этом, если потребитель коммунальной услуги решит обратиться в платежную организацию, с которой не заключено никаких соглашений, возникает ситуация, при которой он оплачивает услугу по переводу платежей дважды: непосредственно в платежной организации (1) при внесении платы за коммунальные услуги, тогда как такая плата уже учтена (2) в составе соответствующего тарифа.</w:t>
      </w:r>
    </w:p>
    <w:p w14:paraId="18B1AD0F"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связи с этим, как полагает ФАС России, в соответствующих нормативных правовых актах необходимо прямо указать на недопустимость учета расходов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Проведение такой работы предусмотрено вторым абзацем пункта 8 раздела XIV «Финансовые рынки» Дорожной карты.</w:t>
      </w:r>
    </w:p>
    <w:p w14:paraId="7348CAE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Одновременно с этим ФАС России для развития конкуренции на рынке платежных услуг предлагает установить единые правила организации приема платы за государственные и муниципальные услуги, жилищно-коммунальные услуги с использованием информационно-коммуникационной инфраструктуры, а также прозрачные и недискриминационные условия доступа платежных организаций к оказанию платежных услуг при организации приема такой платы.</w:t>
      </w:r>
    </w:p>
    <w:p w14:paraId="4A9BD69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Так, в настоящее время реализуются порядки организации внесения платы за государственные и муниципальные услуги с использованием сервисов, представленных на сайтах отдельных органов государственной власти в сети «Интернет» (далее – Сервисы), которые предполагают возможность оплаты этих услуг только с использованием платежных услуг расчетных организаций, с которыми у соответствующих органов государственной власти заключены соглашения.</w:t>
      </w:r>
    </w:p>
    <w:p w14:paraId="5783D87C"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целях заключения указанных соглашений на соответствующих страницах в информационно-телекоммуникационной сети «Интернет» в ряде случаев размещаются тексты публичной оферты, акцепт которой при условии выполнения предусмотренных в ней требований представляет расчетной организации возможность оказывать гражданам услугу по безналичному переводу денежных средств с использованием Сервисов.</w:t>
      </w:r>
    </w:p>
    <w:p w14:paraId="7814FC6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Вместе с тем, несмотря на наличие указанной информации в открытом доступе, а также на присоединение некоторого количества кредитных организаций в течение последних лет к таким соглашениям, фактически перевод денежных средств осуществляется меньшим количеством расчетных организаций.</w:t>
      </w:r>
    </w:p>
    <w:p w14:paraId="58235F05"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условиях существующих в настоящее время технических и технологических возможностей по организации оплаты товаров (работ и услуг) в информационно-телекоммуникационной сети «Интернет» с  использованием платежных карт любых банков без ограничений реализация организованного порядка приема платы за государственные и муниципальные услуги с использованием Сервисов может создавать условия для получения преимуществ отдельными расчетными организациями и препятствовать как развитию конкуренции на рынке платежных услуг, так и безналичных расчетов в целом.</w:t>
      </w:r>
    </w:p>
    <w:p w14:paraId="600122CC"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В связи с изложенным, как полагает ФАС России, целесообразно проведение детального анализа реализующихся порядков приема безналичных платежей с использованием Сервисов, а также через Единый портал государственных и муниципальных услуг и Государственную информационную систему жилищно-коммунального хозяйства, по результатам которого с учетом установленных обстоятельств должны быть сформированы предложения о введении единых правил организации приема платежей через названные сервисы. Проведение такой работы предусмотрено мероприятием третьего абзаца пункта 8 раздела XIV «Финансовые рынки» Дорожной карты. </w:t>
      </w:r>
    </w:p>
    <w:p w14:paraId="26A0E01A"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Другим направлением деятельности, на которое ФАС России предлагает обратить внимание, является непосредственно предупреждение недобросовестной конкуренции платежных организаций при размещении информации о стоимости платежных услуг на дисплее платежных терминалов. </w:t>
      </w:r>
    </w:p>
    <w:p w14:paraId="04C1FFD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Необходимо отметить, что в соответствии с Федеральным законом от 03.06.2009 № 103-ФЗ «О деятельности по приему платежей физических лиц, осуществляемой платежными агентами» платежные агенты вправе удержать комиссию с плательщика за услуги в размере, который определен соглашением между ними. Как правило, такое соглашение достигается в результате исполнения платежным агентом положений того же Федерального закона о представлении информации о размере платы за прием платежа и согласия потребителя совершить платеж с учетом такой информации. Вместе с тем отдельные участники рынка представляют на дисплее платежного терминала информацию о комиссии в крайне недоступной для нормального восприятия форме, в свою очередь, что может являться проявлением одной из форм недобросовестной конкуренции.</w:t>
      </w:r>
    </w:p>
    <w:p w14:paraId="217FBB8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целях предупреждения такой недобросовестной конкуренции во исполнение четвертого абзаца пункта 8 раздела XIV «Финансовые рынки» Дорожной карты предполагается подготовка совместного письма ФАС России и Банка России по вопросу разработки и утверждения стандарта раскрытия информации о стоимости оказания платежных услуг при использовании платежных терминалов.</w:t>
      </w:r>
    </w:p>
    <w:p w14:paraId="3C49481D" w14:textId="77777777" w:rsidR="00A771B0" w:rsidRPr="00AF0B3C" w:rsidRDefault="00A771B0" w:rsidP="00A771B0">
      <w:pPr>
        <w:suppressAutoHyphens/>
        <w:spacing w:after="0" w:line="240" w:lineRule="auto"/>
        <w:ind w:firstLine="709"/>
        <w:jc w:val="both"/>
        <w:rPr>
          <w:rFonts w:ascii="Times New Roman" w:hAnsi="Times New Roman" w:cs="Times New Roman"/>
          <w:color w:val="000000"/>
          <w:sz w:val="28"/>
          <w:szCs w:val="28"/>
        </w:rPr>
      </w:pPr>
    </w:p>
    <w:p w14:paraId="62604ADD" w14:textId="592ACB07" w:rsidR="00A771B0" w:rsidRPr="00305C53" w:rsidRDefault="00AE1868" w:rsidP="00DA3F05">
      <w:pPr>
        <w:pStyle w:val="3"/>
      </w:pPr>
      <w:r>
        <w:t xml:space="preserve"> </w:t>
      </w:r>
      <w:bookmarkStart w:id="1830" w:name="_Toc7448032"/>
      <w:r w:rsidR="00A771B0" w:rsidRPr="00305C53">
        <w:t>Рынок страховых услуг</w:t>
      </w:r>
      <w:bookmarkEnd w:id="1830"/>
    </w:p>
    <w:p w14:paraId="2324E152" w14:textId="77777777" w:rsidR="00A771B0" w:rsidRPr="00305C53" w:rsidRDefault="00A771B0" w:rsidP="00A771B0">
      <w:pPr>
        <w:suppressAutoHyphens/>
        <w:spacing w:after="0" w:line="240" w:lineRule="auto"/>
        <w:ind w:firstLine="709"/>
        <w:jc w:val="both"/>
        <w:rPr>
          <w:rFonts w:ascii="Times New Roman" w:hAnsi="Times New Roman" w:cs="Times New Roman"/>
          <w:b/>
          <w:bCs/>
          <w:iCs/>
          <w:sz w:val="28"/>
          <w:szCs w:val="28"/>
        </w:rPr>
      </w:pPr>
      <w:r w:rsidRPr="00305C53">
        <w:rPr>
          <w:rFonts w:ascii="Times New Roman" w:hAnsi="Times New Roman" w:cs="Times New Roman"/>
          <w:b/>
          <w:bCs/>
          <w:iCs/>
          <w:sz w:val="28"/>
          <w:szCs w:val="28"/>
        </w:rPr>
        <w:t>3.16.3.1. Состояние конкуренции: тенденции и проблемы развития конкуренции</w:t>
      </w:r>
    </w:p>
    <w:p w14:paraId="58E4C2E1"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2018 году для рынка страховых услуг, в частности, рынка обязательного страхования гражданской ответственности владельцев транспортных средств (ОСАГО), сохранила свою актуальность проблема наличия возможности воздействия занимающих доминирующее положение представителей страховых организаций на деятельность конкурентов и состояние конкуренции на данном рынке страховых услуг.</w:t>
      </w:r>
    </w:p>
    <w:p w14:paraId="5B152580" w14:textId="77777777" w:rsidR="00A771B0" w:rsidRPr="00AF0B3C" w:rsidRDefault="00A771B0" w:rsidP="00A771B0">
      <w:pPr>
        <w:suppressAutoHyphens/>
        <w:spacing w:after="0" w:line="240" w:lineRule="auto"/>
        <w:ind w:firstLine="709"/>
        <w:jc w:val="both"/>
        <w:rPr>
          <w:rFonts w:ascii="Times New Roman" w:hAnsi="Times New Roman" w:cs="Times New Roman"/>
          <w:color w:val="000000"/>
          <w:sz w:val="28"/>
          <w:szCs w:val="28"/>
          <w:shd w:val="clear" w:color="auto" w:fill="FFFFFF"/>
          <w:lang w:eastAsia="ru-RU"/>
        </w:rPr>
      </w:pPr>
      <w:r w:rsidRPr="00AF0B3C">
        <w:rPr>
          <w:rFonts w:ascii="Times New Roman" w:hAnsi="Times New Roman" w:cs="Times New Roman"/>
          <w:color w:val="000000"/>
          <w:sz w:val="28"/>
          <w:szCs w:val="28"/>
          <w:shd w:val="clear" w:color="auto" w:fill="FFFFFF"/>
          <w:lang w:eastAsia="ru-RU"/>
        </w:rPr>
        <w:t>Так, пунктом 1 статьи 21 Федерального закона от 25.04.2002 № 40-ФЗ «Об обязательном страховании гражданской ответственности владельцев транспортных средств» установлена обязанность страховой организации иметь в каждом субъекте Российской Федерации представителя, уполномоченного на рассмотрение требований потерпевших о страховых выплатах, на осуществление страховых выплат и прямое возмещение убытков.</w:t>
      </w:r>
    </w:p>
    <w:p w14:paraId="554C91B1" w14:textId="77777777" w:rsidR="00A771B0" w:rsidRPr="00AF0B3C" w:rsidRDefault="00A771B0" w:rsidP="00A771B0">
      <w:pPr>
        <w:suppressAutoHyphens/>
        <w:spacing w:after="0" w:line="240" w:lineRule="auto"/>
        <w:ind w:firstLine="709"/>
        <w:jc w:val="both"/>
        <w:rPr>
          <w:rFonts w:ascii="Times New Roman" w:hAnsi="Times New Roman" w:cs="Times New Roman"/>
          <w:color w:val="000000"/>
          <w:sz w:val="28"/>
          <w:szCs w:val="28"/>
          <w:shd w:val="clear" w:color="auto" w:fill="FFFFFF"/>
          <w:lang w:eastAsia="ru-RU"/>
        </w:rPr>
      </w:pPr>
      <w:r w:rsidRPr="00AF0B3C">
        <w:rPr>
          <w:rFonts w:ascii="Times New Roman" w:hAnsi="Times New Roman" w:cs="Times New Roman"/>
          <w:color w:val="000000"/>
          <w:sz w:val="28"/>
          <w:szCs w:val="28"/>
          <w:shd w:val="clear" w:color="auto" w:fill="FFFFFF"/>
          <w:lang w:eastAsia="ru-RU"/>
        </w:rPr>
        <w:t>Представителем в соответствии со статьей 1 названного федерального закона может быть филиал самого страховщика или другой страховщик, имеющий лицензию на осуществление ОСАГО и выполняющий полномочия страховщика по рассмотрению требований потерпевших о страховых выплатах и их осуществлению за счет заключившего договор обязательного страхования страховщика на основании договора представительства со страховщиком.</w:t>
      </w:r>
    </w:p>
    <w:p w14:paraId="757E063E" w14:textId="77777777" w:rsidR="00A771B0" w:rsidRPr="00AF0B3C" w:rsidRDefault="00A771B0" w:rsidP="00A771B0">
      <w:pPr>
        <w:suppressAutoHyphens/>
        <w:spacing w:after="0" w:line="240" w:lineRule="auto"/>
        <w:ind w:firstLine="709"/>
        <w:jc w:val="both"/>
        <w:rPr>
          <w:rFonts w:ascii="Times New Roman" w:hAnsi="Times New Roman" w:cs="Times New Roman"/>
          <w:color w:val="000000"/>
          <w:sz w:val="28"/>
          <w:szCs w:val="28"/>
          <w:shd w:val="clear" w:color="auto" w:fill="FFFFFF"/>
          <w:lang w:eastAsia="ru-RU"/>
        </w:rPr>
      </w:pPr>
      <w:r w:rsidRPr="00AF0B3C">
        <w:rPr>
          <w:rFonts w:ascii="Times New Roman" w:hAnsi="Times New Roman" w:cs="Times New Roman"/>
          <w:color w:val="000000"/>
          <w:sz w:val="28"/>
          <w:szCs w:val="28"/>
          <w:shd w:val="clear" w:color="auto" w:fill="FFFFFF"/>
          <w:lang w:eastAsia="ru-RU"/>
        </w:rPr>
        <w:t xml:space="preserve">Следовательно, любой страховщик, не имеющий филиалов во всех субъектах Российской Федерации, обязан иметь договоры представительства с иными страховщиками, являющимися его конкурентами на рынке услуг ОСАГО. При этом у таких страховщиков нет законодательной обязанности осуществлять услуги представителя, что в ряде случаев может привести к отказу от заключения договора представительства и, как следствие, к устранению конкурентов на рынке услуг по ОСАГО. </w:t>
      </w:r>
    </w:p>
    <w:p w14:paraId="7EC27BA5"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Данное обстоятельство также порождает ситуацию, при которой более крупные страховщики могут влиять на состояние конкуренции, например, за счет отказов в заключении договоров представительства или установления высокого размера платы за свои услуги, высокого размера депозита для осуществления страховых выплат.</w:t>
      </w:r>
    </w:p>
    <w:p w14:paraId="060E645A"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Угроза наступления подобных последствий нашло свое подтверждение в имевших в 2014 году событиях, когда занимающее доминирующее положение ОАО «ВСК» расторгло все договоры представительства (85% от всего количества на рынке). По сведениям страховщиков, даже объединившись им было бы затруднительно обеспечить представительство во всех регионах, то есть такая ситуация могла привести к уходу с рынка услуг ОСАГО некоторых страховщиков.</w:t>
      </w:r>
    </w:p>
    <w:p w14:paraId="712C8A7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По мнению ФАС России, действующая в настоящее время система представительства малоэффективна и высокозатратна для страховщиков, которые не имеют филиалы во всех субъектах Российской Федерации, уполномоченные для осуществления выплат по ОСАГО.</w:t>
      </w:r>
    </w:p>
    <w:p w14:paraId="54C8D2CB"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связи с этим ФАС России предлагает создать условия для расширения перечня лиц, которые вправе выполнять функции представителя страховщика в субъектах Российской Федерации.</w:t>
      </w:r>
    </w:p>
    <w:p w14:paraId="374B8E6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Подобное расширение перечня возможных представителей страховщиков обеспечит для граждан большую доступность урегулирования убытков при наступлении страховых случаев и существенно сократит их издержки на прохождение данной процедуры, а также снизит возможность воздействия занимающих доминирующее положение представителей страховых организаций на деятельность конкурентов и состояние конкуренции на рынке ОСАГО.</w:t>
      </w:r>
    </w:p>
    <w:p w14:paraId="68A2413B"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Проработка указанного предложения предусмотрена пунктом 13 раздела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w:t>
      </w:r>
    </w:p>
    <w:p w14:paraId="33AD696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p>
    <w:p w14:paraId="1EB1364A" w14:textId="77777777" w:rsidR="00A771B0" w:rsidRPr="00305C53" w:rsidRDefault="00A771B0" w:rsidP="00A771B0">
      <w:pPr>
        <w:suppressAutoHyphens/>
        <w:spacing w:after="0" w:line="240" w:lineRule="auto"/>
        <w:ind w:firstLine="709"/>
        <w:jc w:val="both"/>
        <w:rPr>
          <w:rFonts w:ascii="Times New Roman" w:hAnsi="Times New Roman" w:cs="Times New Roman"/>
          <w:b/>
          <w:bCs/>
          <w:iCs/>
          <w:sz w:val="28"/>
          <w:szCs w:val="28"/>
        </w:rPr>
      </w:pPr>
      <w:r w:rsidRPr="00305C53">
        <w:rPr>
          <w:rFonts w:ascii="Times New Roman" w:hAnsi="Times New Roman" w:cs="Times New Roman"/>
          <w:b/>
          <w:bCs/>
          <w:iCs/>
          <w:sz w:val="28"/>
          <w:szCs w:val="28"/>
        </w:rPr>
        <w:t>3.16.3.2. Достигнутые результаты развития конкуренции и предложения по развитию конкуренции</w:t>
      </w:r>
    </w:p>
    <w:p w14:paraId="0F7C6C4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Как отмечалось ранее, в целях развития конкуренции на рынке страховых услуг, в частности, на рынке ОСАГО, ФАС России предлагает снизить возможность воздействия занимающих доминирующее положение представителей страховых организаций на деятельность конкурентов.</w:t>
      </w:r>
    </w:p>
    <w:p w14:paraId="3351DC5F"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Одновременно с этим в целях развития конкуренции в другом секторе страхового рынка – добровольного медицинского страхования (далее – ДМС) ФАС России предлагает создать конкурентные условия для привлечения работодателями страховых организаций для целей добровольного медицинского страхования работников.</w:t>
      </w:r>
    </w:p>
    <w:p w14:paraId="667FEB6C"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Так, в рамках проведенной ФАС России в 2018 году оценки состояния конкуренции на этом рынке были сделаны выводы о том, что на федеральном рынке данного вида страховых услуг на пять лидирующих страховых групп и страховых организаций приходится более 65% объема страховой премии, собранной всеми страховыми организациями на рынке ДМС в рассматриваемый период времени. При этом по итогам анализа данного сегмента в региональном разрезе в 58 субъектах Российской Федерации рынок ДМС характеризуется высокой концентрацией.</w:t>
      </w:r>
    </w:p>
    <w:p w14:paraId="54776FF1"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связи с этим в целях развития конкуренции на рынке ДМС и с учетом рисков, связанных с наличием в сегменте ДМС ограниченного числа лидирующих страховых групп и страховых организаций, представляется необходимым повысить степень конкурентности отношений работодателей и страховых организаций, чему будет способствовать нормативное закрепление обязанности отдельных категорий работодателей регулярно пересматривать выбор страховой организации для целей обеспечения ДМС своих работников.</w:t>
      </w:r>
    </w:p>
    <w:p w14:paraId="050E450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Разработка соответствующего проекта федерального закона предусмотрена пунктом 16 раздела XIV «Финансовые рынки» Дорожной карты.</w:t>
      </w:r>
    </w:p>
    <w:p w14:paraId="0F79B951"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Еще одним важным направлением деятельности ФАС России по развитию рынка страховых услуг является противодействие недобросовестным практикам ведения деятельности, в том числе на основе тарифной политики.</w:t>
      </w:r>
    </w:p>
    <w:p w14:paraId="4BC7014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связи с этим в 2018 году ФАС России совместно с Минфином России, Минэкономразвития России и при участии Банка России определили основные аспекты проведения мониторинга используемой субъектами страхового рынка тарифной политики (далее – мониторинг), мероприятия, проводимые для обеспечения проведения этого мониторинга, а также возможные направления использования результатов мониторинга.</w:t>
      </w:r>
    </w:p>
    <w:p w14:paraId="2C8840F5"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В целях проведения мониторинга приказом ФАС России от 27.02.2018 </w:t>
      </w:r>
      <w:r w:rsidRPr="00AF0B3C">
        <w:rPr>
          <w:rFonts w:ascii="Times New Roman" w:hAnsi="Times New Roman" w:cs="Times New Roman"/>
          <w:sz w:val="28"/>
          <w:szCs w:val="28"/>
        </w:rPr>
        <w:br/>
        <w:t>№ 239/18 была создана постоянно действующая рабочая группа, в состав которой, помимо представителей указанных органов власти и Банка России, также вошли представители Всероссийского союза страховщиков, являющегося саморегулируемой организацией и объединяющей в настоящее время всех страховщиков, имеющих лицензию на право осуществления страховой деятельности.</w:t>
      </w:r>
    </w:p>
    <w:p w14:paraId="0230B3C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2018 году также утверждена Методика проведения мониторинга тарифной политики субъектов страхового рынка (далее – Методика), согласно которой мониторинг проводится по двум направлениям: (1) общая оценка тарифной политики страховых организаций по видам страхования, (2) наблюдение за тарифными ставками, применяемыми страховыми организациями по отдельным видам страхования.</w:t>
      </w:r>
    </w:p>
    <w:p w14:paraId="216D725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Обоснованность и адекватность уровню страховых рисков тарифной политики страховых организаций анализируется по добровольным видам страхования иным, чем страхование жизни на основании коэффициентов, рассчитанных по группам видов добровольного страхования, в разрезе которых Банком России представляется информация о комбинированных коэффициентах убыточности и коэффициентах расходов страховых организаций (далее – учетные группы). </w:t>
      </w:r>
    </w:p>
    <w:p w14:paraId="7EC780E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Выявление и интерпретация общих трендов в тарифной политике страховщиков путем определения динамики применяемых ими страховых тарифов по конкретным страховым продуктам осуществляется в рамках Наблюдения.</w:t>
      </w:r>
    </w:p>
    <w:p w14:paraId="46A8982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Для проведения наблюдения в 2018 году также были определены:</w:t>
      </w:r>
    </w:p>
    <w:p w14:paraId="4CE1C43E"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перечень наиболее востребованных в настоящее время населением видов страхования;</w:t>
      </w:r>
    </w:p>
    <w:p w14:paraId="0C326195"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территории субъектов Российской Федерации с наиболее развитой страховой инфраструктурой;</w:t>
      </w:r>
    </w:p>
    <w:p w14:paraId="03D6498E"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«портреты» страхователей, предусматривающие определенные характеристики, такие как пол, возраст, семейное положение, род занятий, а также выделены 10 наиболее распространенных объектов страхования и 19 видов условий договоров страхования по различным видам страхования.</w:t>
      </w:r>
    </w:p>
    <w:p w14:paraId="4ED0777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Доклад о завершении в 2018 году организационной работы по исполнению пункта 14 раздела XIV «Финансовые рынки» Дорожной карты был внесен в Правительство Российской Федерации.</w:t>
      </w:r>
    </w:p>
    <w:p w14:paraId="2E83265C"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На основании Методики в 2018 году поведен мониторинг по итогам работы страховых организаций за 2017 год.</w:t>
      </w:r>
    </w:p>
    <w:p w14:paraId="7863580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Так, в рамках первого направления мониторинга (Оценка) было проведено категорирование страховщиков в разрезе учетных групп в зависимости от соотношения объемов собираемых страховых премий и выплачиваемых страховых возмещений, а также степени рискованности страховых тарифов с точки зрения возможности исполнения принимаемых обязательств. </w:t>
      </w:r>
    </w:p>
    <w:p w14:paraId="16343499"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На основании данных, полученных по результатам годового периода (2017 год) мониторинга, выводы возможны лишь по одной учетной группе – добровольное медицинское страхование, – при проведении страховых операций по данному виду страхования подавляющим числом (по доле сборов страховой премии) страховщиков проводилась сбалансированная, адекватная уровню страхового риска тарифная политика. </w:t>
      </w:r>
    </w:p>
    <w:p w14:paraId="6BD28C6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отношении других учетных групп необходим более длительный период исследования, в том числе с целью анализа отдельных составляющих расходов на ведение дела страховщиков, сопоставления с уровнями концентрации и обеспеченности страховыми услугами.</w:t>
      </w:r>
    </w:p>
    <w:p w14:paraId="0761157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По второму направлению мониторинга (Наблюдение) были зафиксированы размеры применяемых в 2017 году страховых тарифов по выбранным комбинациям видов страхования, профилей страхователей, условий договоров страхования и объектов страхования, которые будут являться базовыми при дальнейшем исследовании динамики тарифной политики страховщиков и формировании выводов о росте или снижении тарифов страховщиков по выбранным комбинациям.</w:t>
      </w:r>
    </w:p>
    <w:p w14:paraId="3280A1F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Доклад об итогах проведения указанного мониторинга также направлен в Правительство Российской Федерации.</w:t>
      </w:r>
    </w:p>
    <w:p w14:paraId="0BD140C5"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При этом важно отметить, что проведение мониторинга предусмотрено подпунктом «д» пункта 1 перечня поручений Президента Российской Федерации В.В. Путина от 04.07.2017 № Пр-1266. </w:t>
      </w:r>
    </w:p>
    <w:p w14:paraId="75AE6B1A" w14:textId="77777777" w:rsidR="00A771B0" w:rsidRPr="00AF0B3C" w:rsidRDefault="00A771B0" w:rsidP="00A771B0">
      <w:pPr>
        <w:suppressAutoHyphens/>
        <w:spacing w:after="0" w:line="240" w:lineRule="auto"/>
        <w:ind w:firstLine="709"/>
        <w:jc w:val="both"/>
        <w:rPr>
          <w:rFonts w:ascii="Times New Roman" w:eastAsia="Times New Roman" w:hAnsi="Times New Roman" w:cs="Times New Roman"/>
          <w:bCs/>
          <w:color w:val="000000"/>
          <w:sz w:val="28"/>
          <w:szCs w:val="28"/>
          <w:shd w:val="clear" w:color="auto" w:fill="FFFFFF"/>
          <w:lang w:eastAsia="ru-RU"/>
        </w:rPr>
      </w:pPr>
    </w:p>
    <w:p w14:paraId="3F4FC4B9" w14:textId="30D27490" w:rsidR="00A771B0" w:rsidRPr="00305C53" w:rsidRDefault="00AE1868" w:rsidP="00DA3F05">
      <w:pPr>
        <w:pStyle w:val="3"/>
      </w:pPr>
      <w:r>
        <w:t xml:space="preserve"> </w:t>
      </w:r>
      <w:bookmarkStart w:id="1831" w:name="_Toc7448033"/>
      <w:r w:rsidR="00A771B0" w:rsidRPr="00305C53">
        <w:t>Рынок финансовых услуг</w:t>
      </w:r>
      <w:bookmarkEnd w:id="1831"/>
    </w:p>
    <w:p w14:paraId="723AC5D8" w14:textId="77777777" w:rsidR="00A771B0" w:rsidRPr="00AF0B3C" w:rsidRDefault="00A771B0" w:rsidP="00A771B0">
      <w:pPr>
        <w:suppressAutoHyphens/>
        <w:spacing w:after="0" w:line="240" w:lineRule="auto"/>
        <w:ind w:firstLine="709"/>
        <w:jc w:val="both"/>
        <w:rPr>
          <w:rFonts w:ascii="Times New Roman" w:hAnsi="Times New Roman" w:cs="Times New Roman"/>
          <w:b/>
          <w:i/>
          <w:sz w:val="28"/>
          <w:szCs w:val="28"/>
        </w:rPr>
      </w:pPr>
      <w:r w:rsidRPr="00305C53">
        <w:rPr>
          <w:rFonts w:ascii="Times New Roman" w:hAnsi="Times New Roman" w:cs="Times New Roman"/>
          <w:b/>
          <w:sz w:val="28"/>
          <w:szCs w:val="28"/>
        </w:rPr>
        <w:t>3.16.4.1.</w:t>
      </w:r>
      <w:r w:rsidRPr="00305C53">
        <w:rPr>
          <w:rFonts w:ascii="Times New Roman" w:hAnsi="Times New Roman" w:cs="Times New Roman"/>
          <w:b/>
          <w:bCs/>
          <w:iCs/>
          <w:sz w:val="28"/>
          <w:szCs w:val="28"/>
        </w:rPr>
        <w:t xml:space="preserve"> Состояние конкуренции: тенденции и проблемы развития конкуренции</w:t>
      </w:r>
    </w:p>
    <w:p w14:paraId="53C4EB19"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Одной из проблем</w:t>
      </w:r>
      <w:r w:rsidRPr="00AF0B3C">
        <w:rPr>
          <w:rFonts w:ascii="Times New Roman" w:hAnsi="Times New Roman" w:cs="Times New Roman"/>
          <w:color w:val="000000"/>
          <w:sz w:val="28"/>
          <w:szCs w:val="28"/>
        </w:rPr>
        <w:t xml:space="preserve">, негативно сказывающейся на состоянии конкуренции на рынке финансовых услуг в целом, по мнению ФАС России, </w:t>
      </w:r>
      <w:r w:rsidRPr="00AF0B3C">
        <w:rPr>
          <w:rFonts w:ascii="Times New Roman" w:hAnsi="Times New Roman" w:cs="Times New Roman"/>
          <w:sz w:val="28"/>
          <w:szCs w:val="28"/>
        </w:rPr>
        <w:t>является наличие избыточного государственного влияния на финансовую систему Российской Федерации.</w:t>
      </w:r>
    </w:p>
    <w:p w14:paraId="447C1332" w14:textId="77777777" w:rsidR="00A771B0" w:rsidRPr="00AF0B3C" w:rsidRDefault="00A771B0" w:rsidP="00A771B0">
      <w:pPr>
        <w:suppressAutoHyphens/>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color w:val="000000"/>
          <w:sz w:val="28"/>
          <w:szCs w:val="28"/>
        </w:rPr>
        <w:t>Наличие подобного влияния в большей степени характерно для рынка банковских услуг, на котором как на федеральном, так и, в особенности, на региональном уровнях значительную долю на рынке занимают именно крупные государственные банки. При этом возможность для ведения добросовестной конкурентной борьбы с такими банками у иных участников рынка банковских услуг практически отсутствует.</w:t>
      </w:r>
    </w:p>
    <w:p w14:paraId="66F93B54" w14:textId="77777777" w:rsidR="00A771B0" w:rsidRPr="00AF0B3C" w:rsidRDefault="00A771B0" w:rsidP="00A771B0">
      <w:pPr>
        <w:suppressAutoHyphens/>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sz w:val="28"/>
          <w:szCs w:val="28"/>
        </w:rPr>
        <w:t>Подобные обстоятельства, как отмечалось ранее, зачастую стимулируют иных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а также дискредитации конкурентов путем распространения негативной или иной информации, способной причинить им убытки. Указанная ситуация также дает крупным банкам с государственным участием</w:t>
      </w:r>
      <w:r w:rsidRPr="00AF0B3C">
        <w:rPr>
          <w:rStyle w:val="af0"/>
          <w:rFonts w:ascii="Times New Roman" w:hAnsi="Times New Roman" w:cs="Times New Roman"/>
          <w:sz w:val="28"/>
          <w:szCs w:val="28"/>
        </w:rPr>
        <w:footnoteReference w:id="23"/>
      </w:r>
      <w:r w:rsidRPr="00AF0B3C">
        <w:rPr>
          <w:rFonts w:ascii="Times New Roman" w:hAnsi="Times New Roman" w:cs="Times New Roman"/>
          <w:sz w:val="28"/>
          <w:szCs w:val="28"/>
        </w:rPr>
        <w:t xml:space="preserve"> возможность существенно снижать процентные ставки по вкладам населения при сохранении относительно высоких ставок по кредитам.</w:t>
      </w:r>
    </w:p>
    <w:p w14:paraId="0266016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целях обеспечения выравнивания условий для конкуренции между финансовыми организациями с преобладающей государственной и частной формой собственности в уставном капитале, а также в целях ограничения роста доли участия государства на финансовом рынке в первую очередь необходимо определить политику допустимого участия государства в уставном капитале финансовых организаций.</w:t>
      </w:r>
    </w:p>
    <w:p w14:paraId="1E4F7D05" w14:textId="77777777" w:rsidR="00A771B0" w:rsidRPr="00AF0B3C" w:rsidRDefault="00A771B0" w:rsidP="00A771B0">
      <w:pPr>
        <w:tabs>
          <w:tab w:val="left" w:pos="7995"/>
        </w:tabs>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Это возможно реализовать посредством введения запрета на прямое или косвенное приобретение государством и муниципальными образованиями акций и долей хозяйственных обществ, в том числе финансовых организаций, осуществляющих деятельность на товарных рынках в условиях конкуренции. Введение указанного запрета предусмотрено подпунктом «б» пункта 4 Национального плана, во исполнение которого Минэкономразвития России подготовлен соответствующий проект федерального закона. </w:t>
      </w:r>
    </w:p>
    <w:p w14:paraId="6A7BE4AF"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Еще одним негативным фактором, искажающим конкуренцию на рынке финансовых услуг, является возможность опосредованного влияния государства непосредственно на потребительский спрос.  </w:t>
      </w:r>
    </w:p>
    <w:p w14:paraId="2E01037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Так, указание в рекламе финансовых услуг на наличие государственного участия в уставном капитале финансовой организации, равно как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 может создавать у потребителей впечатление о повышенной надежности данных финансовых организаций, что в некоторых случаях может приводить к возникновению у этих финансовых организаций нерыночного преимущества.</w:t>
      </w:r>
    </w:p>
    <w:p w14:paraId="77EDAECF"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связи с этим в целях выравнивания условий осуществления деятельности на рынке финансовых услуг вне зависимости от участия в уставных капиталах хозяйствующих субъектов ФАС России предлагается комплекс мер, предусматривающий установление законодательного запрета, в том числе на:</w:t>
      </w:r>
    </w:p>
    <w:p w14:paraId="74583435"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использование в рекламе финансовых услуг и финансовой деятельности информации о наличии прямого или косвенного государственного участия в уставном капитале;</w:t>
      </w:r>
    </w:p>
    <w:p w14:paraId="76D7BC9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w:t>
      </w:r>
    </w:p>
    <w:p w14:paraId="4D6A663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Разработка соответствующих проектов федерльных законов предусмотрена пунктами 20 и 21 раздела XIV «Финансовые рынки» Дорожной карты.</w:t>
      </w:r>
    </w:p>
    <w:p w14:paraId="05DF12FD" w14:textId="77777777" w:rsidR="00A771B0" w:rsidRPr="00AF0B3C" w:rsidRDefault="00A771B0" w:rsidP="0070735B">
      <w:pPr>
        <w:suppressAutoHyphens/>
        <w:spacing w:after="0" w:line="240" w:lineRule="auto"/>
        <w:jc w:val="both"/>
        <w:rPr>
          <w:rFonts w:ascii="Times New Roman" w:hAnsi="Times New Roman" w:cs="Times New Roman"/>
          <w:sz w:val="28"/>
          <w:szCs w:val="28"/>
        </w:rPr>
      </w:pPr>
    </w:p>
    <w:p w14:paraId="59E81554" w14:textId="77777777" w:rsidR="00A771B0" w:rsidRPr="00305C53" w:rsidRDefault="00A771B0" w:rsidP="00A771B0">
      <w:pPr>
        <w:suppressAutoHyphens/>
        <w:spacing w:after="0" w:line="240" w:lineRule="auto"/>
        <w:ind w:firstLine="709"/>
        <w:jc w:val="both"/>
        <w:rPr>
          <w:rFonts w:ascii="Times New Roman" w:hAnsi="Times New Roman" w:cs="Times New Roman"/>
          <w:b/>
          <w:sz w:val="28"/>
          <w:szCs w:val="28"/>
        </w:rPr>
      </w:pPr>
      <w:r w:rsidRPr="00305C53">
        <w:rPr>
          <w:rFonts w:ascii="Times New Roman" w:hAnsi="Times New Roman" w:cs="Times New Roman"/>
          <w:b/>
          <w:sz w:val="28"/>
          <w:szCs w:val="28"/>
        </w:rPr>
        <w:t>3.16.4.2. Достигнутые результаты развития конкуренции и предложения по развитию конкуренции</w:t>
      </w:r>
    </w:p>
    <w:p w14:paraId="378711CE"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Как отмечалось ранее, в целях развития конкуренции на рынке финансовых услуг ФАС России, помимо прочего, был предложен комплекс мер, направленный на сокращение степени влияния фактора участия государства, включающий, в том числе установление запрета на использование в рекламе финансовых услуг и финансовой деятельности информации о наличии прямого или косвенного государственного участия в капитале финансовой организации.</w:t>
      </w:r>
    </w:p>
    <w:p w14:paraId="53C2E0F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этой части необходимо отметить, что в 2018 году в целях предупреждения подобной практики было подготовлено совместное письмо Банка России и ФАС России от 24.08.2018 №№ ИН-01-52/56 и ИА/67323/18, в соответствии с которым финансовым организациям, поднадзорным Банку России, при распространении информации о своих услугах, в том числе рекламного характера, не рекомендуется указывать в качестве преимущества или иным образом привлекать внимание потребителя к факту наличия государственного (муниципального) участия в финансовой организации или ее вхождения в группу лиц (банковскую группу, банковский холдинг) с иными хозяйствующими субъектами с государственным (муниципальным) участием.</w:t>
      </w:r>
    </w:p>
    <w:p w14:paraId="763CD7AA"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Издание такого письма позволило уже в 2018 году, до принятия соответствующих законодательных изменений, создать предпосылки для снижения влияния государства на рынок финансовых услуг, а также повысить роль качества и стоимости финансовых услуг при продвижении таких услуг на рынке.</w:t>
      </w:r>
    </w:p>
    <w:p w14:paraId="172A8B99"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При этом важно отметить, что по данным Банка России после издания указанного письма ряд финансовых организаций внес изменения в свои рекламные и информационные кампании, исключив указание на наличие государственного участия в своих уставных капиталах. </w:t>
      </w:r>
    </w:p>
    <w:p w14:paraId="563A235B"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Другим предложением по развитию конкуренции на рынке финансовых услуг является создание условий для предупреждения распространения на указанном рынке недобросовестных практик ведения деятельности, в том числе нарушающих антимонопольное законодательство.</w:t>
      </w:r>
    </w:p>
    <w:p w14:paraId="0F6B2B6F"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этих целях ФАС России предлагает законодательно закрепить институт обязательных заключений федерального антимонопольного органа об оценке стандартов (правил) профессиональных объединений и саморегулируемых организаций в сфере финансового рынка на предмет возможности ограничения конкуренции.</w:t>
      </w:r>
    </w:p>
    <w:p w14:paraId="1D6DFED8"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Актуальность реализации этого мероприятия связана с тем, что в настоящее время антимонопольное регулирование исходит из задач по разработке и реализации механизмов именно предупреждения возможных нарушений антимонопольного законодательства в целях сокращения возможности наступления событий, негативно влияющих на конкурентную среду на рынках, а также в целом задач по обеспечению и стимулированию практик ведения деятельности, которые бы способствовали развитию конкуренции на рынке финансовых услуг.</w:t>
      </w:r>
    </w:p>
    <w:p w14:paraId="1FD65CD1"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Разработка подобного превентивного механизма, помимо благотворного влияния на конкурентную среду, может также способствовать снижению административной нагрузки на участников рынка в связи с реализацией антимонопольными органами возложенных на них полномочий, в том числе сокращению случаев антимонопольного реагирования и наложения административных штрафов за нарушения антимонопольного законодательства.</w:t>
      </w:r>
    </w:p>
    <w:p w14:paraId="7DB3882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Разработка соответствующего проекта федерального закона предусмотрена пунктом 22 раздела XIV «Финансовые рынки» Дорожной карты.</w:t>
      </w:r>
    </w:p>
    <w:p w14:paraId="6B7C26C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Одновременно с этим ФАС России предлагает </w:t>
      </w:r>
      <w:r w:rsidRPr="00AF0B3C">
        <w:rPr>
          <w:rFonts w:ascii="Times New Roman" w:hAnsi="Times New Roman" w:cs="Times New Roman"/>
          <w:color w:val="000000"/>
          <w:sz w:val="28"/>
          <w:szCs w:val="28"/>
        </w:rPr>
        <w:t>установить механизм предупреждения возможности ограничения конкуренции при проведении процедур ликвидации и предупреждения банкротства финансовых организаций.</w:t>
      </w:r>
    </w:p>
    <w:p w14:paraId="14E860A9" w14:textId="77777777" w:rsidR="00A771B0" w:rsidRPr="00AF0B3C" w:rsidRDefault="00A771B0" w:rsidP="00A771B0">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F0B3C">
        <w:rPr>
          <w:rFonts w:ascii="Times New Roman" w:eastAsia="Times New Roman" w:hAnsi="Times New Roman" w:cs="Times New Roman"/>
          <w:color w:val="000000"/>
          <w:sz w:val="28"/>
          <w:szCs w:val="28"/>
          <w:lang w:eastAsia="ru-RU"/>
        </w:rPr>
        <w:t>Так, в определенных Федеральным законом от 26.10.2002 № 127-ФЗ «О несостоятельности (банкротстве)» случаях</w:t>
      </w:r>
      <w:r w:rsidRPr="00AF0B3C">
        <w:rPr>
          <w:rFonts w:ascii="Times New Roman" w:hAnsi="Times New Roman" w:cs="Times New Roman"/>
          <w:sz w:val="28"/>
          <w:szCs w:val="28"/>
        </w:rPr>
        <w:t xml:space="preserve"> </w:t>
      </w:r>
      <w:r w:rsidRPr="00AF0B3C">
        <w:rPr>
          <w:rFonts w:ascii="Times New Roman" w:eastAsia="Times New Roman" w:hAnsi="Times New Roman" w:cs="Times New Roman"/>
          <w:color w:val="000000"/>
          <w:sz w:val="28"/>
          <w:szCs w:val="28"/>
          <w:lang w:eastAsia="ru-RU"/>
        </w:rPr>
        <w:t xml:space="preserve">Государственная корпорация «Агентство по страхованию вкладов» (далее – АСВ) выполняет в отношении отдельных видов финансовых организаций ликвидационные процедуры и меры по предупреждению банкротства, для чего привлекает специализированные организации. </w:t>
      </w:r>
    </w:p>
    <w:p w14:paraId="31D0E812" w14:textId="42B595AD" w:rsidR="00A771B0" w:rsidRPr="00AF0B3C" w:rsidRDefault="00A771B0" w:rsidP="00A771B0">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F0B3C">
        <w:rPr>
          <w:rFonts w:ascii="Times New Roman" w:eastAsia="Times New Roman" w:hAnsi="Times New Roman" w:cs="Times New Roman"/>
          <w:color w:val="000000"/>
          <w:sz w:val="28"/>
          <w:szCs w:val="28"/>
          <w:lang w:eastAsia="ru-RU"/>
        </w:rPr>
        <w:t xml:space="preserve">На данное привлечение организаций, в том числе путем их отбора, не распространяются требования </w:t>
      </w:r>
      <w:r w:rsidR="00BC412F">
        <w:rPr>
          <w:rFonts w:ascii="Times New Roman" w:eastAsia="Times New Roman" w:hAnsi="Times New Roman" w:cs="Times New Roman"/>
          <w:color w:val="000000"/>
          <w:sz w:val="28"/>
          <w:szCs w:val="28"/>
          <w:lang w:eastAsia="ru-RU"/>
        </w:rPr>
        <w:t>З</w:t>
      </w:r>
      <w:r w:rsidRPr="00AF0B3C">
        <w:rPr>
          <w:rFonts w:ascii="Times New Roman" w:eastAsia="Times New Roman" w:hAnsi="Times New Roman" w:cs="Times New Roman"/>
          <w:color w:val="000000"/>
          <w:sz w:val="28"/>
          <w:szCs w:val="28"/>
          <w:lang w:eastAsia="ru-RU"/>
        </w:rPr>
        <w:t>акона 223-ФЗ, поскольку в рассматриваемом случае закупка соответствующих услуг осуществляется не для нужд непосредственно АСВ. В связи с этим осуществление указанных процедур с учетом конкретных обстоятельств и устанавливаемых в рамках такого привлечения организаций требований может приводить к ограничению конкуренции на соответствующих рынках, а также противоречить цели отбора – получить качественные услуги по конкурентной цене.</w:t>
      </w:r>
    </w:p>
    <w:p w14:paraId="3663C89E" w14:textId="77777777" w:rsidR="00A771B0" w:rsidRPr="00AF0B3C" w:rsidRDefault="00A771B0" w:rsidP="00A771B0">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F0B3C">
        <w:rPr>
          <w:rFonts w:ascii="Times New Roman" w:eastAsia="Times New Roman" w:hAnsi="Times New Roman" w:cs="Times New Roman"/>
          <w:color w:val="000000"/>
          <w:sz w:val="28"/>
          <w:szCs w:val="28"/>
          <w:lang w:eastAsia="ru-RU"/>
        </w:rPr>
        <w:t>В связи с этим ФАС России предлагает установить необходимость согласования с антимонопольным органом документов, устанавливающих порядок проведения государственной корпорацией АСВ отбора специализированных организаций, являющихся финансовыми организациями в определении антимонопольного законодательства, либо оказывающих взаимозаменяемые с ними услуги, а также организаций, осуществляющих деятельность по взысканию просроченной задолженности для оказания услуг при ликвидации финансовых организаций и предупреждения банкротства финансовых организаций.</w:t>
      </w:r>
    </w:p>
    <w:p w14:paraId="2D141337" w14:textId="77777777" w:rsidR="00A771B0" w:rsidRPr="00AF0B3C" w:rsidRDefault="00A771B0" w:rsidP="00A771B0">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F0B3C">
        <w:rPr>
          <w:rFonts w:ascii="Times New Roman" w:eastAsia="Times New Roman" w:hAnsi="Times New Roman" w:cs="Times New Roman"/>
          <w:color w:val="000000"/>
          <w:sz w:val="28"/>
          <w:szCs w:val="28"/>
          <w:lang w:eastAsia="ru-RU"/>
        </w:rPr>
        <w:t xml:space="preserve">Необходимо отметить, что в настоящее время в статье 12 Федерального закона от 23.12.2003 № 177-ФЗ «О страховании вкладов физических лиц в банках Российской Федерации» закреплена аналогичная обязанность АСВ по согласованию с антимонопольным органом Порядка конкурсного отбора банков-агентов, которые осуществляют прием от вкладчиков заявлений о выплате возмещения по вкладам и иных необходимых документов, а также выплату возмещения по вкладам. </w:t>
      </w:r>
    </w:p>
    <w:p w14:paraId="7631F932" w14:textId="77777777" w:rsidR="00A771B0" w:rsidRPr="00AF0B3C" w:rsidRDefault="00A771B0" w:rsidP="00A771B0">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Разработка соответствующего проекта федерального закона предусмотрена пунктом 23 раздела XIV «Финансовые рынки» Дорожной карты.</w:t>
      </w:r>
    </w:p>
    <w:p w14:paraId="7631F9A8" w14:textId="77777777" w:rsidR="00A771B0" w:rsidRPr="00076549" w:rsidRDefault="00A771B0" w:rsidP="00A771B0">
      <w:pPr>
        <w:suppressAutoHyphens/>
        <w:spacing w:after="0" w:line="240" w:lineRule="auto"/>
        <w:ind w:firstLine="709"/>
        <w:jc w:val="both"/>
        <w:rPr>
          <w:rFonts w:ascii="Times New Roman" w:hAnsi="Times New Roman" w:cs="Times New Roman"/>
          <w:sz w:val="26"/>
          <w:szCs w:val="26"/>
        </w:rPr>
      </w:pPr>
    </w:p>
    <w:p w14:paraId="7643A407" w14:textId="77777777" w:rsidR="005E5F6F" w:rsidRPr="00A771B0" w:rsidRDefault="005E5F6F" w:rsidP="00A771B0">
      <w:pPr>
        <w:keepNext/>
        <w:keepLines/>
        <w:spacing w:before="40" w:after="0"/>
        <w:outlineLvl w:val="2"/>
        <w:rPr>
          <w:rFonts w:ascii="Times New Roman" w:eastAsiaTheme="majorEastAsia" w:hAnsi="Times New Roman" w:cs="Times New Roman"/>
          <w:vanish/>
          <w:sz w:val="28"/>
          <w:szCs w:val="28"/>
        </w:rPr>
      </w:pPr>
    </w:p>
    <w:p w14:paraId="1BF8A671" w14:textId="77777777" w:rsidR="001714BD" w:rsidRPr="000A54DA" w:rsidRDefault="00883C8E" w:rsidP="00EF64DA">
      <w:pPr>
        <w:pStyle w:val="2"/>
      </w:pPr>
      <w:bookmarkStart w:id="1832" w:name="_Toc7448034"/>
      <w:r w:rsidRPr="001B2F4E">
        <w:t>В сфере природных ресурсов (недропользование, водопользование, лесное и охотничье хозяйства)</w:t>
      </w:r>
      <w:bookmarkStart w:id="1833" w:name="_Toc1061947"/>
      <w:bookmarkStart w:id="1834" w:name="_Toc1062063"/>
      <w:bookmarkStart w:id="1835" w:name="_Toc1062185"/>
      <w:bookmarkStart w:id="1836" w:name="_Toc1062298"/>
      <w:bookmarkStart w:id="1837" w:name="_Toc2589791"/>
      <w:bookmarkStart w:id="1838" w:name="_Toc2589924"/>
      <w:bookmarkStart w:id="1839" w:name="_Toc2590063"/>
      <w:bookmarkStart w:id="1840" w:name="_Toc3393257"/>
      <w:bookmarkStart w:id="1841" w:name="_Toc3399266"/>
      <w:bookmarkStart w:id="1842" w:name="_Toc3399416"/>
      <w:bookmarkStart w:id="1843" w:name="_Toc3399561"/>
      <w:bookmarkStart w:id="1844" w:name="_Toc3399753"/>
      <w:bookmarkStart w:id="1845" w:name="_Toc3399897"/>
      <w:bookmarkStart w:id="1846" w:name="_Toc3400041"/>
      <w:bookmarkStart w:id="1847" w:name="_Toc3400360"/>
      <w:bookmarkStart w:id="1848" w:name="_Toc3400485"/>
      <w:bookmarkStart w:id="1849" w:name="_Toc3400605"/>
      <w:bookmarkStart w:id="1850" w:name="_Toc3557079"/>
      <w:bookmarkStart w:id="1851" w:name="_Toc3559284"/>
      <w:bookmarkStart w:id="1852" w:name="_Toc3914495"/>
      <w:bookmarkStart w:id="1853" w:name="_Toc3914617"/>
      <w:bookmarkStart w:id="1854" w:name="_Toc3915603"/>
      <w:bookmarkStart w:id="1855" w:name="_Toc3916210"/>
      <w:bookmarkStart w:id="1856" w:name="_Toc3917120"/>
      <w:bookmarkStart w:id="1857" w:name="_Toc3917770"/>
      <w:bookmarkStart w:id="1858" w:name="_Toc3988526"/>
      <w:bookmarkStart w:id="1859" w:name="_Toc3989535"/>
      <w:bookmarkStart w:id="1860" w:name="_Toc3990179"/>
      <w:bookmarkStart w:id="1861" w:name="_Toc3991755"/>
      <w:bookmarkStart w:id="1862" w:name="_Toc3992660"/>
      <w:bookmarkStart w:id="1863" w:name="_Toc4000427"/>
      <w:bookmarkStart w:id="1864" w:name="_Toc4426423"/>
      <w:bookmarkStart w:id="1865" w:name="_Toc4426553"/>
      <w:bookmarkStart w:id="1866" w:name="_Toc4426736"/>
      <w:bookmarkStart w:id="1867" w:name="_Toc4426865"/>
      <w:bookmarkStart w:id="1868" w:name="_Toc4428463"/>
      <w:bookmarkStart w:id="1869" w:name="_Toc4429894"/>
      <w:bookmarkStart w:id="1870" w:name="_Toc4430023"/>
      <w:bookmarkStart w:id="1871" w:name="_Toc4430149"/>
      <w:bookmarkStart w:id="1872" w:name="_Toc4430274"/>
      <w:bookmarkStart w:id="1873" w:name="_Toc4430397"/>
      <w:bookmarkStart w:id="1874" w:name="_Toc4430519"/>
      <w:bookmarkStart w:id="1875" w:name="_Toc4430640"/>
      <w:bookmarkStart w:id="1876" w:name="_Toc4431436"/>
      <w:bookmarkStart w:id="1877" w:name="_Toc4431555"/>
      <w:bookmarkStart w:id="1878" w:name="_Toc4431676"/>
      <w:bookmarkStart w:id="1879" w:name="_Toc4431797"/>
      <w:bookmarkStart w:id="1880" w:name="_Toc4433496"/>
      <w:bookmarkStart w:id="1881" w:name="_Toc4433758"/>
      <w:bookmarkStart w:id="1882" w:name="_Toc4433879"/>
      <w:bookmarkStart w:id="1883" w:name="_Toc4434427"/>
      <w:bookmarkStart w:id="1884" w:name="_Toc4436272"/>
      <w:bookmarkStart w:id="1885" w:name="_Toc4436394"/>
      <w:bookmarkStart w:id="1886" w:name="_Toc4436515"/>
      <w:bookmarkStart w:id="1887" w:name="_Toc4436783"/>
      <w:bookmarkStart w:id="1888" w:name="_Toc4436951"/>
      <w:bookmarkStart w:id="1889" w:name="_Toc4437174"/>
      <w:bookmarkStart w:id="1890" w:name="_Toc4437409"/>
      <w:bookmarkStart w:id="1891" w:name="_Toc4438171"/>
      <w:bookmarkStart w:id="1892" w:name="_Toc4438416"/>
      <w:bookmarkStart w:id="1893" w:name="_Toc4438535"/>
      <w:bookmarkStart w:id="1894" w:name="_Toc4438654"/>
      <w:bookmarkStart w:id="1895" w:name="_Toc4491407"/>
      <w:bookmarkStart w:id="1896" w:name="_Toc4492968"/>
      <w:bookmarkStart w:id="1897" w:name="_Toc4588599"/>
      <w:bookmarkStart w:id="1898" w:name="_Toc4592952"/>
      <w:bookmarkStart w:id="1899" w:name="_Toc4593077"/>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832"/>
    </w:p>
    <w:p w14:paraId="0FF92218" w14:textId="77777777" w:rsidR="00CD3F62" w:rsidRPr="00CD3F62" w:rsidRDefault="00CD3F62"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900" w:name="_Toc7189822"/>
      <w:bookmarkStart w:id="1901" w:name="_Toc7190052"/>
      <w:bookmarkStart w:id="1902" w:name="_Toc7190406"/>
      <w:bookmarkStart w:id="1903" w:name="_Toc7190855"/>
      <w:bookmarkStart w:id="1904" w:name="_Toc7191605"/>
      <w:bookmarkStart w:id="1905" w:name="_Toc7447230"/>
      <w:bookmarkStart w:id="1906" w:name="_Toc7448035"/>
      <w:bookmarkEnd w:id="1900"/>
      <w:bookmarkEnd w:id="1901"/>
      <w:bookmarkEnd w:id="1902"/>
      <w:bookmarkEnd w:id="1903"/>
      <w:bookmarkEnd w:id="1904"/>
      <w:bookmarkEnd w:id="1905"/>
      <w:bookmarkEnd w:id="1906"/>
    </w:p>
    <w:p w14:paraId="335C4E0F" w14:textId="77777777" w:rsidR="00CD3F62" w:rsidRPr="00CD3F62" w:rsidRDefault="00CD3F62"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907" w:name="_Toc7189823"/>
      <w:bookmarkStart w:id="1908" w:name="_Toc7190053"/>
      <w:bookmarkStart w:id="1909" w:name="_Toc7190407"/>
      <w:bookmarkStart w:id="1910" w:name="_Toc7190856"/>
      <w:bookmarkStart w:id="1911" w:name="_Toc7191606"/>
      <w:bookmarkStart w:id="1912" w:name="_Toc7447231"/>
      <w:bookmarkStart w:id="1913" w:name="_Toc7448036"/>
      <w:bookmarkEnd w:id="1907"/>
      <w:bookmarkEnd w:id="1908"/>
      <w:bookmarkEnd w:id="1909"/>
      <w:bookmarkEnd w:id="1910"/>
      <w:bookmarkEnd w:id="1911"/>
      <w:bookmarkEnd w:id="1912"/>
      <w:bookmarkEnd w:id="1913"/>
    </w:p>
    <w:p w14:paraId="1E0B83AE" w14:textId="77777777" w:rsidR="00BB7A44" w:rsidRPr="00BB7A44" w:rsidRDefault="00BB7A44" w:rsidP="00BB7A44">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914" w:name="_Toc7191607"/>
      <w:bookmarkStart w:id="1915" w:name="_Toc7447232"/>
      <w:bookmarkStart w:id="1916" w:name="_Toc7448037"/>
      <w:bookmarkEnd w:id="1914"/>
      <w:bookmarkEnd w:id="1915"/>
      <w:bookmarkEnd w:id="1916"/>
    </w:p>
    <w:p w14:paraId="0D117E3C" w14:textId="77777777" w:rsidR="00BB7A44" w:rsidRPr="00BB7A44" w:rsidRDefault="00BB7A44" w:rsidP="00BB7A44">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917" w:name="_Toc7191608"/>
      <w:bookmarkStart w:id="1918" w:name="_Toc7447233"/>
      <w:bookmarkStart w:id="1919" w:name="_Toc7448038"/>
      <w:bookmarkEnd w:id="1917"/>
      <w:bookmarkEnd w:id="1918"/>
      <w:bookmarkEnd w:id="1919"/>
    </w:p>
    <w:p w14:paraId="2D16074E" w14:textId="3AC75B97" w:rsidR="00883C8E" w:rsidRDefault="006C2ABA" w:rsidP="00BB7A44">
      <w:pPr>
        <w:pStyle w:val="3"/>
      </w:pPr>
      <w:r>
        <w:t xml:space="preserve"> </w:t>
      </w:r>
      <w:bookmarkStart w:id="1920" w:name="_Toc7448039"/>
      <w:r w:rsidR="00883C8E" w:rsidRPr="001B2F4E">
        <w:t>Состояние конкуренции: тенденции и проблемы</w:t>
      </w:r>
      <w:bookmarkStart w:id="1921" w:name="_Toc6834370"/>
      <w:bookmarkStart w:id="1922" w:name="_Toc6834657"/>
      <w:bookmarkStart w:id="1923" w:name="_Toc6834860"/>
      <w:bookmarkEnd w:id="1921"/>
      <w:bookmarkEnd w:id="1922"/>
      <w:bookmarkEnd w:id="1923"/>
      <w:bookmarkEnd w:id="1920"/>
    </w:p>
    <w:p w14:paraId="41231566" w14:textId="77777777" w:rsidR="000A54DA" w:rsidRDefault="000A54DA" w:rsidP="000A54DA">
      <w:pPr>
        <w:rPr>
          <w:lang w:eastAsia="ru-RU"/>
        </w:rPr>
      </w:pPr>
    </w:p>
    <w:p w14:paraId="79F8D0A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Одной из проблем в природоресурсном блоке (рыболовство/рыбоводство, недропользование, водопользование, лесное и охотничье хозяйства) является то, что законодательством не обеспечен в должной мере равный доступ предпринимателей к правам на природные ресурсы. </w:t>
      </w:r>
    </w:p>
    <w:p w14:paraId="5968A3E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Также препятствует эффективному распределению прав на природные ресурсы проведение торгов в «бумажной» форме. Основной формой предоставления неограниченному кругу лиц возможности приобретения прав на природные ресурсы в случаях, когда предусмотрено проведение конкурентных процедур, остаются «бумажные» торги.</w:t>
      </w:r>
    </w:p>
    <w:p w14:paraId="1E63BE1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обеспечение условий конкуренции на право пользования природными ресурсами, напрямую зависит от обеспечения равного доступа к их распределению, а также от прозрачности такого распределения, что в свою очередь может быть обеспечено только за счет проведения прозрачных и публичных конкурентных процедур.</w:t>
      </w:r>
    </w:p>
    <w:p w14:paraId="7380398A" w14:textId="51965ABE"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По мнению ФАС России, решение проблем доступности и прозрачности предоставления права на природные ресурсы заключается в установлении понятного единого подхода к государственному регулированию реализации права пользования природными ресурсами, первым шагом к которому должна стать унификация процедур обязательных торгов в рамках действующего нормативного правового акта, устанавливающего порядок организации и проведения торгов в форме электронного аукциона на электронных площадках, функционирующих в соответствии с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w:t>
      </w:r>
    </w:p>
    <w:p w14:paraId="192C646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практике антимонопольного органа по рассмотрению жалоб на действия организаторов торгов имеются случаи, когда организатором торгов создаются препятствия для физического доступа к участию в аукционе (ограничивающие возможность прохода на территорию и регистрацию участника в советующем журнале аукциона). </w:t>
      </w:r>
    </w:p>
    <w:p w14:paraId="5713EA2D" w14:textId="77777777" w:rsidR="000A54DA" w:rsidRPr="000A54DA" w:rsidRDefault="000A54DA" w:rsidP="000A54DA">
      <w:pPr>
        <w:spacing w:after="0" w:line="240" w:lineRule="auto"/>
        <w:ind w:firstLine="851"/>
        <w:contextualSpacing/>
        <w:jc w:val="both"/>
        <w:rPr>
          <w:rFonts w:ascii="Times New Roman" w:hAnsi="Times New Roman" w:cs="Times New Roman"/>
          <w:sz w:val="28"/>
          <w:szCs w:val="28"/>
        </w:rPr>
      </w:pPr>
      <w:r w:rsidRPr="000A54DA">
        <w:rPr>
          <w:rFonts w:ascii="Times New Roman" w:hAnsi="Times New Roman" w:cs="Times New Roman"/>
          <w:sz w:val="28"/>
          <w:szCs w:val="28"/>
        </w:rPr>
        <w:t>Установление порядка проведения торгов в форме электронного аукциона на электронных площадках позволит повысить конфиденциальность участников торгов, минимизировать субъективный фактор при доступе к торгам, при оценке заявок со стороны организаторов торгов, а также обеспечит информационную прозрачность распределения прав на природные ресурсы, что в совокупности создаст максимально благоприятную конкурентную среду.</w:t>
      </w:r>
    </w:p>
    <w:p w14:paraId="320BB3BD" w14:textId="4683CDBE" w:rsidR="000A54DA" w:rsidRPr="000A54DA" w:rsidRDefault="000A54DA" w:rsidP="000A54DA">
      <w:pPr>
        <w:spacing w:after="0" w:line="240" w:lineRule="auto"/>
        <w:ind w:firstLine="851"/>
        <w:contextualSpacing/>
        <w:jc w:val="both"/>
        <w:rPr>
          <w:rFonts w:ascii="Times New Roman" w:hAnsi="Times New Roman" w:cs="Times New Roman"/>
          <w:sz w:val="28"/>
          <w:szCs w:val="28"/>
        </w:rPr>
      </w:pPr>
      <w:r w:rsidRPr="000A54DA">
        <w:rPr>
          <w:rFonts w:ascii="Times New Roman" w:hAnsi="Times New Roman" w:cs="Times New Roman"/>
          <w:sz w:val="28"/>
          <w:szCs w:val="28"/>
        </w:rPr>
        <w:t xml:space="preserve">Предложение ФАС России по переводу в прирородоресурсном блоке конкурсов и аукционов на аукционы в электронной форме на площадках, функционирующих в соответствии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 поддержано Правительством Российской Федерации и нашло свое отражение в дорожных картах в сфере природных ресурсов и рыбохозяйственном комплексе, утвержденных распоряжением Правительства Р</w:t>
      </w:r>
      <w:r w:rsidR="00BC412F">
        <w:rPr>
          <w:rFonts w:ascii="Times New Roman" w:hAnsi="Times New Roman" w:cs="Times New Roman"/>
          <w:sz w:val="28"/>
          <w:szCs w:val="28"/>
        </w:rPr>
        <w:t xml:space="preserve">оссийской </w:t>
      </w:r>
      <w:r w:rsidRPr="000A54DA">
        <w:rPr>
          <w:rFonts w:ascii="Times New Roman" w:hAnsi="Times New Roman" w:cs="Times New Roman"/>
          <w:sz w:val="28"/>
          <w:szCs w:val="28"/>
        </w:rPr>
        <w:t>Ф</w:t>
      </w:r>
      <w:r w:rsidR="00BC412F">
        <w:rPr>
          <w:rFonts w:ascii="Times New Roman" w:hAnsi="Times New Roman" w:cs="Times New Roman"/>
          <w:sz w:val="28"/>
          <w:szCs w:val="28"/>
        </w:rPr>
        <w:t>едерации</w:t>
      </w:r>
      <w:r w:rsidRPr="000A54DA">
        <w:rPr>
          <w:rFonts w:ascii="Times New Roman" w:hAnsi="Times New Roman" w:cs="Times New Roman"/>
          <w:sz w:val="28"/>
          <w:szCs w:val="28"/>
        </w:rPr>
        <w:t xml:space="preserve"> от 16.08.2018 № 1697-р.</w:t>
      </w:r>
    </w:p>
    <w:p w14:paraId="05FB2903"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r w:rsidRPr="000A54DA">
        <w:rPr>
          <w:rFonts w:ascii="Times New Roman" w:hAnsi="Times New Roman" w:cs="Times New Roman"/>
          <w:sz w:val="28"/>
          <w:szCs w:val="28"/>
        </w:rPr>
        <w:t>В 2017-2018 гг., в том числе по инициативе и при непосредственном участии ФАС России, процедуры электронных аукционов были введены в сферах рыбоводства (аквакультуры) и лесного хозяйства.</w:t>
      </w:r>
    </w:p>
    <w:p w14:paraId="0F611948"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p>
    <w:p w14:paraId="1B1393AF" w14:textId="77777777" w:rsidR="000A54DA" w:rsidRPr="000A54DA" w:rsidRDefault="000A54DA" w:rsidP="000A54DA">
      <w:pPr>
        <w:spacing w:after="0" w:line="240" w:lineRule="auto"/>
        <w:ind w:firstLine="709"/>
        <w:jc w:val="center"/>
        <w:rPr>
          <w:rFonts w:ascii="Times New Roman" w:hAnsi="Times New Roman" w:cs="Times New Roman"/>
          <w:i/>
          <w:sz w:val="28"/>
          <w:szCs w:val="28"/>
        </w:rPr>
      </w:pPr>
    </w:p>
    <w:p w14:paraId="591560B6"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В сфере недропользования</w:t>
      </w:r>
    </w:p>
    <w:p w14:paraId="242C128A"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(геологическое изучение, разведка и добыча полезных ископаемых)</w:t>
      </w:r>
    </w:p>
    <w:p w14:paraId="49D00B9A" w14:textId="77777777" w:rsidR="000A54DA" w:rsidRPr="000A54DA" w:rsidRDefault="000A54DA" w:rsidP="000A54DA">
      <w:pPr>
        <w:spacing w:after="0" w:line="240" w:lineRule="auto"/>
        <w:ind w:firstLine="709"/>
        <w:contextualSpacing/>
        <w:jc w:val="both"/>
        <w:rPr>
          <w:rFonts w:ascii="Times New Roman" w:hAnsi="Times New Roman" w:cs="Times New Roman"/>
          <w:sz w:val="26"/>
          <w:szCs w:val="26"/>
        </w:rPr>
      </w:pPr>
    </w:p>
    <w:p w14:paraId="4D59FA1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Субъекты Российской Федерации самостоятельно принимают свои законы и иные нормативные правовые акты в целях регулирования отношений недропользования на участках недр местного значения.</w:t>
      </w:r>
    </w:p>
    <w:p w14:paraId="0FDD55A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этой связи, нормативные акты субъектов Российской Федерации предусматривают отдельные, отличающиеся друг от друга порядки организации и проведения процедур торгов на право пользования участками недр местного значения, включая общераспространенные полезные ископаемые, в том числе: </w:t>
      </w:r>
    </w:p>
    <w:p w14:paraId="392C7C3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способы и сроки информационного обеспечения торгов, например, в различных СМИ или на сайтах в сети «Интернет»;</w:t>
      </w:r>
    </w:p>
    <w:p w14:paraId="7AA6A79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подачи заявок на участие в торгах, в том числе предусматривающие различные требования к составу и оформлению документов, представляемых претендентами на участие в торгах при подаче заявок;</w:t>
      </w:r>
    </w:p>
    <w:p w14:paraId="66793D7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особенности допуска/недопуска к участию в торгах, предполагающие различные требования к участникам торгов, основания для отказа в допуске к торгам;</w:t>
      </w:r>
    </w:p>
    <w:p w14:paraId="54384C8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заключения договоров по результатам торгов, предполагающие, например, существенно отличающиеся сроки заключения договоров и др.</w:t>
      </w:r>
    </w:p>
    <w:p w14:paraId="0EDBF33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Отсутствие единой процедуры торгов на право пользования участками недр, осложняет доступ потенциальных пользователей к участию в таких торгах из одного субъекта Российской Федерации в другом. Многообразие процедур проведения торгов, а также непрозрачность их проведения негативно сказывается на развитии конкуренции в отрасли.</w:t>
      </w:r>
    </w:p>
    <w:p w14:paraId="270F471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При этом нормативные правовые акты, регулирующие процедуры торгов в указанной сфере, не предусматривают их проведение в электронной форме, что в существенной степени сужает круг участников торгов в связи с территориальной удаленностью отдельных субъектов Российской Федерации и невозможностью обеспечения доступности прозрачности процедур торгов в масштабах страны. </w:t>
      </w:r>
    </w:p>
    <w:p w14:paraId="10275F0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действующем законодательстве о недрах отсутствует конкурентный порядок предоставления прав на участки недр в отдельных областях недропользования. Отсутствие конкурентного порядка предоставления прав в сфере недропользования характерно как для геологического изучения, так и для разведки добычи полезных ископаемых.</w:t>
      </w:r>
    </w:p>
    <w:p w14:paraId="51764ED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Одновременно, действующая редакция Закона о недрах предусматривает основание возникновения права пользования участками недр также без проведения аукциона при установлении факта открытия месторождения полезных ископаемых пользователем недр, проводившим работы по геологическому изучению недр такого участка, для разведки и добычи полезных ископаемых открытого месторождения </w:t>
      </w:r>
    </w:p>
    <w:p w14:paraId="42BA5A4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У пользователя недр, проводившего геологическое изучение недр, при установлении факта открытия месторождения полезных ископаемых, возникает преимущественное право на их разведку и добычу, без участия в конкурентной процедуре отбора как на стадии получения права на геологическое изучение, так и на стадии - получения права на разведку и добычу.</w:t>
      </w:r>
    </w:p>
    <w:p w14:paraId="0226320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У пользователя недр, проводившего геологическое изучение недр, при установлении факта открытия месторождения полезных ископаемых, возникает преимущественное право на их разведку и добычу, без участия в конкурентной процедуре отбора как на стадии получения права на геологическое изучение, так и на стадии - получения права на разведку и добычу.</w:t>
      </w:r>
    </w:p>
    <w:p w14:paraId="0E5A276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Соответствующие перечни участков недр, на основании которых предоставляется право пользования недрами без проведения конкурентного порядка, либо не подлежат публикации в открытых источниках информации, либо подлежат публикации в газете или сайте органа власти.</w:t>
      </w:r>
    </w:p>
    <w:p w14:paraId="33A5C99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ФАС России полагает необходимым пересмотреть действующий порядок предоставления прав на пользование недрами, предусмотрев конкурентный порядок предоставления в пользование участков недр для целей геологического изучения путем установления обязанности по публикации информации о подаче заявки на получение прав на конкретный участок недр и предоставления возможности широкому кругу лиц, потенциально заинтересованных в предоставлении прав на пользование недрами, подать соответствующую заявку в установленный для этого срок. При этом в случае, когда несколько субъектов предпринимательской деятельности будут претендовать одновременно на один участок недр, установить конкурентный порядок предоставления в пользование такого участка недр. </w:t>
      </w:r>
    </w:p>
    <w:p w14:paraId="7A32D74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3. Для участков недр федерального значения континентального шельфа, а также на участках недр федерального значения, расположенных на территории Российской Федерации и простирающихся на ее континентальный шельф, установлен особый субъектный состав пользователей недр, который, согласно Закону о недрах, выражается в ограничении доступа к ним негосударственным компаниям.</w:t>
      </w:r>
    </w:p>
    <w:p w14:paraId="0B78C41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Помимо этого, преимущественное право в области геологического изучения участков недр согласно действующему законодательству в ряде случаев предоставлено федеральным геологическим компаниям.</w:t>
      </w:r>
    </w:p>
    <w:p w14:paraId="33065F9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К примеру, действующее законодательство в сфере недропользования не во всех случаях предполагает формирование участков недр для геологического изучения, что также дает право на бесконкурентной основе получить на них права сначала на геологическое изучение, а потом, в случае открытия месторождения полезных ископаемых, право на добычу и разведку.</w:t>
      </w:r>
    </w:p>
    <w:p w14:paraId="168D420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При этом для федеральных геологических компаний, помимо отсутствия конкурентной процедуры при предоставлении в ряде случае прав на геологическое изучение, такое право дается без ограничения по количеству и площади участков недр.</w:t>
      </w:r>
    </w:p>
    <w:p w14:paraId="4429CB4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Подобные условия могут явиться причиной нарастания государственно-монополистического положения государственных компаний, что приведет к усилению роли монополий и ухудшению состояния конкуренции на рынке.</w:t>
      </w:r>
    </w:p>
    <w:p w14:paraId="1268FF86" w14:textId="681D3D1B"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Такие нормы действующего законодательства противоречат одному из основополагающих принципов государственной политики по развитию конкуренции, определенных Президентом Российской Федерации в Указе </w:t>
      </w:r>
      <w:r w:rsidR="00BC412F">
        <w:rPr>
          <w:rFonts w:ascii="Times New Roman" w:hAnsi="Times New Roman" w:cs="Times New Roman"/>
          <w:sz w:val="28"/>
          <w:szCs w:val="28"/>
        </w:rPr>
        <w:t xml:space="preserve">              </w:t>
      </w:r>
      <w:r w:rsidRPr="000A54DA">
        <w:rPr>
          <w:rFonts w:ascii="Times New Roman" w:hAnsi="Times New Roman" w:cs="Times New Roman"/>
          <w:sz w:val="28"/>
          <w:szCs w:val="28"/>
        </w:rPr>
        <w:t>№ 618, предполагающее сокращение доли хозяйствующих субъектов, учреждаемых или контролируемых государством, в общем количестве хозяйствующих субъектов, осуществляющих деятельность на товарных рынках.</w:t>
      </w:r>
    </w:p>
    <w:p w14:paraId="611F7425"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Дополнительной мерой, направленной на уменьшение доли государственных и муниципальных организаций в сфере недропользования может являться обеспечение допуска негосударственных компаний, к континентальному шельфу с установлением определенных условий и требований, а также исключение из действующего законодательства каких-либо преимущественных положений для государственных компаний, в том числе федеральных геологических компаний.</w:t>
      </w:r>
    </w:p>
    <w:p w14:paraId="0EB79FB0" w14:textId="77777777" w:rsidR="000A54DA" w:rsidRPr="000A54DA" w:rsidRDefault="000A54DA" w:rsidP="000A54DA">
      <w:pPr>
        <w:rPr>
          <w:lang w:eastAsia="ru-RU"/>
        </w:rPr>
      </w:pPr>
    </w:p>
    <w:p w14:paraId="3575DA29" w14:textId="77777777" w:rsidR="00883C8E" w:rsidRDefault="006C2ABA" w:rsidP="00DA3F05">
      <w:pPr>
        <w:pStyle w:val="3"/>
      </w:pPr>
      <w:r>
        <w:t xml:space="preserve"> </w:t>
      </w:r>
      <w:bookmarkStart w:id="1924" w:name="_Toc7448040"/>
      <w:r w:rsidR="00883C8E" w:rsidRPr="001B2F4E">
        <w:t>Достигнутые результаты развития конкуренции и предложения по развитию конкуренции</w:t>
      </w:r>
      <w:bookmarkStart w:id="1925" w:name="_Toc6834371"/>
      <w:bookmarkStart w:id="1926" w:name="_Toc6834658"/>
      <w:bookmarkStart w:id="1927" w:name="_Toc6834861"/>
      <w:bookmarkEnd w:id="1925"/>
      <w:bookmarkEnd w:id="1926"/>
      <w:bookmarkEnd w:id="1927"/>
      <w:bookmarkEnd w:id="1924"/>
    </w:p>
    <w:p w14:paraId="053F2BB8" w14:textId="77777777" w:rsidR="000A54DA" w:rsidRDefault="000A54DA" w:rsidP="000A54DA">
      <w:pPr>
        <w:rPr>
          <w:lang w:eastAsia="ru-RU"/>
        </w:rPr>
      </w:pPr>
    </w:p>
    <w:p w14:paraId="637CD6A2" w14:textId="77777777" w:rsidR="000A54DA" w:rsidRDefault="000A54DA" w:rsidP="000A54DA">
      <w:pPr>
        <w:rPr>
          <w:lang w:eastAsia="ru-RU"/>
        </w:rPr>
      </w:pPr>
    </w:p>
    <w:p w14:paraId="4742E5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сфере природных ресурсов (недропользование, водопользование, лесное и охотничье хозяйства), предусматривающий следующие мероприятия: </w:t>
      </w:r>
    </w:p>
    <w:p w14:paraId="6C7711A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унификация торгов на право предоставления пользования природными ресурсами, предусматривающая в том числе: </w:t>
      </w:r>
    </w:p>
    <w:p w14:paraId="2EEE5E76"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переход торгов в форме конкурса и аукциона на аукционы в электронной форме на электронных площадках, функционирующих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сферах недропользования, водопользования, охотничьего хозяйства;</w:t>
      </w:r>
    </w:p>
    <w:p w14:paraId="09AAA05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предоставления права пользования природными ресурсами лицу, чье предложение было предшествующим предложению победителя аукциона в электронной форме, в случае отказа победителя от заключения договора (неуплаты окончательного размера разового платежа);</w:t>
      </w:r>
    </w:p>
    <w:p w14:paraId="71D5404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(заключение договора) предоставления права пользования природными ресурсами единственному участнику аукциона в электронной форме.</w:t>
      </w:r>
    </w:p>
    <w:p w14:paraId="1D0EEEF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закрепление конкурентного порядка предоставления в пользование природных ресурсов путем проведения аукционов в электронной форме в случаях, когда несколько хозяйствующих субъектов претендует на один объект природных ресурсов;</w:t>
      </w:r>
    </w:p>
    <w:p w14:paraId="60F2E64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проработка вопроса о внесении изменений в нормативные правовые акты, предусматривающие состязательность хозяйствующих субъектов при предоставлении прав пользования водными объектами в конкурентном порядке;</w:t>
      </w:r>
    </w:p>
    <w:p w14:paraId="61791C7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создание реестра недобросовестных участников торгов в сферах недропользования, водопользования, лесного и охотничьего хозяйства и пользователей природными ресурсами, а также разработка альтернативных способов предупреждения действий указанных лиц;</w:t>
      </w:r>
    </w:p>
    <w:p w14:paraId="7E46DA6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установление единых условий, дающих преимущественное право при предоставлении права пользования природными ресурсами на новый срок;</w:t>
      </w:r>
    </w:p>
    <w:p w14:paraId="7F365A7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проведение работы по снятию административных барьеров в сфере природопользования;</w:t>
      </w:r>
    </w:p>
    <w:p w14:paraId="6339838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подготовка предложений о реализации древесины, полученной государственными учреждениями при рубках лесных насаждений, на товарных биржах. </w:t>
      </w:r>
    </w:p>
    <w:p w14:paraId="307805C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Реализация указанных мероприятий будет способствовать созданию условий для развития конкуренции в сфере предоставления в пользование природных ресурсов. </w:t>
      </w:r>
    </w:p>
    <w:p w14:paraId="07833396" w14:textId="77777777" w:rsidR="000A54DA" w:rsidRPr="000A54DA" w:rsidRDefault="000A54DA" w:rsidP="000A54DA">
      <w:pPr>
        <w:rPr>
          <w:lang w:eastAsia="ru-RU"/>
        </w:rPr>
      </w:pPr>
    </w:p>
    <w:p w14:paraId="4F5EB81D" w14:textId="77777777" w:rsidR="000A54DA" w:rsidRPr="000A54DA" w:rsidRDefault="000A54DA" w:rsidP="000A54DA">
      <w:pPr>
        <w:rPr>
          <w:lang w:eastAsia="ru-RU"/>
        </w:rPr>
      </w:pPr>
    </w:p>
    <w:p w14:paraId="7FCA1A55" w14:textId="77777777" w:rsidR="000A54DA" w:rsidRPr="000A54DA" w:rsidRDefault="00883C8E" w:rsidP="00EF64DA">
      <w:pPr>
        <w:pStyle w:val="2"/>
      </w:pPr>
      <w:bookmarkStart w:id="1928" w:name="_Toc7448041"/>
      <w:r w:rsidRPr="001B2F4E">
        <w:t>В Рыбохозяйственном комплексе</w:t>
      </w:r>
      <w:bookmarkStart w:id="1929" w:name="_Toc1061951"/>
      <w:bookmarkStart w:id="1930" w:name="_Toc1062067"/>
      <w:bookmarkStart w:id="1931" w:name="_Toc1062189"/>
      <w:bookmarkStart w:id="1932" w:name="_Toc1062302"/>
      <w:bookmarkStart w:id="1933" w:name="_Toc2589795"/>
      <w:bookmarkStart w:id="1934" w:name="_Toc2589928"/>
      <w:bookmarkStart w:id="1935" w:name="_Toc2590067"/>
      <w:bookmarkStart w:id="1936" w:name="_Toc3393261"/>
      <w:bookmarkStart w:id="1937" w:name="_Toc3399270"/>
      <w:bookmarkStart w:id="1938" w:name="_Toc3399420"/>
      <w:bookmarkStart w:id="1939" w:name="_Toc3399565"/>
      <w:bookmarkStart w:id="1940" w:name="_Toc3399757"/>
      <w:bookmarkStart w:id="1941" w:name="_Toc3399901"/>
      <w:bookmarkStart w:id="1942" w:name="_Toc3400045"/>
      <w:bookmarkStart w:id="1943" w:name="_Toc3400364"/>
      <w:bookmarkStart w:id="1944" w:name="_Toc3400489"/>
      <w:bookmarkStart w:id="1945" w:name="_Toc3400609"/>
      <w:bookmarkStart w:id="1946" w:name="_Toc3557083"/>
      <w:bookmarkStart w:id="1947" w:name="_Toc3559288"/>
      <w:bookmarkStart w:id="1948" w:name="_Toc3914499"/>
      <w:bookmarkStart w:id="1949" w:name="_Toc3914621"/>
      <w:bookmarkStart w:id="1950" w:name="_Toc3915607"/>
      <w:bookmarkStart w:id="1951" w:name="_Toc3916214"/>
      <w:bookmarkStart w:id="1952" w:name="_Toc3917124"/>
      <w:bookmarkStart w:id="1953" w:name="_Toc3917774"/>
      <w:bookmarkStart w:id="1954" w:name="_Toc3988530"/>
      <w:bookmarkStart w:id="1955" w:name="_Toc3989539"/>
      <w:bookmarkStart w:id="1956" w:name="_Toc3990183"/>
      <w:bookmarkStart w:id="1957" w:name="_Toc3991759"/>
      <w:bookmarkStart w:id="1958" w:name="_Toc3992664"/>
      <w:bookmarkStart w:id="1959" w:name="_Toc4000431"/>
      <w:bookmarkStart w:id="1960" w:name="_Toc4426427"/>
      <w:bookmarkStart w:id="1961" w:name="_Toc4426557"/>
      <w:bookmarkStart w:id="1962" w:name="_Toc4426740"/>
      <w:bookmarkStart w:id="1963" w:name="_Toc4426869"/>
      <w:bookmarkStart w:id="1964" w:name="_Toc4428467"/>
      <w:bookmarkStart w:id="1965" w:name="_Toc4429898"/>
      <w:bookmarkStart w:id="1966" w:name="_Toc4430027"/>
      <w:bookmarkStart w:id="1967" w:name="_Toc4430153"/>
      <w:bookmarkStart w:id="1968" w:name="_Toc4430278"/>
      <w:bookmarkStart w:id="1969" w:name="_Toc4430401"/>
      <w:bookmarkStart w:id="1970" w:name="_Toc4430523"/>
      <w:bookmarkStart w:id="1971" w:name="_Toc4430644"/>
      <w:bookmarkStart w:id="1972" w:name="_Toc4431440"/>
      <w:bookmarkStart w:id="1973" w:name="_Toc4431559"/>
      <w:bookmarkStart w:id="1974" w:name="_Toc4431680"/>
      <w:bookmarkStart w:id="1975" w:name="_Toc4431801"/>
      <w:bookmarkStart w:id="1976" w:name="_Toc4433500"/>
      <w:bookmarkStart w:id="1977" w:name="_Toc4433762"/>
      <w:bookmarkStart w:id="1978" w:name="_Toc4433883"/>
      <w:bookmarkStart w:id="1979" w:name="_Toc4434431"/>
      <w:bookmarkStart w:id="1980" w:name="_Toc4436276"/>
      <w:bookmarkStart w:id="1981" w:name="_Toc4436398"/>
      <w:bookmarkStart w:id="1982" w:name="_Toc4436519"/>
      <w:bookmarkStart w:id="1983" w:name="_Toc4436787"/>
      <w:bookmarkStart w:id="1984" w:name="_Toc4436955"/>
      <w:bookmarkStart w:id="1985" w:name="_Toc4437178"/>
      <w:bookmarkStart w:id="1986" w:name="_Toc4437413"/>
      <w:bookmarkStart w:id="1987" w:name="_Toc4438175"/>
      <w:bookmarkStart w:id="1988" w:name="_Toc4438420"/>
      <w:bookmarkStart w:id="1989" w:name="_Toc4438539"/>
      <w:bookmarkStart w:id="1990" w:name="_Toc4438658"/>
      <w:bookmarkStart w:id="1991" w:name="_Toc4491411"/>
      <w:bookmarkStart w:id="1992" w:name="_Toc4492972"/>
      <w:bookmarkStart w:id="1993" w:name="_Toc4588603"/>
      <w:bookmarkStart w:id="1994" w:name="_Toc4592956"/>
      <w:bookmarkStart w:id="1995" w:name="_Toc4593081"/>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28"/>
    </w:p>
    <w:p w14:paraId="0A969ABA" w14:textId="77777777" w:rsidR="00CD3F62" w:rsidRPr="00CD3F62" w:rsidRDefault="00CD3F62" w:rsidP="00F6030C">
      <w:pPr>
        <w:pStyle w:val="a5"/>
        <w:keepNext/>
        <w:keepLines/>
        <w:numPr>
          <w:ilvl w:val="1"/>
          <w:numId w:val="62"/>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1996" w:name="_Toc7189827"/>
      <w:bookmarkStart w:id="1997" w:name="_Toc7190057"/>
      <w:bookmarkStart w:id="1998" w:name="_Toc7190411"/>
      <w:bookmarkStart w:id="1999" w:name="_Toc7190860"/>
      <w:bookmarkStart w:id="2000" w:name="_Toc7191612"/>
      <w:bookmarkStart w:id="2001" w:name="_Toc7447237"/>
      <w:bookmarkStart w:id="2002" w:name="_Toc7448042"/>
      <w:bookmarkEnd w:id="1996"/>
      <w:bookmarkEnd w:id="1997"/>
      <w:bookmarkEnd w:id="1998"/>
      <w:bookmarkEnd w:id="1999"/>
      <w:bookmarkEnd w:id="2000"/>
      <w:bookmarkEnd w:id="2001"/>
      <w:bookmarkEnd w:id="2002"/>
    </w:p>
    <w:p w14:paraId="2A16BFE9" w14:textId="77777777" w:rsidR="00BB7A44" w:rsidRPr="00BB7A44" w:rsidRDefault="00BB7A44" w:rsidP="00BB7A44">
      <w:pPr>
        <w:pStyle w:val="a5"/>
        <w:keepNext/>
        <w:keepLines/>
        <w:numPr>
          <w:ilvl w:val="1"/>
          <w:numId w:val="61"/>
        </w:numPr>
        <w:spacing w:after="0" w:line="240" w:lineRule="auto"/>
        <w:contextualSpacing w:val="0"/>
        <w:jc w:val="both"/>
        <w:outlineLvl w:val="2"/>
        <w:rPr>
          <w:rFonts w:ascii="Times New Roman" w:eastAsia="Times New Roman" w:hAnsi="Times New Roman" w:cs="Times New Roman"/>
          <w:b/>
          <w:vanish/>
          <w:sz w:val="28"/>
          <w:szCs w:val="28"/>
          <w:lang w:eastAsia="ru-RU"/>
        </w:rPr>
      </w:pPr>
      <w:bookmarkStart w:id="2003" w:name="_Toc7191613"/>
      <w:bookmarkStart w:id="2004" w:name="_Toc7447238"/>
      <w:bookmarkStart w:id="2005" w:name="_Toc7448043"/>
      <w:bookmarkEnd w:id="2003"/>
      <w:bookmarkEnd w:id="2004"/>
      <w:bookmarkEnd w:id="2005"/>
    </w:p>
    <w:p w14:paraId="07611B01" w14:textId="40F8F689" w:rsidR="000A54DA" w:rsidRDefault="00883C8E" w:rsidP="00BB7A44">
      <w:pPr>
        <w:pStyle w:val="3"/>
      </w:pPr>
      <w:bookmarkStart w:id="2006" w:name="_Toc7448044"/>
      <w:r w:rsidRPr="001B2F4E">
        <w:t>Состояние конкуренции: тенденции и проблемы</w:t>
      </w:r>
      <w:bookmarkStart w:id="2007" w:name="_Toc6834373"/>
      <w:bookmarkStart w:id="2008" w:name="_Toc6834660"/>
      <w:bookmarkStart w:id="2009" w:name="_Toc6834863"/>
      <w:bookmarkEnd w:id="2007"/>
      <w:bookmarkEnd w:id="2008"/>
      <w:bookmarkEnd w:id="2009"/>
      <w:bookmarkEnd w:id="2006"/>
    </w:p>
    <w:p w14:paraId="3355AD0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Одним из факторов, способных затруднить или даже блокировать конкуренцию в рыбной отрасли - это «исторический принцип», препятствующий созданию условий для входа на рынок добычи водных биологических ресурсов новых участников.</w:t>
      </w:r>
    </w:p>
    <w:p w14:paraId="78DC0A88"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Наличие «исторического принципа» при распределении прав на добычу водных биологических ресурсов само по себе свидетельствует об отсутствии и невозможности конкуренции в рыболовной отрасли. Закрытость отрасли и как следствие ограничение конкуренции проявляется не в количестве лиц, исторически получивших квоту на добычу водных биологических ресурсов, а в том, что фактически этими лицами отрасль ограничена. И если весь объем квотируемого ресурса уже распределен, присутствие в будущем иных лиц, потенциально заинтересованных в добыче водных биоресурсов, практически невозможно.</w:t>
      </w:r>
    </w:p>
    <w:p w14:paraId="2C8D029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Невмешательство государства в процесс модернизации указанного принципа создает предпосылки для уменьшения количества добросовестных пользователей ресурсом и отсутствия развития отрасли в целом. Как показал предыдущий десятилетний период, низкий уровень конкуренции и гарантированное предоставление ресурса не создает для хозяйствующих субъектов стимулов к повышению производительности, конкурентоспособности и вклада отрасль. По мнению ФАС России, повышение инвестиционной активности, устойчивое развитие отрасли, здоровая конкуренция на рынке, позволяющая стимулировать повышение качества готовой продукции и снижение цен на нее на потребительском рынке, не могут быть реализованы в закрытом «историческим принципом» рынке.</w:t>
      </w:r>
    </w:p>
    <w:p w14:paraId="38A80B3B" w14:textId="77777777" w:rsidR="000A54DA" w:rsidRPr="000A54DA" w:rsidRDefault="000A54DA" w:rsidP="000A54DA">
      <w:pPr>
        <w:widowControl w:val="0"/>
        <w:suppressAutoHyphens/>
        <w:spacing w:after="0" w:line="240" w:lineRule="auto"/>
        <w:ind w:firstLine="870"/>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квот на вылов («исторический» принцип) показал невыполнение рыбохозяйственным комплексом основных целей и задач, ставящихся перед отраслью, и явился препятствием как эффективного развития рыбохозяйственного комплекса, так и развития конкуренции в указанной сфере.</w:t>
      </w:r>
    </w:p>
    <w:p w14:paraId="21C3A3C3" w14:textId="0843E519"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Как следует из проекта Стратегии развития рыбохозяйственного комплекса Российской Федерации на период до 2030 года, согласно промежуточным итогам реализации действующей Стратегии развития рыбохозяйственного комплекса Российской Федерации на период до 2020 года, ключевые целевые показатели, которые ставились перед отраслью в целом не достигнуты. Ни одна из ключевых областей рыбохозяйственного комплекса не оценена отраслевой рабочей группой, участвующей в подготовке Стратегии, на </w:t>
      </w:r>
      <w:r w:rsidR="00BC412F">
        <w:rPr>
          <w:rFonts w:ascii="Times New Roman" w:hAnsi="Times New Roman" w:cs="Times New Roman"/>
          <w:sz w:val="28"/>
          <w:szCs w:val="28"/>
        </w:rPr>
        <w:t>«</w:t>
      </w:r>
      <w:r w:rsidRPr="000A54DA">
        <w:rPr>
          <w:rFonts w:ascii="Times New Roman" w:hAnsi="Times New Roman" w:cs="Times New Roman"/>
          <w:sz w:val="28"/>
          <w:szCs w:val="28"/>
        </w:rPr>
        <w:t>отлично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Разделы </w:t>
      </w:r>
      <w:r w:rsidR="00BC412F">
        <w:rPr>
          <w:rFonts w:ascii="Times New Roman" w:hAnsi="Times New Roman" w:cs="Times New Roman"/>
          <w:sz w:val="28"/>
          <w:szCs w:val="28"/>
        </w:rPr>
        <w:t>«</w:t>
      </w:r>
      <w:r w:rsidRPr="000A54DA">
        <w:rPr>
          <w:rFonts w:ascii="Times New Roman" w:hAnsi="Times New Roman" w:cs="Times New Roman"/>
          <w:sz w:val="28"/>
          <w:szCs w:val="28"/>
        </w:rPr>
        <w:t>Переработка</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Вылов и производство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получили </w:t>
      </w:r>
      <w:r w:rsidR="00BC412F">
        <w:rPr>
          <w:rFonts w:ascii="Times New Roman" w:hAnsi="Times New Roman" w:cs="Times New Roman"/>
          <w:sz w:val="28"/>
          <w:szCs w:val="28"/>
        </w:rPr>
        <w:t>«</w:t>
      </w:r>
      <w:r w:rsidRPr="000A54DA">
        <w:rPr>
          <w:rFonts w:ascii="Times New Roman" w:hAnsi="Times New Roman" w:cs="Times New Roman"/>
          <w:sz w:val="28"/>
          <w:szCs w:val="28"/>
        </w:rPr>
        <w:t>удовлетворительно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Флот</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Инвестиции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Технологии и инновации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- 2, 1 и 1 балл соответственно из пяти возможных. </w:t>
      </w:r>
    </w:p>
    <w:p w14:paraId="696E34B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Отрасль в значительной степени является экспортно-ориентированной, за последние 10 лет наблюдается последовательное сокращение (выбытие) производственных мощностей рыбопромыслового флота, а структура и глубина переработки за прошедший 10-летний период существенно не изменилась, что свидетельствует о минимальных инвестициях со стороны рыбодобывающих компаний в развитие отрасли.</w:t>
      </w:r>
    </w:p>
    <w:p w14:paraId="43E88E18"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В структуре инвестиций преобладают расходы на поддержание основных фондов (капитальный ремонт флота), без которого невозможно ведение рыболовства в морских водах.</w:t>
      </w:r>
    </w:p>
    <w:p w14:paraId="4BA00B1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Средний возраст основной части рыбопромыслового флота - больших траулеров-процессоров на Дальневосточном рыбохозяйственном бассейне и средних траулеров на Северном рыбохозяйственном бассейне приближается к 30 годам, то есть сверх нормативного срока эксплуатации. </w:t>
      </w:r>
    </w:p>
    <w:p w14:paraId="55D6E33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Износ рыбопромыслового флота Российской Федерации явился одним из оснований для введения в 2016 году меры государственной поддержки по обновлению рыбопромыслового флота и развития рыбопереработки - выделение квоты на инвестиционные цели, которое предполагает предоставление соответствующего размера квоты добычи (вылова) водных биологических ресурсов при реализации инвестиционного проекта (рыболовного судна, рыбоперерабатывающего завода).</w:t>
      </w:r>
    </w:p>
    <w:p w14:paraId="2FD7E86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еще в 2008 году, в качестве обоснования необходимости перехода к «историческому принципу» распределения квот и увеличению срока закрепления долей квот добычи (вылова) водных биологических ресурсов до 10 лет, заявлялась необходимость обновления отечественного рыбопромыслового флота и его окупаемость за десятилетний период.</w:t>
      </w:r>
    </w:p>
    <w:p w14:paraId="08FCC54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Несмотря на общий рост прибыли рыбохозяйственных организаций, спустя десять лет заявленные цели и задачи не выполнены. Введение государственной поддержки обновления рыбопромыслового флота и развития рыбопереработки, посредством предоставления инвестиционных квот, свидетельствует о низкой инвестиционной деятельности участников рынка.</w:t>
      </w:r>
    </w:p>
    <w:p w14:paraId="64296EF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права на добычу водных биологических ресурсов, основанный на «историческом принципе», привел к следующим отрицательным последствиям:</w:t>
      </w:r>
    </w:p>
    <w:p w14:paraId="2493C836"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невыполнение за 10-й период рыбохозяйственным комплексом основных целей и задач, ставящихся государством перед отраслью;</w:t>
      </w:r>
    </w:p>
    <w:p w14:paraId="54749376"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отсутствие конкуренции и возможность монополизации, и как следствие инерционное развитие отрасли, без стимулов к повышению производительности, конкурентоспособности и вклада в отрасль;</w:t>
      </w:r>
    </w:p>
    <w:p w14:paraId="1749F986"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отсутствие финансовой отдачи отрасли соразмерной с ее рентабельностью;</w:t>
      </w:r>
    </w:p>
    <w:p w14:paraId="0BF6537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экспортная ориентированность отрасли;</w:t>
      </w:r>
    </w:p>
    <w:p w14:paraId="03ED92A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повышение цен на рыбу и продукцию из нее, в том числе для конечного потребителя.</w:t>
      </w:r>
    </w:p>
    <w:p w14:paraId="4C205CB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Помимо создания условий для возможности появления новых участников рынка в рыболовной отрасли, ФАС России уже несколько лет ведет работу по совершенствованию существующей системы распределения квот добычи (вылова) водных биологических ресурсов. Существующий порядок распределения квот на добычу (вылов) водных биологических ресурсов оказывает отрицательное воздействие на состояние конкуренции в рыбохозяйственном комплексе, а также приводит к возможности создания непрозрачных рыночных отношений в этой отрасли. </w:t>
      </w:r>
    </w:p>
    <w:p w14:paraId="109109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Между тем, наличие «исторического принципа» не единственная проблема, препятствующая развитию конкуренции в рыбохозяйственном комплексе. Возможность закрепления за лицами (группами лиц) долей квот добычи водных биоресурсов в монополистических размерах (до 100%) также является препятствием для развития конкуренции в рыбохозяйственном комплексе.</w:t>
      </w:r>
    </w:p>
    <w:p w14:paraId="2732085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Отдельным направлением для развития конкуренции в рыбохозяйсвенном комплексе, а также мерой по снижению цен на рыбную продукцию для населения является создание условий для развития альтернативных способов торговли рыбной продукцией и доведения ее до потребителя. Развитие специализированных не сетевых торговых объектов, специализированных ярмарок и т.д., может привести к сокращению цепочки между рыбодобытчиком и конечным потребителем, оптимизации и сокращению затрат на логистическую составляющую, а также повышению конкуренции на рынке розничной торговли рыбной продукции, что в конечном итоге может положительно сказаться на формировании стоимости рыбной продукции и ее качестве.</w:t>
      </w:r>
    </w:p>
    <w:p w14:paraId="4575D528" w14:textId="77777777" w:rsid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целях как развития конкуренции, так и в целом эффективного развития отрасли, необходимо проведение комплексных мероприятий, направленных на создание условий для входа на рынок добычи (вылова) водных биологических ресурсов новых участников, а также исключению условий, способствующих монополизации рынка. </w:t>
      </w:r>
    </w:p>
    <w:p w14:paraId="547F2F2E" w14:textId="77777777" w:rsidR="006C2ABA" w:rsidRPr="000A54DA" w:rsidRDefault="006C2ABA" w:rsidP="000A54DA">
      <w:pPr>
        <w:spacing w:after="0" w:line="240" w:lineRule="auto"/>
        <w:ind w:firstLine="709"/>
        <w:jc w:val="both"/>
        <w:rPr>
          <w:rFonts w:ascii="Times New Roman" w:hAnsi="Times New Roman" w:cs="Times New Roman"/>
          <w:sz w:val="28"/>
          <w:szCs w:val="28"/>
        </w:rPr>
      </w:pPr>
    </w:p>
    <w:p w14:paraId="2E41D4C6" w14:textId="77777777" w:rsidR="000A54DA" w:rsidRDefault="00883C8E" w:rsidP="00DA3F05">
      <w:pPr>
        <w:pStyle w:val="3"/>
      </w:pPr>
      <w:bookmarkStart w:id="2010" w:name="_Toc7448045"/>
      <w:r w:rsidRPr="001B2F4E">
        <w:t>Достигнутые результаты развития конкуренции и предложения по развитию конкуренции</w:t>
      </w:r>
      <w:bookmarkStart w:id="2011" w:name="_Toc6834374"/>
      <w:bookmarkStart w:id="2012" w:name="_Toc6834661"/>
      <w:bookmarkStart w:id="2013" w:name="_Toc6834864"/>
      <w:bookmarkEnd w:id="2011"/>
      <w:bookmarkEnd w:id="2012"/>
      <w:bookmarkEnd w:id="2013"/>
      <w:bookmarkEnd w:id="2010"/>
    </w:p>
    <w:p w14:paraId="2E8C7A56" w14:textId="77777777" w:rsidR="006C2ABA" w:rsidRPr="006C2ABA" w:rsidRDefault="006C2ABA" w:rsidP="006C2ABA">
      <w:pPr>
        <w:rPr>
          <w:lang w:eastAsia="ru-RU"/>
        </w:rPr>
      </w:pPr>
    </w:p>
    <w:p w14:paraId="5E3DF6E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рыбохозяйственном комплексе,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а именно:</w:t>
      </w:r>
    </w:p>
    <w:p w14:paraId="0A34F414"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перевод торгов в сферах рыболовства и рыбоводства в электронную форму;</w:t>
      </w:r>
    </w:p>
    <w:p w14:paraId="2C844AAE" w14:textId="58F75BAA"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распределение 50 процентов объема квот добычи (вылова) краба, ранее распределявшегося по «историческому принц</w:t>
      </w:r>
      <w:r w:rsidR="00BC412F">
        <w:rPr>
          <w:rFonts w:ascii="Times New Roman" w:hAnsi="Times New Roman" w:cs="Times New Roman"/>
          <w:sz w:val="28"/>
          <w:szCs w:val="28"/>
        </w:rPr>
        <w:t xml:space="preserve">ипу», путем проведения аукциона </w:t>
      </w:r>
      <w:r w:rsidRPr="000A54DA">
        <w:rPr>
          <w:rFonts w:ascii="Times New Roman" w:hAnsi="Times New Roman" w:cs="Times New Roman"/>
          <w:sz w:val="28"/>
          <w:szCs w:val="28"/>
        </w:rPr>
        <w:t>в электронной форме;</w:t>
      </w:r>
    </w:p>
    <w:p w14:paraId="6A31BD84"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разработка предложений, предусматривающих механизм выделения по заданным критериям и на регулярной основе (раз в 3 - 5 лет) части квот из ранее распределявшегося по «историческому принципу» объема квот, которая должна будет предоставляться путем проведения аукциона в электронной форме; </w:t>
      </w:r>
    </w:p>
    <w:p w14:paraId="114055A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проведение анализа имеющихся у пользователей, в том числе входящих в группу лиц, суммарных размеров долей квот добычи (вылова) водных биологических ресурсов на предмет выявления пользователей, имеющих более 35 процентов общего размера квоты добычи (вылова) водных биологических ресурсов;</w:t>
      </w:r>
    </w:p>
    <w:p w14:paraId="6C22ECA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установление прозрачного и конкурентного порядка доступа российских пользователей (рыбодобытчиков) к водным биологическим ресурсам в зонах действия международных договоров Российской Федерации в области рыболовства; </w:t>
      </w:r>
    </w:p>
    <w:p w14:paraId="12DE1F6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создание условий для комплексного развития товарной аквакультуры (товарного рыбоводства) на территории Российской Федерации; </w:t>
      </w:r>
    </w:p>
    <w:p w14:paraId="6E67B71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увеличение поставок водных биологических ресурсов и продукции из них на внутренний рынок, развитие биржевых торгов водными биологическими ресурсамии продукции их переработки, и другие. </w:t>
      </w:r>
    </w:p>
    <w:p w14:paraId="1BE8C7A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Реализация указанных мероприятий будет способствовать в том числе созданию условий для входа на рынок добычи (вылова) водных биологических ресурсов новых участников, исключению условий, способствующих монополизации рынка и, как следствие, развитию конкуренции, при которой в условиях конкурентного рынка происходит снижение цен до более низкого относительно конкурентов уровня.</w:t>
      </w:r>
    </w:p>
    <w:p w14:paraId="4C41004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целях исключения условий, способствующих монополизации в области рыболовства ФАС России было предложено изменить подход к формированию количества и размера лотов, начальной цены при проведении аукционов по реализации долей квот добычи водных биоресурсов.</w:t>
      </w:r>
    </w:p>
    <w:p w14:paraId="74B57C9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частности, в приказ Минсельхоза России от 19.10.2015 № 478 «Об утверждении Методики формирования начальной цены выставляемого на продажу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районах действия международных договоров Российской Федерации в области рыболовства и сохранения водных биоресурсов», было предложено: </w:t>
      </w:r>
    </w:p>
    <w:p w14:paraId="717A696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определение рыночной цены конкретного вида водного биоресурса на основе среднего арифметического значения рыночной цены, взятой с трех международных/российских торговых площадок;</w:t>
      </w:r>
    </w:p>
    <w:p w14:paraId="002B651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при невозможности определение рыночной цены конкретного вида водного биоресурса по данным с трех торговых площадок, определение рыночной цены конкретного вида водного биоресурса осуществляется на основе среднего арифметического значения рыночной цены сопоставимого по виду, роду или семейству водного биоресурса, взятой с трех международных/российских торговых площадок;</w:t>
      </w:r>
    </w:p>
    <w:p w14:paraId="1BD141B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размещение на сайте www.torgi.gov.ru информации по расчёту начальной цены аукциона по каждому лоту, с каких площадок и каким образом формировалась начальная цена по лоту (аукциону).</w:t>
      </w:r>
    </w:p>
    <w:p w14:paraId="45D33C6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приказ Минсельхоза России от 08.09.2015 № 402 «Об утверждении Методики формирования количества и размера предметов аукциона (лотов) при организации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случаях, указанных в подпунктах «и» - «л» пункта 2 Правил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утвержденных постановлением Правительства Российской Федерации от 12 августа 2008 г. № 602», в частности предложено: </w:t>
      </w:r>
    </w:p>
    <w:p w14:paraId="53C16714"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снижение порогового значения по размеру лота – с 35% до 15%;</w:t>
      </w:r>
    </w:p>
    <w:p w14:paraId="3D9C496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размещение на сайте www.torgi.gov.ru рекомендаций научно-исследовательских организаций на основании данных которых определяются показатели, включаемые в формулы расчета количества и размера предметов аукционов (лотов).</w:t>
      </w:r>
    </w:p>
    <w:p w14:paraId="2FB9A84D" w14:textId="77777777" w:rsidR="00883C8E" w:rsidRDefault="00883C8E" w:rsidP="00883C8E">
      <w:pPr>
        <w:spacing w:after="0" w:line="360" w:lineRule="auto"/>
        <w:jc w:val="both"/>
        <w:rPr>
          <w:rFonts w:ascii="Times New Roman" w:hAnsi="Times New Roman" w:cs="Times New Roman"/>
          <w:b/>
        </w:rPr>
      </w:pPr>
    </w:p>
    <w:p w14:paraId="007A5350" w14:textId="77777777" w:rsidR="006C2ABA" w:rsidRDefault="006C2ABA" w:rsidP="00883C8E">
      <w:pPr>
        <w:spacing w:after="0" w:line="360" w:lineRule="auto"/>
        <w:jc w:val="both"/>
        <w:rPr>
          <w:rFonts w:ascii="Times New Roman" w:hAnsi="Times New Roman" w:cs="Times New Roman"/>
          <w:b/>
        </w:rPr>
      </w:pPr>
    </w:p>
    <w:p w14:paraId="4A1F3C3F" w14:textId="77777777" w:rsidR="00EF7295" w:rsidRDefault="00EF7295" w:rsidP="00883C8E">
      <w:pPr>
        <w:spacing w:after="0" w:line="360" w:lineRule="auto"/>
        <w:jc w:val="both"/>
        <w:rPr>
          <w:rFonts w:ascii="Times New Roman" w:hAnsi="Times New Roman" w:cs="Times New Roman"/>
          <w:b/>
        </w:rPr>
      </w:pPr>
    </w:p>
    <w:p w14:paraId="58F8C02B" w14:textId="77777777" w:rsidR="00EF7295" w:rsidRDefault="00EF7295" w:rsidP="00883C8E">
      <w:pPr>
        <w:spacing w:after="0" w:line="360" w:lineRule="auto"/>
        <w:jc w:val="both"/>
        <w:rPr>
          <w:rFonts w:ascii="Times New Roman" w:hAnsi="Times New Roman" w:cs="Times New Roman"/>
          <w:b/>
        </w:rPr>
      </w:pPr>
    </w:p>
    <w:p w14:paraId="59F12768" w14:textId="77777777" w:rsidR="00EF7295" w:rsidRDefault="00EF7295" w:rsidP="00883C8E">
      <w:pPr>
        <w:spacing w:after="0" w:line="360" w:lineRule="auto"/>
        <w:jc w:val="both"/>
        <w:rPr>
          <w:rFonts w:ascii="Times New Roman" w:hAnsi="Times New Roman" w:cs="Times New Roman"/>
          <w:b/>
        </w:rPr>
      </w:pPr>
    </w:p>
    <w:p w14:paraId="1381AF4E" w14:textId="77777777" w:rsidR="00EF7295" w:rsidRDefault="00EF7295" w:rsidP="00883C8E">
      <w:pPr>
        <w:spacing w:after="0" w:line="360" w:lineRule="auto"/>
        <w:jc w:val="both"/>
        <w:rPr>
          <w:rFonts w:ascii="Times New Roman" w:hAnsi="Times New Roman" w:cs="Times New Roman"/>
          <w:b/>
        </w:rPr>
      </w:pPr>
    </w:p>
    <w:p w14:paraId="712EF3BD" w14:textId="77777777" w:rsidR="00EF7295" w:rsidRDefault="00EF7295" w:rsidP="00883C8E">
      <w:pPr>
        <w:spacing w:after="0" w:line="360" w:lineRule="auto"/>
        <w:jc w:val="both"/>
        <w:rPr>
          <w:rFonts w:ascii="Times New Roman" w:hAnsi="Times New Roman" w:cs="Times New Roman"/>
          <w:b/>
        </w:rPr>
      </w:pPr>
    </w:p>
    <w:p w14:paraId="211E11C6" w14:textId="77777777" w:rsidR="00020E4C" w:rsidRDefault="00020E4C" w:rsidP="00883C8E">
      <w:pPr>
        <w:spacing w:after="0" w:line="360" w:lineRule="auto"/>
        <w:jc w:val="both"/>
        <w:rPr>
          <w:rFonts w:ascii="Times New Roman" w:hAnsi="Times New Roman" w:cs="Times New Roman"/>
          <w:b/>
        </w:rPr>
      </w:pPr>
    </w:p>
    <w:p w14:paraId="199CAB47" w14:textId="77777777" w:rsidR="00020E4C" w:rsidRDefault="00020E4C" w:rsidP="00883C8E">
      <w:pPr>
        <w:spacing w:after="0" w:line="360" w:lineRule="auto"/>
        <w:jc w:val="both"/>
        <w:rPr>
          <w:rFonts w:ascii="Times New Roman" w:hAnsi="Times New Roman" w:cs="Times New Roman"/>
          <w:b/>
        </w:rPr>
      </w:pPr>
    </w:p>
    <w:p w14:paraId="2A638E2C" w14:textId="77777777" w:rsidR="00020E4C" w:rsidRDefault="00020E4C" w:rsidP="00883C8E">
      <w:pPr>
        <w:spacing w:after="0" w:line="360" w:lineRule="auto"/>
        <w:jc w:val="both"/>
        <w:rPr>
          <w:rFonts w:ascii="Times New Roman" w:hAnsi="Times New Roman" w:cs="Times New Roman"/>
          <w:b/>
        </w:rPr>
      </w:pPr>
    </w:p>
    <w:p w14:paraId="4851FD7C" w14:textId="77777777" w:rsidR="00020E4C" w:rsidRDefault="00020E4C" w:rsidP="00883C8E">
      <w:pPr>
        <w:spacing w:after="0" w:line="360" w:lineRule="auto"/>
        <w:jc w:val="both"/>
        <w:rPr>
          <w:rFonts w:ascii="Times New Roman" w:hAnsi="Times New Roman" w:cs="Times New Roman"/>
          <w:b/>
        </w:rPr>
      </w:pPr>
    </w:p>
    <w:p w14:paraId="0C764D2D" w14:textId="77777777" w:rsidR="00020E4C" w:rsidRDefault="00020E4C" w:rsidP="00883C8E">
      <w:pPr>
        <w:spacing w:after="0" w:line="360" w:lineRule="auto"/>
        <w:jc w:val="both"/>
        <w:rPr>
          <w:rFonts w:ascii="Times New Roman" w:hAnsi="Times New Roman" w:cs="Times New Roman"/>
          <w:b/>
        </w:rPr>
      </w:pPr>
    </w:p>
    <w:p w14:paraId="317B63A2" w14:textId="77777777" w:rsidR="00020E4C" w:rsidRDefault="00020E4C" w:rsidP="00883C8E">
      <w:pPr>
        <w:spacing w:after="0" w:line="360" w:lineRule="auto"/>
        <w:jc w:val="both"/>
        <w:rPr>
          <w:rFonts w:ascii="Times New Roman" w:hAnsi="Times New Roman" w:cs="Times New Roman"/>
          <w:b/>
        </w:rPr>
      </w:pPr>
    </w:p>
    <w:p w14:paraId="65A9FEBD" w14:textId="77777777" w:rsidR="00020E4C" w:rsidRDefault="00020E4C" w:rsidP="00883C8E">
      <w:pPr>
        <w:spacing w:after="0" w:line="360" w:lineRule="auto"/>
        <w:jc w:val="both"/>
        <w:rPr>
          <w:rFonts w:ascii="Times New Roman" w:hAnsi="Times New Roman" w:cs="Times New Roman"/>
          <w:b/>
        </w:rPr>
      </w:pPr>
    </w:p>
    <w:p w14:paraId="459E7E0A" w14:textId="77777777" w:rsidR="00020E4C" w:rsidRDefault="00020E4C" w:rsidP="00883C8E">
      <w:pPr>
        <w:spacing w:after="0" w:line="360" w:lineRule="auto"/>
        <w:jc w:val="both"/>
        <w:rPr>
          <w:rFonts w:ascii="Times New Roman" w:hAnsi="Times New Roman" w:cs="Times New Roman"/>
          <w:b/>
        </w:rPr>
      </w:pPr>
    </w:p>
    <w:p w14:paraId="3149808A" w14:textId="77777777" w:rsidR="00EF7295" w:rsidRDefault="00EF7295" w:rsidP="00883C8E">
      <w:pPr>
        <w:spacing w:after="0" w:line="360" w:lineRule="auto"/>
        <w:jc w:val="both"/>
        <w:rPr>
          <w:rFonts w:ascii="Times New Roman" w:hAnsi="Times New Roman" w:cs="Times New Roman"/>
          <w:b/>
        </w:rPr>
      </w:pPr>
    </w:p>
    <w:p w14:paraId="6FDAE685" w14:textId="77777777" w:rsidR="006C2ABA" w:rsidRDefault="006C2ABA" w:rsidP="00883C8E">
      <w:pPr>
        <w:spacing w:after="0" w:line="360" w:lineRule="auto"/>
        <w:jc w:val="both"/>
        <w:rPr>
          <w:rFonts w:ascii="Times New Roman" w:hAnsi="Times New Roman" w:cs="Times New Roman"/>
          <w:b/>
        </w:rPr>
      </w:pPr>
    </w:p>
    <w:p w14:paraId="3BCA80F1" w14:textId="70715D27" w:rsidR="00883C8E" w:rsidRDefault="00883C8E" w:rsidP="00F6030C">
      <w:pPr>
        <w:pStyle w:val="1"/>
        <w:numPr>
          <w:ilvl w:val="0"/>
          <w:numId w:val="63"/>
        </w:numPr>
      </w:pPr>
      <w:bookmarkStart w:id="2014" w:name="_Toc7448046"/>
      <w:r w:rsidRPr="001B2F4E">
        <w:t xml:space="preserve">СОВЕРШЕНСТВОВАНИЕ ГОСУДАРСТВЕННОЙ ПОЛИТИКИ ПО РАЗВИТИЮ КОНКУРЕНЦИИ В РОССИЙСКОЙ </w:t>
      </w:r>
      <w:r w:rsidR="008828EA">
        <w:t>ФЕДЕРАЦИИ</w:t>
      </w:r>
      <w:bookmarkEnd w:id="2014"/>
    </w:p>
    <w:p w14:paraId="62C16FE5" w14:textId="77777777" w:rsidR="006C2ABA" w:rsidRPr="006C2ABA" w:rsidRDefault="006C2ABA" w:rsidP="006C2ABA"/>
    <w:p w14:paraId="31EE95EF" w14:textId="77777777" w:rsidR="00450E4D" w:rsidRPr="00450E4D" w:rsidRDefault="00450E4D" w:rsidP="00483B7B">
      <w:pPr>
        <w:pStyle w:val="a5"/>
        <w:keepNext/>
        <w:keepLines/>
        <w:spacing w:before="40" w:after="0"/>
        <w:ind w:left="360"/>
        <w:contextualSpacing w:val="0"/>
        <w:outlineLvl w:val="1"/>
        <w:rPr>
          <w:rFonts w:ascii="Times New Roman" w:eastAsiaTheme="majorEastAsia" w:hAnsi="Times New Roman" w:cs="Times New Roman"/>
          <w:b/>
          <w:vanish/>
          <w:sz w:val="28"/>
          <w:szCs w:val="26"/>
        </w:rPr>
      </w:pPr>
      <w:bookmarkStart w:id="2015" w:name="_Toc1061955"/>
      <w:bookmarkStart w:id="2016" w:name="_Toc1062071"/>
      <w:bookmarkStart w:id="2017" w:name="_Toc1062193"/>
      <w:bookmarkStart w:id="2018" w:name="_Toc1062306"/>
      <w:bookmarkStart w:id="2019" w:name="_Toc2589799"/>
      <w:bookmarkStart w:id="2020" w:name="_Toc2589932"/>
      <w:bookmarkStart w:id="2021" w:name="_Toc2590071"/>
      <w:bookmarkStart w:id="2022" w:name="_Toc3393265"/>
      <w:bookmarkStart w:id="2023" w:name="_Toc3399274"/>
      <w:bookmarkStart w:id="2024" w:name="_Toc3399424"/>
      <w:bookmarkStart w:id="2025" w:name="_Toc3399569"/>
      <w:bookmarkStart w:id="2026" w:name="_Toc3399761"/>
      <w:bookmarkStart w:id="2027" w:name="_Toc3399905"/>
      <w:bookmarkStart w:id="2028" w:name="_Toc3400049"/>
      <w:bookmarkStart w:id="2029" w:name="_Toc3400368"/>
      <w:bookmarkStart w:id="2030" w:name="_Toc3400493"/>
      <w:bookmarkStart w:id="2031" w:name="_Toc3400613"/>
      <w:bookmarkStart w:id="2032" w:name="_Toc3557087"/>
      <w:bookmarkStart w:id="2033" w:name="_Toc3559292"/>
      <w:bookmarkStart w:id="2034" w:name="_Toc3914503"/>
      <w:bookmarkStart w:id="2035" w:name="_Toc3914625"/>
      <w:bookmarkStart w:id="2036" w:name="_Toc3915611"/>
      <w:bookmarkStart w:id="2037" w:name="_Toc3916218"/>
      <w:bookmarkStart w:id="2038" w:name="_Toc3917128"/>
      <w:bookmarkStart w:id="2039" w:name="_Toc3917778"/>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52FCCB15" w14:textId="77777777" w:rsidR="00272355" w:rsidRPr="00272355" w:rsidRDefault="00272355" w:rsidP="00F6030C">
      <w:pPr>
        <w:pStyle w:val="a5"/>
        <w:keepNext/>
        <w:keepLines/>
        <w:numPr>
          <w:ilvl w:val="0"/>
          <w:numId w:val="59"/>
        </w:numPr>
        <w:spacing w:after="0"/>
        <w:contextualSpacing w:val="0"/>
        <w:jc w:val="both"/>
        <w:outlineLvl w:val="1"/>
        <w:rPr>
          <w:rFonts w:ascii="Times New Roman" w:eastAsia="Times New Roman" w:hAnsi="Times New Roman" w:cs="Times New Roman"/>
          <w:b/>
          <w:vanish/>
          <w:sz w:val="28"/>
          <w:szCs w:val="28"/>
          <w:lang w:eastAsia="ru-RU"/>
        </w:rPr>
      </w:pPr>
      <w:bookmarkStart w:id="2040" w:name="_Toc7189831"/>
      <w:bookmarkStart w:id="2041" w:name="_Toc7190061"/>
      <w:bookmarkStart w:id="2042" w:name="_Toc7190415"/>
      <w:bookmarkStart w:id="2043" w:name="_Toc7190864"/>
      <w:bookmarkStart w:id="2044" w:name="_Toc7191617"/>
      <w:bookmarkStart w:id="2045" w:name="_Toc7447242"/>
      <w:bookmarkStart w:id="2046" w:name="_Toc7448047"/>
      <w:bookmarkEnd w:id="2040"/>
      <w:bookmarkEnd w:id="2041"/>
      <w:bookmarkEnd w:id="2042"/>
      <w:bookmarkEnd w:id="2043"/>
      <w:bookmarkEnd w:id="2044"/>
      <w:bookmarkEnd w:id="2045"/>
      <w:bookmarkEnd w:id="2046"/>
    </w:p>
    <w:p w14:paraId="28FAC153" w14:textId="6AAB9194" w:rsidR="00883C8E" w:rsidRDefault="00883C8E" w:rsidP="00EF64DA">
      <w:pPr>
        <w:pStyle w:val="2"/>
      </w:pPr>
      <w:bookmarkStart w:id="2047" w:name="_Toc7448048"/>
      <w:r w:rsidRPr="001B2F4E">
        <w:t>Сведения о выполнении мер, предложенных в предыдущих докладах</w:t>
      </w:r>
      <w:bookmarkEnd w:id="2047"/>
      <w:r w:rsidRPr="001B2F4E">
        <w:t xml:space="preserve"> </w:t>
      </w:r>
    </w:p>
    <w:p w14:paraId="36D75C47" w14:textId="77777777" w:rsidR="00A771B0" w:rsidRDefault="00A771B0" w:rsidP="00A771B0"/>
    <w:p w14:paraId="7EFBE26F" w14:textId="77777777" w:rsidR="00A771B0" w:rsidRPr="00EC4085" w:rsidRDefault="00A771B0" w:rsidP="00A771B0">
      <w:pPr>
        <w:pStyle w:val="ab"/>
        <w:suppressAutoHyphens/>
        <w:spacing w:before="0" w:beforeAutospacing="0" w:after="0"/>
        <w:ind w:firstLine="709"/>
        <w:jc w:val="both"/>
        <w:rPr>
          <w:b/>
          <w:sz w:val="28"/>
          <w:szCs w:val="28"/>
        </w:rPr>
      </w:pPr>
      <w:r w:rsidRPr="00EC4085">
        <w:rPr>
          <w:b/>
          <w:sz w:val="28"/>
          <w:szCs w:val="28"/>
        </w:rPr>
        <w:t>Рынок Банковских услуг</w:t>
      </w:r>
    </w:p>
    <w:p w14:paraId="202AC9F1" w14:textId="77777777" w:rsidR="00EC4085" w:rsidRDefault="00EC4085" w:rsidP="00A771B0">
      <w:pPr>
        <w:pStyle w:val="ab"/>
        <w:suppressAutoHyphens/>
        <w:spacing w:before="0" w:beforeAutospacing="0" w:after="0"/>
        <w:ind w:firstLine="709"/>
        <w:jc w:val="both"/>
        <w:rPr>
          <w:sz w:val="28"/>
          <w:szCs w:val="28"/>
        </w:rPr>
      </w:pPr>
    </w:p>
    <w:p w14:paraId="2491E1B8"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Докладе о состоянии конкуренции в Российской Федерации в 2017 году (далее – Доклад за 2017 год) в части развития конкуренции на рынке банковских услуг ФАС России было, помимо прочего, предложено пересмотреть условия допуска кредитных организаций к оказанию отдельных видов банковских услуг и участию в программах льготного финансирования, исключив из таких условий требования к размеру собственных средств в определенном размере и (или) наличию государственного участия в уставном капитале кредитных организаций.</w:t>
      </w:r>
    </w:p>
    <w:p w14:paraId="0B8D080B"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в 2018 году ФАС России направила соответствующие предложения в Минфин России. Информация по указанному вопросу представлена в пункте 3.16.1.1 настоящего доклада.</w:t>
      </w:r>
    </w:p>
    <w:p w14:paraId="3C7A4A50"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Кроме того, в Докладе за 2017 год в части развития конкуренции на рынке банковских услуг ФАС России также было предложено внести изменения в законодательство Российской Федерации, направленные на недопущение увеличения доли участия государства в банковской системе путем осуществления сделок в отношении акций (долей в уставных капиталах) кредитных организаций.</w:t>
      </w:r>
    </w:p>
    <w:p w14:paraId="3A81C15E"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необходимо отметить, что соответствующий проект федерального закона, предусматривающий установление запрета на прямое или косвенное приобретение государством и муниципальными образованиями акций и долей хозяйственных обществ (в том числе финансовых организаций), осуществляющих деятельность на товарных рынках в условиях конкуренции, внесен Минэкономразвития России в Правительство Российской Федерации в установленном порядке.</w:t>
      </w:r>
    </w:p>
    <w:p w14:paraId="1EE418FA" w14:textId="77777777" w:rsidR="00EC4085" w:rsidRDefault="00EC4085" w:rsidP="0015127A">
      <w:pPr>
        <w:autoSpaceDE w:val="0"/>
        <w:autoSpaceDN w:val="0"/>
        <w:adjustRightInd w:val="0"/>
        <w:spacing w:after="0" w:line="360" w:lineRule="auto"/>
        <w:jc w:val="both"/>
        <w:rPr>
          <w:rFonts w:ascii="Times New Roman" w:hAnsi="Times New Roman" w:cs="Times New Roman"/>
          <w:b/>
          <w:sz w:val="28"/>
          <w:szCs w:val="28"/>
        </w:rPr>
      </w:pPr>
    </w:p>
    <w:p w14:paraId="2F9F02E4" w14:textId="77777777" w:rsidR="0015127A" w:rsidRPr="0015127A" w:rsidRDefault="00EC4085" w:rsidP="00EC4085">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w:t>
      </w:r>
      <w:r w:rsidR="0015127A" w:rsidRPr="0015127A">
        <w:rPr>
          <w:rFonts w:ascii="Times New Roman" w:hAnsi="Times New Roman" w:cs="Times New Roman"/>
          <w:b/>
          <w:sz w:val="28"/>
          <w:szCs w:val="28"/>
        </w:rPr>
        <w:t xml:space="preserve"> регулирования </w:t>
      </w:r>
      <w:r>
        <w:rPr>
          <w:rFonts w:ascii="Times New Roman" w:hAnsi="Times New Roman" w:cs="Times New Roman"/>
          <w:b/>
          <w:sz w:val="28"/>
          <w:szCs w:val="28"/>
        </w:rPr>
        <w:t>жилищно-коммунального хозяйства</w:t>
      </w:r>
    </w:p>
    <w:p w14:paraId="023EB707" w14:textId="261546B3"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соответствии с</w:t>
      </w:r>
      <w:r w:rsidRPr="007014DB">
        <w:rPr>
          <w:rFonts w:ascii="Times New Roman" w:hAnsi="Times New Roman" w:cs="Times New Roman"/>
          <w:b/>
          <w:sz w:val="28"/>
          <w:szCs w:val="28"/>
        </w:rPr>
        <w:t xml:space="preserve"> </w:t>
      </w:r>
      <w:r w:rsidRPr="007014DB">
        <w:rPr>
          <w:rFonts w:ascii="Times New Roman" w:hAnsi="Times New Roman" w:cs="Times New Roman"/>
          <w:sz w:val="28"/>
          <w:szCs w:val="28"/>
        </w:rPr>
        <w:t xml:space="preserve">Пунктом 1 раздела </w:t>
      </w:r>
      <w:r w:rsidRPr="007014DB">
        <w:rPr>
          <w:rFonts w:ascii="Times New Roman" w:hAnsi="Times New Roman" w:cs="Times New Roman"/>
          <w:sz w:val="28"/>
          <w:szCs w:val="28"/>
          <w:lang w:val="en-US"/>
        </w:rPr>
        <w:t>VIII</w:t>
      </w:r>
      <w:r w:rsidRPr="007014DB">
        <w:rPr>
          <w:rFonts w:ascii="Times New Roman" w:hAnsi="Times New Roman" w:cs="Times New Roman"/>
          <w:sz w:val="28"/>
          <w:szCs w:val="28"/>
        </w:rPr>
        <w:t xml:space="preserve"> Плана мероприятий № 1697-р ФАС России совместно с заинтересованными федеральными органами исполнительной власти необходимо разработать федеральный закон предусматривающий введение понятия </w:t>
      </w:r>
      <w:r w:rsidR="00020E4C">
        <w:rPr>
          <w:rFonts w:ascii="Times New Roman" w:hAnsi="Times New Roman" w:cs="Times New Roman"/>
          <w:sz w:val="28"/>
          <w:szCs w:val="28"/>
        </w:rPr>
        <w:t>«</w:t>
      </w:r>
      <w:r w:rsidRPr="007014DB">
        <w:rPr>
          <w:rFonts w:ascii="Times New Roman" w:hAnsi="Times New Roman" w:cs="Times New Roman"/>
          <w:sz w:val="28"/>
          <w:szCs w:val="28"/>
        </w:rPr>
        <w:t>тарифная дискриминация</w:t>
      </w:r>
      <w:r w:rsidR="00020E4C">
        <w:rPr>
          <w:rFonts w:ascii="Times New Roman" w:hAnsi="Times New Roman" w:cs="Times New Roman"/>
          <w:sz w:val="28"/>
          <w:szCs w:val="28"/>
        </w:rPr>
        <w:t>»</w:t>
      </w:r>
      <w:r w:rsidRPr="007014DB">
        <w:rPr>
          <w:rFonts w:ascii="Times New Roman" w:hAnsi="Times New Roman" w:cs="Times New Roman"/>
          <w:sz w:val="28"/>
          <w:szCs w:val="28"/>
        </w:rPr>
        <w:t xml:space="preserve">, а также механизм 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(далее - органы регулирования) за создание </w:t>
      </w:r>
      <w:r w:rsidR="00674A97">
        <w:rPr>
          <w:rFonts w:ascii="Times New Roman" w:hAnsi="Times New Roman" w:cs="Times New Roman"/>
          <w:sz w:val="28"/>
          <w:szCs w:val="28"/>
        </w:rPr>
        <w:t>«</w:t>
      </w:r>
      <w:r w:rsidRPr="007014DB">
        <w:rPr>
          <w:rFonts w:ascii="Times New Roman" w:hAnsi="Times New Roman" w:cs="Times New Roman"/>
          <w:sz w:val="28"/>
          <w:szCs w:val="28"/>
        </w:rPr>
        <w:t>тарифной дискриминации</w:t>
      </w:r>
      <w:r w:rsidR="00674A97">
        <w:rPr>
          <w:rFonts w:ascii="Times New Roman" w:hAnsi="Times New Roman" w:cs="Times New Roman"/>
          <w:sz w:val="28"/>
          <w:szCs w:val="28"/>
        </w:rPr>
        <w:t>»</w:t>
      </w:r>
      <w:r w:rsidRPr="007014DB">
        <w:rPr>
          <w:rFonts w:ascii="Times New Roman" w:hAnsi="Times New Roman" w:cs="Times New Roman"/>
          <w:sz w:val="28"/>
          <w:szCs w:val="28"/>
        </w:rPr>
        <w:t>.</w:t>
      </w:r>
    </w:p>
    <w:p w14:paraId="3B0044FC"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настоящее время идет процедура разработки указанного федерального закона.</w:t>
      </w:r>
    </w:p>
    <w:p w14:paraId="14634F4B" w14:textId="47D4C54A" w:rsidR="0015127A" w:rsidRPr="0055399B" w:rsidRDefault="0015127A" w:rsidP="0055399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014DB">
        <w:rPr>
          <w:rFonts w:ascii="Times New Roman" w:eastAsia="TimesNewRomanPSMT" w:hAnsi="Times New Roman" w:cs="Times New Roman"/>
          <w:kern w:val="3"/>
          <w:sz w:val="28"/>
          <w:szCs w:val="28"/>
          <w:lang w:eastAsia="zh-CN"/>
        </w:rPr>
        <w:t xml:space="preserve">Законодательное закрепление понятия «тарифная дискриминация», а также создание и реализация механизмов </w:t>
      </w:r>
      <w:r w:rsidRPr="007014DB">
        <w:rPr>
          <w:rFonts w:ascii="Times New Roman" w:hAnsi="Times New Roman" w:cs="Times New Roman"/>
          <w:sz w:val="28"/>
          <w:szCs w:val="28"/>
        </w:rPr>
        <w:t>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будет способствовать сбалансированному, системному, унифицированному</w:t>
      </w:r>
      <w:r w:rsidR="00020E4C">
        <w:rPr>
          <w:rFonts w:ascii="Times New Roman" w:hAnsi="Times New Roman" w:cs="Times New Roman"/>
          <w:sz w:val="28"/>
          <w:szCs w:val="28"/>
        </w:rPr>
        <w:t xml:space="preserve"> тарифному регулированию, что в</w:t>
      </w:r>
      <w:r w:rsidRPr="007014DB">
        <w:rPr>
          <w:rFonts w:ascii="Times New Roman" w:hAnsi="Times New Roman" w:cs="Times New Roman"/>
          <w:sz w:val="28"/>
          <w:szCs w:val="28"/>
        </w:rPr>
        <w:t>последстви</w:t>
      </w:r>
      <w:r w:rsidR="00020E4C">
        <w:rPr>
          <w:rFonts w:ascii="Times New Roman" w:hAnsi="Times New Roman" w:cs="Times New Roman"/>
          <w:sz w:val="28"/>
          <w:szCs w:val="28"/>
        </w:rPr>
        <w:t>и</w:t>
      </w:r>
      <w:r w:rsidRPr="007014DB">
        <w:rPr>
          <w:rFonts w:ascii="Times New Roman" w:hAnsi="Times New Roman" w:cs="Times New Roman"/>
          <w:sz w:val="28"/>
          <w:szCs w:val="28"/>
        </w:rPr>
        <w:t xml:space="preserve"> станет</w:t>
      </w:r>
      <w:r w:rsidRPr="007014DB">
        <w:rPr>
          <w:rFonts w:ascii="Times New Roman" w:eastAsia="Times New Roman" w:hAnsi="Times New Roman" w:cs="Times New Roman"/>
          <w:sz w:val="28"/>
          <w:szCs w:val="28"/>
        </w:rPr>
        <w:t xml:space="preserve"> надежным инструментом повышения эффективности регулируемых организаций, снижения издержек экономики и стимулирования конкуренции.</w:t>
      </w:r>
    </w:p>
    <w:p w14:paraId="40E5AF43"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сфере теплоснабжения целью государственной политики является обеспечение надежного и качественного теплоснабжения, достигаемого за счет эффективности производства, передачи и распределения (потребления) тепловой энергии.</w:t>
      </w:r>
    </w:p>
    <w:p w14:paraId="46816DF6" w14:textId="3D6E2F2A"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eastAsia="Times New Roman" w:hAnsi="Times New Roman" w:cs="Times New Roman"/>
          <w:iCs/>
          <w:color w:val="000000"/>
          <w:sz w:val="28"/>
          <w:szCs w:val="28"/>
          <w:lang w:eastAsia="ru-RU"/>
        </w:rPr>
        <w:t>В настоящее время ФАС России совместно с Минстроем России во исполнени</w:t>
      </w:r>
      <w:r w:rsidR="00020E4C">
        <w:rPr>
          <w:rFonts w:ascii="Times New Roman" w:eastAsia="Times New Roman" w:hAnsi="Times New Roman" w:cs="Times New Roman"/>
          <w:iCs/>
          <w:color w:val="000000"/>
          <w:sz w:val="28"/>
          <w:szCs w:val="28"/>
          <w:lang w:eastAsia="ru-RU"/>
        </w:rPr>
        <w:t>е</w:t>
      </w:r>
      <w:r w:rsidRPr="007014DB">
        <w:rPr>
          <w:rFonts w:ascii="Times New Roman" w:eastAsia="Times New Roman" w:hAnsi="Times New Roman" w:cs="Times New Roman"/>
          <w:iCs/>
          <w:color w:val="000000"/>
          <w:sz w:val="28"/>
          <w:szCs w:val="28"/>
          <w:lang w:eastAsia="ru-RU"/>
        </w:rPr>
        <w:t xml:space="preserve"> пункта 2 раздела 8 «дорожной карты 1697-р» разрабатывается проект постановления Правительства Р</w:t>
      </w:r>
      <w:r w:rsidR="00020E4C">
        <w:rPr>
          <w:rFonts w:ascii="Times New Roman" w:eastAsia="Times New Roman" w:hAnsi="Times New Roman" w:cs="Times New Roman"/>
          <w:iCs/>
          <w:color w:val="000000"/>
          <w:sz w:val="28"/>
          <w:szCs w:val="28"/>
          <w:lang w:eastAsia="ru-RU"/>
        </w:rPr>
        <w:t xml:space="preserve">оссийской </w:t>
      </w:r>
      <w:r w:rsidRPr="007014DB">
        <w:rPr>
          <w:rFonts w:ascii="Times New Roman" w:eastAsia="Times New Roman" w:hAnsi="Times New Roman" w:cs="Times New Roman"/>
          <w:iCs/>
          <w:color w:val="000000"/>
          <w:sz w:val="28"/>
          <w:szCs w:val="28"/>
          <w:lang w:eastAsia="ru-RU"/>
        </w:rPr>
        <w:t>Ф</w:t>
      </w:r>
      <w:r w:rsidR="00020E4C">
        <w:rPr>
          <w:rFonts w:ascii="Times New Roman" w:eastAsia="Times New Roman" w:hAnsi="Times New Roman" w:cs="Times New Roman"/>
          <w:iCs/>
          <w:color w:val="000000"/>
          <w:sz w:val="28"/>
          <w:szCs w:val="28"/>
          <w:lang w:eastAsia="ru-RU"/>
        </w:rPr>
        <w:t>едерации</w:t>
      </w:r>
      <w:r w:rsidRPr="007014DB">
        <w:rPr>
          <w:rFonts w:ascii="Times New Roman" w:eastAsia="Times New Roman" w:hAnsi="Times New Roman" w:cs="Times New Roman"/>
          <w:iCs/>
          <w:color w:val="000000"/>
          <w:sz w:val="28"/>
          <w:szCs w:val="28"/>
          <w:lang w:eastAsia="ru-RU"/>
        </w:rPr>
        <w:t xml:space="preserve">, предусматривающий </w:t>
      </w:r>
      <w:r w:rsidRPr="007014DB">
        <w:rPr>
          <w:rFonts w:ascii="Times New Roman" w:hAnsi="Times New Roman" w:cs="Times New Roman"/>
          <w:sz w:val="28"/>
          <w:szCs w:val="28"/>
        </w:rPr>
        <w:t>введение критериев сетевых организаций в сфере теплоснабжения.</w:t>
      </w:r>
    </w:p>
    <w:p w14:paraId="6E64614A" w14:textId="6DDE4712"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Проект имеет высокую степень важности, в части недопущения формирования в сфере теплоснабжения неквалифицированных организаций, осуществляющих передачу тепловой энергии, не обеспечивающих надлежащий уровень </w:t>
      </w:r>
      <w:r w:rsidR="00020E4C" w:rsidRPr="007014DB">
        <w:rPr>
          <w:rFonts w:ascii="Times New Roman" w:hAnsi="Times New Roman" w:cs="Times New Roman"/>
          <w:sz w:val="28"/>
          <w:szCs w:val="28"/>
        </w:rPr>
        <w:t>надёжности</w:t>
      </w:r>
      <w:r w:rsidRPr="007014DB">
        <w:rPr>
          <w:rFonts w:ascii="Times New Roman" w:hAnsi="Times New Roman" w:cs="Times New Roman"/>
          <w:sz w:val="28"/>
          <w:szCs w:val="28"/>
        </w:rPr>
        <w:t xml:space="preserve"> качества услуг по передаче тепловой энергии.</w:t>
      </w:r>
    </w:p>
    <w:p w14:paraId="1BF53571" w14:textId="5675F532" w:rsidR="0015127A" w:rsidRPr="007014DB" w:rsidRDefault="0015127A" w:rsidP="00674A9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sz w:val="28"/>
          <w:szCs w:val="28"/>
          <w:lang w:eastAsia="ru-RU"/>
        </w:rPr>
        <w:t xml:space="preserve">Принято постановление Правительства Российской Федерации от </w:t>
      </w:r>
      <w:r w:rsidRPr="007014DB">
        <w:rPr>
          <w:rFonts w:ascii="Times New Roman" w:eastAsia="Times New Roman" w:hAnsi="Times New Roman" w:cs="Times New Roman"/>
          <w:color w:val="000000"/>
          <w:sz w:val="28"/>
          <w:szCs w:val="28"/>
          <w:lang w:eastAsia="ru-RU"/>
        </w:rPr>
        <w:t>18.10.2018 № 1245, которое предусматривает обязательное участие субъектов малого и среднего предпринимательства в торгах на транспортирование твердых коммунальных отходов, для которых в обязатель</w:t>
      </w:r>
      <w:r w:rsidR="00380802">
        <w:rPr>
          <w:rFonts w:ascii="Times New Roman" w:eastAsia="Times New Roman" w:hAnsi="Times New Roman" w:cs="Times New Roman"/>
          <w:color w:val="000000"/>
          <w:sz w:val="28"/>
          <w:szCs w:val="28"/>
          <w:lang w:eastAsia="ru-RU"/>
        </w:rPr>
        <w:t>ном порядке выделяют минимум 15</w:t>
      </w:r>
      <w:r w:rsidRPr="007014DB">
        <w:rPr>
          <w:rFonts w:ascii="Times New Roman" w:eastAsia="Times New Roman" w:hAnsi="Times New Roman" w:cs="Times New Roman"/>
          <w:color w:val="000000"/>
          <w:sz w:val="28"/>
          <w:szCs w:val="28"/>
          <w:lang w:eastAsia="ru-RU"/>
        </w:rPr>
        <w:t>% от объема услуг по транспортированию твердых коммунальных отходов.</w:t>
      </w:r>
    </w:p>
    <w:p w14:paraId="290FF6B6" w14:textId="77777777" w:rsidR="0015127A" w:rsidRPr="007014DB"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color w:val="000000"/>
          <w:sz w:val="28"/>
          <w:szCs w:val="28"/>
          <w:lang w:eastAsia="ru-RU"/>
        </w:rPr>
        <w:t>Внесены изменения в Правила проведения органом местного самоуправления открытого конкурса по отбору управляющей организации для управления многоквартирным домом, утвержденные постановлением правительства Российской Федерации от 06.02.2006 (постановление Правительства Российской Федерации от 14.12.2018 № 1541).</w:t>
      </w:r>
    </w:p>
    <w:p w14:paraId="6478629B" w14:textId="77777777" w:rsidR="00EC4085" w:rsidRDefault="0015127A" w:rsidP="00674A97">
      <w:pPr>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color w:val="000000"/>
          <w:sz w:val="28"/>
          <w:szCs w:val="28"/>
          <w:lang w:eastAsia="ru-RU"/>
        </w:rPr>
        <w:t xml:space="preserve">В соответствии с принятыми изменениями процедура торгов будет проходить с понижением цены договора управления многоквартирным домом с одновременным сохранением всех необходимых для конкретного дома работ и услуг по содержанию. Поправками также предусмотрены антидемпинговые меры. </w:t>
      </w:r>
    </w:p>
    <w:p w14:paraId="796BC0E0" w14:textId="77777777" w:rsidR="0015127A" w:rsidRPr="00EC4085"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EC4085">
        <w:rPr>
          <w:rFonts w:ascii="Times New Roman" w:eastAsia="Times New Roman" w:hAnsi="Times New Roman" w:cs="Times New Roman"/>
          <w:iCs/>
          <w:sz w:val="28"/>
          <w:szCs w:val="28"/>
          <w:lang w:eastAsia="ru-RU"/>
        </w:rPr>
        <w:t xml:space="preserve">До этих изменений процедура торгов по отбору управляющей организации была связана с увеличением количества дополнительных работ, которые не выполнялись. </w:t>
      </w:r>
      <w:r w:rsidRPr="00EC4085">
        <w:rPr>
          <w:rFonts w:ascii="Times New Roman" w:eastAsia="Times New Roman" w:hAnsi="Times New Roman" w:cs="Times New Roman"/>
          <w:iCs/>
          <w:color w:val="000000"/>
          <w:sz w:val="28"/>
          <w:szCs w:val="28"/>
          <w:lang w:eastAsia="ru-RU"/>
        </w:rPr>
        <w:t>Отбор носил фиктивный характер, поскольку победителем признавался тот участник, который предложит дополнительных работ больше всех и дороже всех (предложения измерялись числами Грэма, Гуголплексами, Стасплексами, Септдециллиардами и т.п.).</w:t>
      </w:r>
      <w:r w:rsidRPr="00EC4085">
        <w:rPr>
          <w:rFonts w:ascii="Times New Roman" w:eastAsia="Times New Roman" w:hAnsi="Times New Roman" w:cs="Times New Roman"/>
          <w:sz w:val="28"/>
          <w:szCs w:val="28"/>
          <w:lang w:eastAsia="ru-RU"/>
        </w:rPr>
        <w:t xml:space="preserve"> </w:t>
      </w:r>
    </w:p>
    <w:p w14:paraId="35D35925" w14:textId="77777777" w:rsidR="00EC4085"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p>
    <w:p w14:paraId="080FBF61" w14:textId="77777777" w:rsidR="0015127A" w:rsidRPr="007014DB"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 э</w:t>
      </w:r>
      <w:r w:rsidR="00674A97">
        <w:rPr>
          <w:rFonts w:ascii="Times New Roman" w:hAnsi="Times New Roman" w:cs="Times New Roman"/>
          <w:b/>
          <w:sz w:val="28"/>
          <w:szCs w:val="28"/>
        </w:rPr>
        <w:t>лектроэнергетик</w:t>
      </w:r>
      <w:r>
        <w:rPr>
          <w:rFonts w:ascii="Times New Roman" w:hAnsi="Times New Roman" w:cs="Times New Roman"/>
          <w:b/>
          <w:sz w:val="28"/>
          <w:szCs w:val="28"/>
        </w:rPr>
        <w:t>и</w:t>
      </w:r>
    </w:p>
    <w:p w14:paraId="5F2DA508" w14:textId="77777777" w:rsidR="00EC4085" w:rsidRDefault="00EC4085" w:rsidP="00674A97">
      <w:pPr>
        <w:spacing w:after="0" w:line="240" w:lineRule="auto"/>
        <w:ind w:firstLine="709"/>
        <w:jc w:val="both"/>
        <w:rPr>
          <w:rFonts w:ascii="Times New Roman" w:eastAsia="Times New Roman" w:hAnsi="Times New Roman" w:cs="Times New Roman"/>
          <w:sz w:val="28"/>
          <w:szCs w:val="28"/>
          <w:lang w:eastAsia="ru-RU"/>
        </w:rPr>
      </w:pPr>
    </w:p>
    <w:p w14:paraId="752117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В качестве одной из приоритетных задач на 2018 год планировалось совершенствование законодательства о развитии конкуренции на розничных рынках электрической энергии (мощности). </w:t>
      </w:r>
    </w:p>
    <w:p w14:paraId="11A16CC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Во исполнение указанной задачи ФАС России были приняты следующие меры:</w:t>
      </w:r>
    </w:p>
    <w:p w14:paraId="78D7909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по результатам рассмотрения дела в отношении ПАО «ЮНИПРО» постановлением Правительства Российской Федерации от 27.12.2017 № 1664 «О внесении изменений в Правила оптового рынка электрической энергии и мощности» были внесены изменения в Правила оптового рынка электрической энергии и мощности, утвержденные постановлением Правительства Российской Федерации от 27.12.2010 № 1172, направленные на недопущение случаев оплаты потребителями фактически не поставленной на рынок мощности;</w:t>
      </w:r>
    </w:p>
    <w:p w14:paraId="00D20F4E" w14:textId="77777777" w:rsidR="00674A97" w:rsidRDefault="00674A97" w:rsidP="00BE213D">
      <w:pPr>
        <w:numPr>
          <w:ilvl w:val="0"/>
          <w:numId w:val="24"/>
        </w:numPr>
        <w:spacing w:after="0" w:line="240" w:lineRule="auto"/>
        <w:ind w:left="0"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итогам выданных АО «АТС» и Ассоциации «НП Совет рынка» предупреждений ФАС России на очередном заседании Наблюдательного совета Совета рынка были внесены соответствующие изменения в раздел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а также отмена принятых изменений в положения статьи 24.2 Положения о применении санкций на оптовом рынке электрической энергии и мощности.</w:t>
      </w:r>
    </w:p>
    <w:p w14:paraId="15A1C3EF" w14:textId="77777777" w:rsidR="00EC4085" w:rsidRDefault="00EC4085" w:rsidP="009123AC">
      <w:pPr>
        <w:spacing w:after="0" w:line="240" w:lineRule="auto"/>
        <w:ind w:left="709"/>
        <w:jc w:val="both"/>
        <w:rPr>
          <w:rFonts w:ascii="Times New Roman" w:eastAsia="Times New Roman" w:hAnsi="Times New Roman" w:cs="Times New Roman"/>
          <w:b/>
          <w:sz w:val="28"/>
          <w:szCs w:val="28"/>
          <w:lang w:eastAsia="ru-RU"/>
        </w:rPr>
      </w:pPr>
    </w:p>
    <w:p w14:paraId="79E65BD3" w14:textId="77777777" w:rsidR="009123AC" w:rsidRPr="009123AC" w:rsidRDefault="009123AC" w:rsidP="009123AC">
      <w:pPr>
        <w:spacing w:after="0" w:line="240" w:lineRule="auto"/>
        <w:ind w:left="709"/>
        <w:jc w:val="both"/>
        <w:rPr>
          <w:rFonts w:ascii="Times New Roman" w:eastAsia="Times New Roman" w:hAnsi="Times New Roman" w:cs="Times New Roman"/>
          <w:b/>
          <w:sz w:val="28"/>
          <w:szCs w:val="28"/>
          <w:lang w:eastAsia="ru-RU"/>
        </w:rPr>
      </w:pPr>
      <w:r w:rsidRPr="009123AC">
        <w:rPr>
          <w:rFonts w:ascii="Times New Roman" w:eastAsia="Times New Roman" w:hAnsi="Times New Roman" w:cs="Times New Roman"/>
          <w:b/>
          <w:sz w:val="28"/>
          <w:szCs w:val="28"/>
          <w:lang w:eastAsia="ru-RU"/>
        </w:rPr>
        <w:t>Рынок таб</w:t>
      </w:r>
      <w:r>
        <w:rPr>
          <w:rFonts w:ascii="Times New Roman" w:eastAsia="Times New Roman" w:hAnsi="Times New Roman" w:cs="Times New Roman"/>
          <w:b/>
          <w:sz w:val="28"/>
          <w:szCs w:val="28"/>
          <w:lang w:eastAsia="ru-RU"/>
        </w:rPr>
        <w:t>ачной продукции</w:t>
      </w:r>
    </w:p>
    <w:p w14:paraId="155D953E" w14:textId="77777777" w:rsidR="00EC4085" w:rsidRDefault="00EC4085" w:rsidP="009123AC">
      <w:pPr>
        <w:spacing w:after="0" w:line="240" w:lineRule="auto"/>
        <w:ind w:firstLine="709"/>
        <w:jc w:val="both"/>
        <w:rPr>
          <w:rFonts w:ascii="Times New Roman" w:hAnsi="Times New Roman" w:cs="Times New Roman"/>
          <w:sz w:val="28"/>
          <w:szCs w:val="28"/>
        </w:rPr>
      </w:pPr>
    </w:p>
    <w:p w14:paraId="423336D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Рынок табачной продукции характеризуется жестким государственным регулированием, которое с одной стороны преследует социальные цели, такие как снижение потребления табака, а с другой </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экономические, направленные на стабильное функционирование легального рынка, повышение наполняемости бюджета от уплаты акцизов.</w:t>
      </w:r>
    </w:p>
    <w:p w14:paraId="41CB2B8C"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благоприятной конкурентной среды на рынке табачной продукции является одним из инструментов достижения</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экономических целей.</w:t>
      </w:r>
    </w:p>
    <w:p w14:paraId="2A526D1B" w14:textId="77777777" w:rsidR="009123AC" w:rsidRPr="005B6F5E" w:rsidRDefault="009123AC" w:rsidP="009123AC">
      <w:pPr>
        <w:spacing w:after="0" w:line="240" w:lineRule="auto"/>
        <w:ind w:firstLine="709"/>
        <w:jc w:val="both"/>
        <w:rPr>
          <w:rFonts w:ascii="Times New Roman" w:hAnsi="Times New Roman" w:cs="Times New Roman"/>
          <w:sz w:val="28"/>
          <w:szCs w:val="28"/>
        </w:rPr>
      </w:pPr>
      <w:r w:rsidRPr="009B43D8">
        <w:rPr>
          <w:rFonts w:ascii="Times New Roman" w:hAnsi="Times New Roman" w:cs="Times New Roman"/>
          <w:sz w:val="28"/>
          <w:szCs w:val="28"/>
        </w:rPr>
        <w:t xml:space="preserve">Основными факторами, </w:t>
      </w:r>
      <w:r>
        <w:rPr>
          <w:rFonts w:ascii="Times New Roman" w:hAnsi="Times New Roman" w:cs="Times New Roman"/>
          <w:sz w:val="28"/>
          <w:szCs w:val="28"/>
        </w:rPr>
        <w:t xml:space="preserve">препятствующими развитию </w:t>
      </w:r>
      <w:r w:rsidRPr="009B43D8">
        <w:rPr>
          <w:rFonts w:ascii="Times New Roman" w:hAnsi="Times New Roman" w:cs="Times New Roman"/>
          <w:sz w:val="28"/>
          <w:szCs w:val="28"/>
        </w:rPr>
        <w:t xml:space="preserve">конкуренции </w:t>
      </w:r>
      <w:r>
        <w:rPr>
          <w:rFonts w:ascii="Times New Roman" w:hAnsi="Times New Roman" w:cs="Times New Roman"/>
          <w:sz w:val="28"/>
          <w:szCs w:val="28"/>
        </w:rPr>
        <w:t xml:space="preserve">в отрасли являются: высокий уровень </w:t>
      </w:r>
      <w:r w:rsidRPr="000A2A7B">
        <w:rPr>
          <w:rFonts w:ascii="Times New Roman" w:hAnsi="Times New Roman" w:cs="Times New Roman"/>
          <w:sz w:val="28"/>
          <w:szCs w:val="28"/>
        </w:rPr>
        <w:t>концентрации рынка табачной продукции</w:t>
      </w:r>
      <w:r>
        <w:rPr>
          <w:rFonts w:ascii="Times New Roman" w:hAnsi="Times New Roman" w:cs="Times New Roman"/>
          <w:sz w:val="28"/>
          <w:szCs w:val="28"/>
        </w:rPr>
        <w:t xml:space="preserve">, многолетнее сохранение отношений поставщиков с определенными дистрибьюторами, отсутствие единого регулятора, растущий </w:t>
      </w:r>
      <w:r w:rsidRPr="00E27034">
        <w:rPr>
          <w:rFonts w:ascii="Times New Roman" w:hAnsi="Times New Roman" w:cs="Times New Roman"/>
          <w:sz w:val="28"/>
          <w:szCs w:val="28"/>
        </w:rPr>
        <w:t xml:space="preserve">нелегальный оборот, </w:t>
      </w:r>
      <w:r>
        <w:rPr>
          <w:rFonts w:ascii="Times New Roman" w:hAnsi="Times New Roman" w:cs="Times New Roman"/>
          <w:sz w:val="28"/>
          <w:szCs w:val="28"/>
        </w:rPr>
        <w:t xml:space="preserve">несбалансированность </w:t>
      </w:r>
      <w:r w:rsidRPr="00E27034">
        <w:rPr>
          <w:rFonts w:ascii="Times New Roman" w:hAnsi="Times New Roman" w:cs="Times New Roman"/>
          <w:sz w:val="28"/>
          <w:szCs w:val="28"/>
        </w:rPr>
        <w:t>правил оборота табачной продукции на территории государств-членов ЕАЭС.</w:t>
      </w:r>
    </w:p>
    <w:p w14:paraId="37307715"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Приоритетным направлением государственной политики в области регулирования табачной отрасли является защита здоровья населения посредством снижения уровня потребления табака, вместе с тем, </w:t>
      </w:r>
      <w:r w:rsidRPr="00E27034">
        <w:rPr>
          <w:rFonts w:ascii="Times New Roman" w:hAnsi="Times New Roman" w:cs="Times New Roman"/>
          <w:sz w:val="28"/>
          <w:szCs w:val="28"/>
        </w:rPr>
        <w:t xml:space="preserve">в условиях растущей доли нелегального сектора в </w:t>
      </w:r>
      <w:r>
        <w:rPr>
          <w:rFonts w:ascii="Times New Roman" w:hAnsi="Times New Roman" w:cs="Times New Roman"/>
          <w:sz w:val="28"/>
          <w:szCs w:val="28"/>
        </w:rPr>
        <w:t>данной</w:t>
      </w:r>
      <w:r w:rsidRPr="00E27034">
        <w:rPr>
          <w:rFonts w:ascii="Times New Roman" w:hAnsi="Times New Roman" w:cs="Times New Roman"/>
          <w:sz w:val="28"/>
          <w:szCs w:val="28"/>
        </w:rPr>
        <w:t xml:space="preserve"> отрасли </w:t>
      </w:r>
      <w:r>
        <w:rPr>
          <w:rFonts w:ascii="Times New Roman" w:hAnsi="Times New Roman" w:cs="Times New Roman"/>
          <w:sz w:val="28"/>
          <w:szCs w:val="28"/>
        </w:rPr>
        <w:t xml:space="preserve">при выстраивании государственной политики </w:t>
      </w:r>
      <w:r w:rsidRPr="00E27034">
        <w:rPr>
          <w:rFonts w:ascii="Times New Roman" w:hAnsi="Times New Roman" w:cs="Times New Roman"/>
          <w:sz w:val="28"/>
          <w:szCs w:val="28"/>
        </w:rPr>
        <w:t xml:space="preserve">необходимо </w:t>
      </w:r>
      <w:r>
        <w:rPr>
          <w:rFonts w:ascii="Times New Roman" w:hAnsi="Times New Roman" w:cs="Times New Roman"/>
          <w:sz w:val="28"/>
          <w:szCs w:val="28"/>
        </w:rPr>
        <w:t>учитывать, что</w:t>
      </w:r>
      <w:r w:rsidRPr="00E27034">
        <w:rPr>
          <w:rFonts w:ascii="Times New Roman" w:hAnsi="Times New Roman" w:cs="Times New Roman"/>
          <w:sz w:val="28"/>
          <w:szCs w:val="28"/>
        </w:rPr>
        <w:t xml:space="preserve"> чрезмерное ужесточение регулирования не только </w:t>
      </w:r>
      <w:r>
        <w:rPr>
          <w:rFonts w:ascii="Times New Roman" w:hAnsi="Times New Roman" w:cs="Times New Roman"/>
          <w:sz w:val="28"/>
          <w:szCs w:val="28"/>
        </w:rPr>
        <w:t xml:space="preserve">может создать дополнительные трудности для легальных производителей, </w:t>
      </w:r>
      <w:r w:rsidRPr="00E27034">
        <w:rPr>
          <w:rFonts w:ascii="Times New Roman" w:hAnsi="Times New Roman" w:cs="Times New Roman"/>
          <w:sz w:val="28"/>
          <w:szCs w:val="28"/>
        </w:rPr>
        <w:t xml:space="preserve">но и не позволит достичь </w:t>
      </w:r>
      <w:r>
        <w:rPr>
          <w:rFonts w:ascii="Times New Roman" w:hAnsi="Times New Roman" w:cs="Times New Roman"/>
          <w:sz w:val="28"/>
          <w:szCs w:val="28"/>
        </w:rPr>
        <w:t xml:space="preserve">указанной </w:t>
      </w:r>
      <w:r w:rsidRPr="00E27034">
        <w:rPr>
          <w:rFonts w:ascii="Times New Roman" w:hAnsi="Times New Roman" w:cs="Times New Roman"/>
          <w:sz w:val="28"/>
          <w:szCs w:val="28"/>
        </w:rPr>
        <w:t>цели</w:t>
      </w:r>
      <w:r>
        <w:rPr>
          <w:rFonts w:ascii="Times New Roman" w:hAnsi="Times New Roman" w:cs="Times New Roman"/>
          <w:sz w:val="28"/>
          <w:szCs w:val="28"/>
        </w:rPr>
        <w:t>.</w:t>
      </w:r>
    </w:p>
    <w:p w14:paraId="5955250A" w14:textId="616B66AF"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аналитической компании «Нильсен», в третьем квартале 2018 года доля нелегальной табачной </w:t>
      </w:r>
      <w:r w:rsidR="00380802">
        <w:rPr>
          <w:rFonts w:ascii="Times New Roman" w:hAnsi="Times New Roman" w:cs="Times New Roman"/>
          <w:sz w:val="28"/>
          <w:szCs w:val="28"/>
        </w:rPr>
        <w:t>продукции на рынке достигла 8,4</w:t>
      </w:r>
      <w:r>
        <w:rPr>
          <w:rFonts w:ascii="Times New Roman" w:hAnsi="Times New Roman" w:cs="Times New Roman"/>
          <w:sz w:val="28"/>
          <w:szCs w:val="28"/>
        </w:rPr>
        <w:t>%, для сравнения: в этот же период 2017 года доля такой продукции, по да</w:t>
      </w:r>
      <w:r w:rsidR="00380802">
        <w:rPr>
          <w:rFonts w:ascii="Times New Roman" w:hAnsi="Times New Roman" w:cs="Times New Roman"/>
          <w:sz w:val="28"/>
          <w:szCs w:val="28"/>
        </w:rPr>
        <w:t>нным аналитиков, составляла 4,5</w:t>
      </w:r>
      <w:r>
        <w:rPr>
          <w:rFonts w:ascii="Times New Roman" w:hAnsi="Times New Roman" w:cs="Times New Roman"/>
          <w:sz w:val="28"/>
          <w:szCs w:val="28"/>
        </w:rPr>
        <w:t>%.</w:t>
      </w:r>
    </w:p>
    <w:p w14:paraId="327AC441"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Лидирующее место в общем объеме нелегальной табачной продукции занимает нелегальная продукция, поступающая из стран ЕАЭС.</w:t>
      </w:r>
    </w:p>
    <w:p w14:paraId="2AC7C05D"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Увеличение или сохранение разрыва в уровнях ставок акцизов на табачную продукцию в странах-членах ЕАЭС является одним из ключевых факторов роста теневого оборота табачной продукции.</w:t>
      </w:r>
    </w:p>
    <w:p w14:paraId="4C2B85F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отсутствие единого регулятора табачной отрасли приводит к недостаточной согласованности в нормотворческой и правоприменительной практике различных государственных органов, наделенных отдельными полномочиями в регулировании и надзоре над различными аспектами деятельности отрасли.</w:t>
      </w:r>
    </w:p>
    <w:p w14:paraId="3CBEB72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ФАС России в рамках реализации своих полномочий </w:t>
      </w:r>
      <w:r w:rsidRPr="00A718B2">
        <w:rPr>
          <w:rFonts w:ascii="Times New Roman" w:hAnsi="Times New Roman"/>
          <w:sz w:val="28"/>
          <w:szCs w:val="28"/>
        </w:rPr>
        <w:t>активно участвует в обсуждени</w:t>
      </w:r>
      <w:r>
        <w:rPr>
          <w:rFonts w:ascii="Times New Roman" w:hAnsi="Times New Roman"/>
          <w:sz w:val="28"/>
          <w:szCs w:val="28"/>
        </w:rPr>
        <w:t>и</w:t>
      </w:r>
      <w:r w:rsidRPr="00A718B2">
        <w:rPr>
          <w:rFonts w:ascii="Times New Roman" w:hAnsi="Times New Roman"/>
          <w:sz w:val="28"/>
          <w:szCs w:val="28"/>
        </w:rPr>
        <w:t xml:space="preserve"> складывающейся ситуации в табачной отрасли как в рамках Экспертного совета по развитию конкуренции на рынке табачной продукции при ФАС России (далее – Экспертный совет), так и на внешних</w:t>
      </w:r>
      <w:r>
        <w:rPr>
          <w:rFonts w:ascii="Times New Roman" w:hAnsi="Times New Roman"/>
          <w:sz w:val="28"/>
          <w:szCs w:val="28"/>
        </w:rPr>
        <w:t>, в том числе</w:t>
      </w:r>
      <w:r w:rsidRPr="00A718B2">
        <w:rPr>
          <w:rFonts w:ascii="Times New Roman" w:hAnsi="Times New Roman"/>
          <w:sz w:val="28"/>
          <w:szCs w:val="28"/>
        </w:rPr>
        <w:t xml:space="preserve"> </w:t>
      </w:r>
      <w:r w:rsidRPr="00E83EAF">
        <w:rPr>
          <w:rFonts w:ascii="Times New Roman" w:hAnsi="Times New Roman" w:cs="Times New Roman"/>
          <w:sz w:val="28"/>
          <w:szCs w:val="28"/>
        </w:rPr>
        <w:t>межгосударственных площадках.</w:t>
      </w:r>
    </w:p>
    <w:p w14:paraId="7B8476DA" w14:textId="77777777" w:rsidR="009123AC" w:rsidRPr="00DC547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октябре 2018 года ФАС России в составе делегации Российской Федерации приняла участие в </w:t>
      </w:r>
      <w:r w:rsidRPr="00FC3001">
        <w:rPr>
          <w:rFonts w:ascii="Times New Roman" w:hAnsi="Times New Roman" w:cs="Times New Roman"/>
          <w:sz w:val="28"/>
          <w:szCs w:val="28"/>
        </w:rPr>
        <w:t>Восьмой сессии Конференции Сторон Рамочной конвенции Всемирной организации здравоохранения по борьбе против табака (РКБТ) в Женеве (Швейцария)</w:t>
      </w:r>
      <w:r>
        <w:rPr>
          <w:rFonts w:ascii="Times New Roman" w:hAnsi="Times New Roman" w:cs="Times New Roman"/>
          <w:sz w:val="28"/>
          <w:szCs w:val="28"/>
        </w:rPr>
        <w:t>, на которой, в том числе был рассмотрен мировой опыт регулирования табачной отрасли.</w:t>
      </w:r>
    </w:p>
    <w:p w14:paraId="23D091CB"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очередном заседании Экспертного совета, которое состоялось 11.12.2018, основное внимание было уделено проблемам нелегальной торговли, а также применяющимся в Российской Федерации подходам к регулированию отрасли и их влиянию на деловой климат и конкуренцию.</w:t>
      </w:r>
    </w:p>
    <w:p w14:paraId="1375D15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состоявшейся дискуссии были определены факторы</w:t>
      </w:r>
      <w:r>
        <w:rPr>
          <w:rFonts w:ascii="Times New Roman" w:eastAsia="Times New Roman" w:hAnsi="Times New Roman"/>
          <w:sz w:val="28"/>
          <w:szCs w:val="28"/>
        </w:rPr>
        <w:t>, в том числе</w:t>
      </w:r>
      <w:r w:rsidRPr="008C363B">
        <w:rPr>
          <w:rFonts w:ascii="Times New Roman" w:eastAsia="Times New Roman" w:hAnsi="Times New Roman"/>
          <w:sz w:val="28"/>
          <w:szCs w:val="28"/>
        </w:rPr>
        <w:t xml:space="preserve"> административного характера, препятствующи</w:t>
      </w:r>
      <w:r>
        <w:rPr>
          <w:rFonts w:ascii="Times New Roman" w:eastAsia="Times New Roman" w:hAnsi="Times New Roman"/>
          <w:sz w:val="28"/>
          <w:szCs w:val="28"/>
        </w:rPr>
        <w:t>е</w:t>
      </w:r>
      <w:r w:rsidRPr="008C363B">
        <w:rPr>
          <w:rFonts w:ascii="Times New Roman" w:eastAsia="Times New Roman" w:hAnsi="Times New Roman"/>
          <w:sz w:val="28"/>
          <w:szCs w:val="28"/>
        </w:rPr>
        <w:t xml:space="preserve"> развитию конкуренции </w:t>
      </w:r>
      <w:r>
        <w:rPr>
          <w:rFonts w:ascii="Times New Roman" w:eastAsia="Times New Roman" w:hAnsi="Times New Roman"/>
          <w:sz w:val="28"/>
          <w:szCs w:val="28"/>
        </w:rPr>
        <w:t xml:space="preserve">на рынке табачной продукции, а также </w:t>
      </w:r>
      <w:r>
        <w:rPr>
          <w:rFonts w:ascii="Times New Roman" w:hAnsi="Times New Roman" w:cs="Times New Roman"/>
          <w:sz w:val="28"/>
          <w:szCs w:val="28"/>
        </w:rPr>
        <w:t>рассмотрены предложения бизнес-сообщества по совершенствованию государственного регулирования отрасли, которые были учтены ФАС России при разработке мер, направленных на развитие конкуренции на указанном рынке.</w:t>
      </w:r>
    </w:p>
    <w:p w14:paraId="29EBEF9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частности, ФАС России подготовлены предложения по доработке и обоснованию ряда положений проекта концепции</w:t>
      </w:r>
      <w:r w:rsidRPr="005844C0">
        <w:rPr>
          <w:rFonts w:ascii="Times New Roman" w:hAnsi="Times New Roman" w:cs="Times New Roman"/>
          <w:sz w:val="28"/>
          <w:szCs w:val="28"/>
        </w:rPr>
        <w:t xml:space="preserve"> осуществления государственной политики про</w:t>
      </w:r>
      <w:r>
        <w:rPr>
          <w:rFonts w:ascii="Times New Roman" w:hAnsi="Times New Roman" w:cs="Times New Roman"/>
          <w:sz w:val="28"/>
          <w:szCs w:val="28"/>
        </w:rPr>
        <w:t>тиводействия потреблению табака (далее - Концепция), в том числе:</w:t>
      </w:r>
    </w:p>
    <w:p w14:paraId="5B531B31" w14:textId="77777777" w:rsidR="009123AC" w:rsidRPr="00E0123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01236">
        <w:rPr>
          <w:rFonts w:ascii="Times New Roman" w:hAnsi="Times New Roman" w:cs="Times New Roman"/>
          <w:sz w:val="28"/>
          <w:szCs w:val="28"/>
        </w:rPr>
        <w:t xml:space="preserve"> при выработке мер, направленных на сокращение распространенности потребления табака, учитывать единство принципов регулирования в рамках ЕАЭС;</w:t>
      </w:r>
    </w:p>
    <w:p w14:paraId="1E470E81" w14:textId="77777777" w:rsidR="009123AC" w:rsidRDefault="009123AC" w:rsidP="009123AC">
      <w:pPr>
        <w:spacing w:after="0" w:line="240" w:lineRule="auto"/>
        <w:ind w:firstLine="709"/>
        <w:jc w:val="both"/>
        <w:rPr>
          <w:rFonts w:ascii="Times New Roman" w:hAnsi="Times New Roman" w:cs="Times New Roman"/>
          <w:sz w:val="28"/>
          <w:szCs w:val="28"/>
        </w:rPr>
      </w:pPr>
      <w:r w:rsidRPr="00E01236">
        <w:rPr>
          <w:rFonts w:ascii="Times New Roman" w:hAnsi="Times New Roman" w:cs="Times New Roman"/>
          <w:sz w:val="28"/>
          <w:szCs w:val="28"/>
        </w:rPr>
        <w:t>- минимизировать угрозы возникновения сегмента нелегального оборота табачной продукции, наличие которого оказывает существенное влияние на конкурентоспособность легальной табачной продукции</w:t>
      </w:r>
      <w:r>
        <w:rPr>
          <w:rFonts w:ascii="Times New Roman" w:hAnsi="Times New Roman" w:cs="Times New Roman"/>
          <w:sz w:val="28"/>
          <w:szCs w:val="28"/>
        </w:rPr>
        <w:t>;</w:t>
      </w:r>
    </w:p>
    <w:p w14:paraId="27042D5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рассмотреть возможность применения менее жестких регуляторных мер в отношении инновационных продуктов (в частности - электронных систем доставки никотина (ЭСДН) в случае, если будет научно доказан их меньший вред здоровью человека по сравнению с традиционными табачными изделиями; </w:t>
      </w:r>
    </w:p>
    <w:p w14:paraId="664BA769"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устанавливать запрет на производство, ввоз и обращение некурительных табачных изделий, который может привести к переключению потребителей данного вида табачных изделий на табак курительный, производители которого получат преимущества путем вытеснения с рынка производителей иных видов табачных изделий;</w:t>
      </w:r>
    </w:p>
    <w:p w14:paraId="7F625450"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позиция зафиксирована в таблице разногласий между Минздравом России и ФАС России по проекту распоряжения Правительства Российской Федерации об утверждении Концепции.</w:t>
      </w:r>
    </w:p>
    <w:p w14:paraId="7A4973D9" w14:textId="27852863"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осуществления государственного контроля за экономической концентрацией ФАС России в июне 2018 года принято решение о </w:t>
      </w:r>
      <w:r w:rsidRPr="00264E01">
        <w:rPr>
          <w:rFonts w:ascii="Times New Roman" w:hAnsi="Times New Roman" w:cs="Times New Roman"/>
          <w:sz w:val="28"/>
          <w:szCs w:val="28"/>
        </w:rPr>
        <w:t>предварительном согласовании комплексной сделки</w:t>
      </w:r>
      <w:r>
        <w:rPr>
          <w:rFonts w:ascii="Times New Roman" w:hAnsi="Times New Roman" w:cs="Times New Roman"/>
          <w:sz w:val="28"/>
          <w:szCs w:val="28"/>
        </w:rPr>
        <w:t xml:space="preserve"> по приобретению «Дж.Т. </w:t>
      </w:r>
      <w:r w:rsidRPr="00264E01">
        <w:rPr>
          <w:rFonts w:ascii="Times New Roman" w:hAnsi="Times New Roman" w:cs="Times New Roman"/>
          <w:sz w:val="28"/>
          <w:szCs w:val="28"/>
        </w:rPr>
        <w:t>Интернэшнл Германия ГмбХ»</w:t>
      </w:r>
      <w:r w:rsidR="00380802">
        <w:rPr>
          <w:rFonts w:ascii="Times New Roman" w:hAnsi="Times New Roman" w:cs="Times New Roman"/>
          <w:sz w:val="28"/>
          <w:szCs w:val="28"/>
        </w:rPr>
        <w:t xml:space="preserve"> 100</w:t>
      </w:r>
      <w:r>
        <w:rPr>
          <w:rFonts w:ascii="Times New Roman" w:hAnsi="Times New Roman" w:cs="Times New Roman"/>
          <w:sz w:val="28"/>
          <w:szCs w:val="28"/>
        </w:rPr>
        <w:t>% голосующих акций</w:t>
      </w:r>
      <w:r w:rsidRPr="00264E01">
        <w:rPr>
          <w:rFonts w:ascii="Times New Roman" w:hAnsi="Times New Roman" w:cs="Times New Roman"/>
          <w:sz w:val="28"/>
          <w:szCs w:val="28"/>
        </w:rPr>
        <w:t xml:space="preserve"> </w:t>
      </w:r>
      <w:r>
        <w:rPr>
          <w:rFonts w:ascii="Times New Roman" w:hAnsi="Times New Roman" w:cs="Times New Roman"/>
          <w:sz w:val="28"/>
          <w:szCs w:val="28"/>
        </w:rPr>
        <w:t>компаний</w:t>
      </w:r>
      <w:r w:rsidRPr="00264E01">
        <w:rPr>
          <w:rFonts w:ascii="Times New Roman" w:hAnsi="Times New Roman" w:cs="Times New Roman"/>
          <w:sz w:val="28"/>
          <w:szCs w:val="28"/>
        </w:rPr>
        <w:t xml:space="preserve"> АО «Донской Табак» и </w:t>
      </w:r>
      <w:r>
        <w:rPr>
          <w:rFonts w:ascii="Times New Roman" w:hAnsi="Times New Roman" w:cs="Times New Roman"/>
          <w:sz w:val="28"/>
          <w:szCs w:val="28"/>
        </w:rPr>
        <w:t>АО </w:t>
      </w:r>
      <w:r w:rsidRPr="00264E01">
        <w:rPr>
          <w:rFonts w:ascii="Times New Roman" w:hAnsi="Times New Roman" w:cs="Times New Roman"/>
          <w:sz w:val="28"/>
          <w:szCs w:val="28"/>
        </w:rPr>
        <w:t>«Переславль-Табак»</w:t>
      </w:r>
      <w:r>
        <w:rPr>
          <w:rFonts w:ascii="Times New Roman" w:hAnsi="Times New Roman" w:cs="Times New Roman"/>
          <w:sz w:val="28"/>
          <w:szCs w:val="28"/>
        </w:rPr>
        <w:t>.</w:t>
      </w:r>
    </w:p>
    <w:p w14:paraId="6EEE568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исключения рисков ограничения конкуренции на рынке табачной продукции ФАС России одновременно с указанным решением </w:t>
      </w:r>
      <w:r w:rsidRPr="00A54FBC">
        <w:rPr>
          <w:rFonts w:ascii="Times New Roman" w:hAnsi="Times New Roman" w:cs="Times New Roman"/>
          <w:sz w:val="28"/>
          <w:szCs w:val="28"/>
        </w:rPr>
        <w:t xml:space="preserve">компании </w:t>
      </w:r>
      <w:r>
        <w:rPr>
          <w:rFonts w:ascii="Times New Roman" w:hAnsi="Times New Roman" w:cs="Times New Roman"/>
          <w:sz w:val="28"/>
          <w:szCs w:val="28"/>
        </w:rPr>
        <w:t>«Дж.Т. </w:t>
      </w:r>
      <w:r w:rsidRPr="00264E01">
        <w:rPr>
          <w:rFonts w:ascii="Times New Roman" w:hAnsi="Times New Roman" w:cs="Times New Roman"/>
          <w:sz w:val="28"/>
          <w:szCs w:val="28"/>
        </w:rPr>
        <w:t>Интернэшнл Германия ГмбХ»,</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 xml:space="preserve">также лицам, входящим </w:t>
      </w:r>
      <w:r>
        <w:rPr>
          <w:rFonts w:ascii="Times New Roman" w:hAnsi="Times New Roman" w:cs="Times New Roman"/>
          <w:sz w:val="28"/>
          <w:szCs w:val="28"/>
        </w:rPr>
        <w:t xml:space="preserve">с ней </w:t>
      </w:r>
      <w:r w:rsidRPr="00264E01">
        <w:rPr>
          <w:rFonts w:ascii="Times New Roman" w:hAnsi="Times New Roman" w:cs="Times New Roman"/>
          <w:sz w:val="28"/>
          <w:szCs w:val="28"/>
        </w:rPr>
        <w:t xml:space="preserve">в одну группу лиц </w:t>
      </w:r>
      <w:r w:rsidRPr="00A54FBC">
        <w:rPr>
          <w:rFonts w:ascii="Times New Roman" w:hAnsi="Times New Roman" w:cs="Times New Roman"/>
          <w:sz w:val="28"/>
          <w:szCs w:val="28"/>
        </w:rPr>
        <w:t>и</w:t>
      </w:r>
      <w:r w:rsidRPr="00264E01">
        <w:rPr>
          <w:rFonts w:ascii="Times New Roman" w:hAnsi="Times New Roman" w:cs="Times New Roman"/>
          <w:sz w:val="28"/>
          <w:szCs w:val="28"/>
        </w:rPr>
        <w:t xml:space="preserve"> ведущим хозяйственную деятельность в сфере</w:t>
      </w:r>
      <w:r>
        <w:rPr>
          <w:rFonts w:ascii="Times New Roman" w:hAnsi="Times New Roman" w:cs="Times New Roman"/>
          <w:sz w:val="28"/>
          <w:szCs w:val="28"/>
        </w:rPr>
        <w:t xml:space="preserve"> </w:t>
      </w:r>
      <w:r w:rsidRPr="00264E01">
        <w:rPr>
          <w:rFonts w:ascii="Times New Roman" w:hAnsi="Times New Roman" w:cs="Times New Roman"/>
          <w:sz w:val="28"/>
          <w:szCs w:val="28"/>
        </w:rPr>
        <w:t>производства и оборота табачной и никотиносодержащей продукции</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на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территории Российской</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Федераци</w:t>
      </w:r>
      <w:r w:rsidRPr="00A54FBC">
        <w:rPr>
          <w:rFonts w:ascii="Times New Roman" w:hAnsi="Times New Roman" w:cs="Times New Roman"/>
          <w:sz w:val="28"/>
          <w:szCs w:val="28"/>
        </w:rPr>
        <w:t>и</w:t>
      </w:r>
      <w:r>
        <w:rPr>
          <w:rFonts w:ascii="Times New Roman" w:hAnsi="Times New Roman" w:cs="Times New Roman"/>
          <w:sz w:val="28"/>
          <w:szCs w:val="28"/>
        </w:rPr>
        <w:t xml:space="preserve">, выдано предписание об осуществлении </w:t>
      </w:r>
      <w:r w:rsidRPr="00264E01">
        <w:rPr>
          <w:rFonts w:ascii="Times New Roman" w:hAnsi="Times New Roman" w:cs="Times New Roman"/>
          <w:sz w:val="28"/>
          <w:szCs w:val="28"/>
        </w:rPr>
        <w:t>действий,</w:t>
      </w:r>
      <w:r w:rsidRPr="009862D3">
        <w:rPr>
          <w:rFonts w:ascii="Times New Roman" w:hAnsi="Times New Roman" w:cs="Times New Roman"/>
          <w:sz w:val="28"/>
          <w:szCs w:val="28"/>
        </w:rPr>
        <w:t xml:space="preserve"> </w:t>
      </w:r>
      <w:r w:rsidRPr="00264E01">
        <w:rPr>
          <w:rFonts w:ascii="Times New Roman" w:hAnsi="Times New Roman" w:cs="Times New Roman"/>
          <w:sz w:val="28"/>
          <w:szCs w:val="28"/>
        </w:rPr>
        <w:t>направленных на обеспечение конкуренции</w:t>
      </w:r>
      <w:r>
        <w:rPr>
          <w:rFonts w:ascii="Times New Roman" w:hAnsi="Times New Roman" w:cs="Times New Roman"/>
          <w:sz w:val="28"/>
          <w:szCs w:val="28"/>
        </w:rPr>
        <w:t>.</w:t>
      </w:r>
    </w:p>
    <w:p w14:paraId="487A34E9"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Для </w:t>
      </w:r>
      <w:r>
        <w:rPr>
          <w:rFonts w:ascii="Times New Roman" w:hAnsi="Times New Roman"/>
          <w:sz w:val="28"/>
          <w:szCs w:val="28"/>
        </w:rPr>
        <w:t>снижения рисков</w:t>
      </w:r>
      <w:r w:rsidRPr="00A718B2">
        <w:rPr>
          <w:rFonts w:ascii="Times New Roman" w:hAnsi="Times New Roman"/>
          <w:sz w:val="28"/>
          <w:szCs w:val="28"/>
        </w:rPr>
        <w:t xml:space="preserve"> нарушения антимонопольного законодательства</w:t>
      </w:r>
      <w:r>
        <w:rPr>
          <w:rFonts w:ascii="Times New Roman" w:hAnsi="Times New Roman"/>
          <w:sz w:val="28"/>
          <w:szCs w:val="28"/>
        </w:rPr>
        <w:t xml:space="preserve"> и</w:t>
      </w:r>
      <w:r w:rsidRPr="00A718B2">
        <w:rPr>
          <w:rFonts w:ascii="Times New Roman" w:hAnsi="Times New Roman"/>
          <w:sz w:val="28"/>
          <w:szCs w:val="28"/>
        </w:rPr>
        <w:t xml:space="preserve"> предотвра</w:t>
      </w:r>
      <w:r>
        <w:rPr>
          <w:rFonts w:ascii="Times New Roman" w:hAnsi="Times New Roman"/>
          <w:sz w:val="28"/>
          <w:szCs w:val="28"/>
        </w:rPr>
        <w:t>щения</w:t>
      </w:r>
      <w:r w:rsidRPr="00A718B2">
        <w:rPr>
          <w:rFonts w:ascii="Times New Roman" w:hAnsi="Times New Roman"/>
          <w:sz w:val="28"/>
          <w:szCs w:val="28"/>
        </w:rPr>
        <w:t xml:space="preserve"> наступлени</w:t>
      </w:r>
      <w:r>
        <w:rPr>
          <w:rFonts w:ascii="Times New Roman" w:hAnsi="Times New Roman"/>
          <w:sz w:val="28"/>
          <w:szCs w:val="28"/>
        </w:rPr>
        <w:t>я</w:t>
      </w:r>
      <w:r w:rsidRPr="00A718B2">
        <w:rPr>
          <w:rFonts w:ascii="Times New Roman" w:hAnsi="Times New Roman"/>
          <w:sz w:val="28"/>
          <w:szCs w:val="28"/>
        </w:rPr>
        <w:t xml:space="preserve"> административной ответственности за такие нарушения</w:t>
      </w:r>
      <w:r>
        <w:rPr>
          <w:rFonts w:ascii="Times New Roman" w:hAnsi="Times New Roman" w:cs="Times New Roman"/>
          <w:sz w:val="28"/>
          <w:szCs w:val="28"/>
        </w:rPr>
        <w:t xml:space="preserve"> </w:t>
      </w:r>
      <w:r w:rsidRPr="00A718B2">
        <w:rPr>
          <w:rFonts w:ascii="Times New Roman" w:hAnsi="Times New Roman"/>
          <w:sz w:val="28"/>
          <w:szCs w:val="28"/>
        </w:rPr>
        <w:t>ФАС России ведет активную работу с ключевыми участниками рынка по согласованию и внедрению коммерческих политик</w:t>
      </w:r>
      <w:r>
        <w:rPr>
          <w:rFonts w:ascii="Times New Roman" w:hAnsi="Times New Roman"/>
          <w:sz w:val="28"/>
          <w:szCs w:val="28"/>
        </w:rPr>
        <w:t>, а также построению</w:t>
      </w:r>
      <w:r w:rsidRPr="00A718B2">
        <w:rPr>
          <w:rFonts w:ascii="Times New Roman" w:hAnsi="Times New Roman"/>
          <w:sz w:val="28"/>
          <w:szCs w:val="28"/>
        </w:rPr>
        <w:t xml:space="preserve"> </w:t>
      </w:r>
      <w:r>
        <w:rPr>
          <w:rFonts w:ascii="Times New Roman" w:hAnsi="Times New Roman"/>
          <w:sz w:val="28"/>
          <w:szCs w:val="28"/>
        </w:rPr>
        <w:t xml:space="preserve">антимонопольного </w:t>
      </w:r>
      <w:r w:rsidRPr="00A718B2">
        <w:rPr>
          <w:rFonts w:ascii="Times New Roman" w:hAnsi="Times New Roman"/>
          <w:sz w:val="28"/>
          <w:szCs w:val="28"/>
        </w:rPr>
        <w:t xml:space="preserve">комплаенса как одного из основных </w:t>
      </w:r>
      <w:r>
        <w:rPr>
          <w:rFonts w:ascii="Times New Roman" w:hAnsi="Times New Roman"/>
          <w:sz w:val="28"/>
          <w:szCs w:val="28"/>
        </w:rPr>
        <w:t>инструментов</w:t>
      </w:r>
      <w:r w:rsidRPr="00A718B2">
        <w:rPr>
          <w:rFonts w:ascii="Times New Roman" w:hAnsi="Times New Roman"/>
          <w:sz w:val="28"/>
          <w:szCs w:val="28"/>
        </w:rPr>
        <w:t xml:space="preserve"> снижения </w:t>
      </w:r>
      <w:r>
        <w:rPr>
          <w:rFonts w:ascii="Times New Roman" w:hAnsi="Times New Roman"/>
          <w:sz w:val="28"/>
          <w:szCs w:val="28"/>
        </w:rPr>
        <w:t xml:space="preserve">указанных </w:t>
      </w:r>
      <w:r w:rsidRPr="00A718B2">
        <w:rPr>
          <w:rFonts w:ascii="Times New Roman" w:hAnsi="Times New Roman"/>
          <w:sz w:val="28"/>
          <w:szCs w:val="28"/>
        </w:rPr>
        <w:t>рисков.</w:t>
      </w:r>
    </w:p>
    <w:p w14:paraId="134CAD95"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в 2018 году в ФАС России на согласование были направлены политики сбыта и ценообразования </w:t>
      </w:r>
      <w:r w:rsidRPr="00205393">
        <w:rPr>
          <w:rFonts w:ascii="Times New Roman" w:hAnsi="Times New Roman"/>
          <w:sz w:val="28"/>
          <w:szCs w:val="28"/>
        </w:rPr>
        <w:t xml:space="preserve">ООО </w:t>
      </w:r>
      <w:r>
        <w:rPr>
          <w:rFonts w:ascii="Times New Roman" w:hAnsi="Times New Roman"/>
          <w:sz w:val="28"/>
          <w:szCs w:val="28"/>
        </w:rPr>
        <w:t>«</w:t>
      </w:r>
      <w:r w:rsidRPr="00205393">
        <w:rPr>
          <w:rFonts w:ascii="Times New Roman" w:hAnsi="Times New Roman"/>
          <w:sz w:val="28"/>
          <w:szCs w:val="28"/>
        </w:rPr>
        <w:t>Дж. Т. И. Россия</w:t>
      </w:r>
      <w:r>
        <w:rPr>
          <w:rFonts w:ascii="Times New Roman" w:hAnsi="Times New Roman"/>
          <w:sz w:val="28"/>
          <w:szCs w:val="28"/>
        </w:rPr>
        <w:t xml:space="preserve">» и </w:t>
      </w:r>
      <w:r w:rsidRPr="00CA147A">
        <w:rPr>
          <w:rFonts w:ascii="Times New Roman" w:hAnsi="Times New Roman"/>
          <w:sz w:val="28"/>
          <w:szCs w:val="28"/>
        </w:rPr>
        <w:t xml:space="preserve">ООО </w:t>
      </w:r>
      <w:r>
        <w:rPr>
          <w:rFonts w:ascii="Times New Roman" w:hAnsi="Times New Roman"/>
          <w:sz w:val="28"/>
          <w:szCs w:val="28"/>
        </w:rPr>
        <w:t>«</w:t>
      </w:r>
      <w:r w:rsidRPr="00CA147A">
        <w:rPr>
          <w:rFonts w:ascii="Times New Roman" w:hAnsi="Times New Roman"/>
          <w:sz w:val="28"/>
          <w:szCs w:val="28"/>
        </w:rPr>
        <w:t>Филип Моррис Сэйлз энд Маркетинг</w:t>
      </w:r>
      <w:r>
        <w:rPr>
          <w:rFonts w:ascii="Times New Roman" w:hAnsi="Times New Roman"/>
          <w:sz w:val="28"/>
          <w:szCs w:val="28"/>
        </w:rPr>
        <w:t>»</w:t>
      </w:r>
      <w:r w:rsidRPr="00A718B2">
        <w:rPr>
          <w:rFonts w:ascii="Times New Roman" w:hAnsi="Times New Roman"/>
          <w:sz w:val="28"/>
          <w:szCs w:val="28"/>
        </w:rPr>
        <w:t>, содержащи</w:t>
      </w:r>
      <w:r>
        <w:rPr>
          <w:rFonts w:ascii="Times New Roman" w:hAnsi="Times New Roman"/>
          <w:sz w:val="28"/>
          <w:szCs w:val="28"/>
        </w:rPr>
        <w:t>е</w:t>
      </w:r>
      <w:r w:rsidRPr="00A718B2">
        <w:rPr>
          <w:rFonts w:ascii="Times New Roman" w:hAnsi="Times New Roman"/>
          <w:sz w:val="28"/>
          <w:szCs w:val="28"/>
        </w:rPr>
        <w:t xml:space="preserve"> общие правила и принципы взаимодейств</w:t>
      </w:r>
      <w:r>
        <w:rPr>
          <w:rFonts w:ascii="Times New Roman" w:hAnsi="Times New Roman"/>
          <w:sz w:val="28"/>
          <w:szCs w:val="28"/>
        </w:rPr>
        <w:t>ия с контрагентами, в том числе</w:t>
      </w:r>
      <w:r w:rsidRPr="00A718B2">
        <w:rPr>
          <w:rFonts w:ascii="Times New Roman" w:hAnsi="Times New Roman"/>
          <w:sz w:val="28"/>
          <w:szCs w:val="28"/>
        </w:rPr>
        <w:t xml:space="preserve"> основные принципы дистрибуции и реализации продукции,</w:t>
      </w:r>
      <w:r>
        <w:rPr>
          <w:rFonts w:ascii="Times New Roman" w:hAnsi="Times New Roman"/>
          <w:sz w:val="28"/>
          <w:szCs w:val="28"/>
        </w:rPr>
        <w:t xml:space="preserve"> </w:t>
      </w:r>
      <w:r w:rsidRPr="00AD71EA">
        <w:rPr>
          <w:rFonts w:ascii="Times New Roman" w:hAnsi="Times New Roman"/>
          <w:sz w:val="28"/>
          <w:szCs w:val="28"/>
        </w:rPr>
        <w:t>а также коммерческая политика по р</w:t>
      </w:r>
      <w:r>
        <w:rPr>
          <w:rFonts w:ascii="Times New Roman" w:hAnsi="Times New Roman"/>
          <w:sz w:val="28"/>
          <w:szCs w:val="28"/>
        </w:rPr>
        <w:t xml:space="preserve">еализации табачной продукции АО «Торговая компания «МЕГАПОЛИС». </w:t>
      </w:r>
    </w:p>
    <w:p w14:paraId="7FABE5EC"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По ряду положений указанных документов ФАС России были представлены замечания, которые были учтены участниками рынка в итоговой редакции документов.</w:t>
      </w:r>
    </w:p>
    <w:p w14:paraId="00A082CD"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ФАС России был рассмотрен и согласован антимонопольный комплаенс ООО «Дж. </w:t>
      </w:r>
      <w:r w:rsidRPr="00AA0784">
        <w:rPr>
          <w:rFonts w:ascii="Times New Roman" w:hAnsi="Times New Roman"/>
          <w:sz w:val="28"/>
          <w:szCs w:val="28"/>
        </w:rPr>
        <w:t>Т. И. Ро</w:t>
      </w:r>
      <w:r>
        <w:rPr>
          <w:rFonts w:ascii="Times New Roman" w:hAnsi="Times New Roman"/>
          <w:sz w:val="28"/>
          <w:szCs w:val="28"/>
        </w:rPr>
        <w:t xml:space="preserve">ссия» и других компаний группы </w:t>
      </w:r>
      <w:r w:rsidRPr="00AA0784">
        <w:rPr>
          <w:rFonts w:ascii="Times New Roman" w:hAnsi="Times New Roman"/>
          <w:sz w:val="28"/>
          <w:szCs w:val="28"/>
        </w:rPr>
        <w:t>«Дж. Т. Интернэшнл Германия ГмбХ» в России</w:t>
      </w:r>
      <w:r>
        <w:rPr>
          <w:rFonts w:ascii="Times New Roman" w:hAnsi="Times New Roman"/>
          <w:sz w:val="28"/>
          <w:szCs w:val="28"/>
        </w:rPr>
        <w:t>.</w:t>
      </w:r>
    </w:p>
    <w:p w14:paraId="28C6B3E3"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в Российской Федерации формируется новый рынок инновационной никотиносодержащей продукции </w:t>
      </w:r>
      <w:r w:rsidRPr="00E872D6">
        <w:rPr>
          <w:rFonts w:ascii="Times New Roman" w:hAnsi="Times New Roman"/>
          <w:sz w:val="28"/>
          <w:szCs w:val="28"/>
        </w:rPr>
        <w:t>с потенциально пониженным риском</w:t>
      </w:r>
      <w:r>
        <w:rPr>
          <w:rFonts w:ascii="Times New Roman" w:hAnsi="Times New Roman"/>
          <w:sz w:val="28"/>
          <w:szCs w:val="28"/>
        </w:rPr>
        <w:t xml:space="preserve"> причинения вреда здоровью</w:t>
      </w:r>
      <w:r w:rsidRPr="00E872D6">
        <w:rPr>
          <w:rFonts w:ascii="Times New Roman" w:hAnsi="Times New Roman"/>
          <w:sz w:val="28"/>
          <w:szCs w:val="28"/>
        </w:rPr>
        <w:t>, котор</w:t>
      </w:r>
      <w:r>
        <w:rPr>
          <w:rFonts w:ascii="Times New Roman" w:hAnsi="Times New Roman"/>
          <w:sz w:val="28"/>
          <w:szCs w:val="28"/>
        </w:rPr>
        <w:t>ая</w:t>
      </w:r>
      <w:r w:rsidRPr="00E872D6">
        <w:rPr>
          <w:rFonts w:ascii="Times New Roman" w:hAnsi="Times New Roman"/>
          <w:sz w:val="28"/>
          <w:szCs w:val="28"/>
        </w:rPr>
        <w:t xml:space="preserve"> мо</w:t>
      </w:r>
      <w:r>
        <w:rPr>
          <w:rFonts w:ascii="Times New Roman" w:hAnsi="Times New Roman"/>
          <w:sz w:val="28"/>
          <w:szCs w:val="28"/>
        </w:rPr>
        <w:t>жет</w:t>
      </w:r>
      <w:r w:rsidRPr="00E872D6">
        <w:rPr>
          <w:rFonts w:ascii="Times New Roman" w:hAnsi="Times New Roman"/>
          <w:sz w:val="28"/>
          <w:szCs w:val="28"/>
        </w:rPr>
        <w:t xml:space="preserve"> стать альтернативой</w:t>
      </w:r>
      <w:r>
        <w:rPr>
          <w:rFonts w:ascii="Times New Roman" w:hAnsi="Times New Roman"/>
          <w:sz w:val="28"/>
          <w:szCs w:val="28"/>
        </w:rPr>
        <w:t xml:space="preserve"> традиционной табачной продукции.</w:t>
      </w:r>
    </w:p>
    <w:p w14:paraId="69EFD4E5" w14:textId="77777777" w:rsidR="00F72620" w:rsidRDefault="009123AC" w:rsidP="00F72620">
      <w:pPr>
        <w:spacing w:after="0" w:line="240" w:lineRule="auto"/>
        <w:ind w:firstLine="709"/>
        <w:jc w:val="both"/>
        <w:rPr>
          <w:rFonts w:ascii="Times New Roman" w:hAnsi="Times New Roman"/>
          <w:sz w:val="28"/>
          <w:szCs w:val="28"/>
        </w:rPr>
      </w:pPr>
      <w:r>
        <w:rPr>
          <w:rFonts w:ascii="Times New Roman" w:hAnsi="Times New Roman"/>
          <w:sz w:val="28"/>
          <w:szCs w:val="28"/>
        </w:rPr>
        <w:t>Порядок регулирования производства и оборота такой продукции на территории Российской Федерации не закреплен на законодательном уровне.  ФАС России активно участвует в межведомственном согласовании предложений, касающихся установления   государственного регулирования в данной сфере.</w:t>
      </w:r>
    </w:p>
    <w:p w14:paraId="30C73AD5" w14:textId="77777777" w:rsidR="00EC4085" w:rsidRDefault="00EC4085" w:rsidP="00F72620">
      <w:pPr>
        <w:spacing w:after="0" w:line="240" w:lineRule="auto"/>
        <w:ind w:firstLine="709"/>
        <w:jc w:val="both"/>
        <w:rPr>
          <w:rFonts w:ascii="Times New Roman" w:hAnsi="Times New Roman" w:cs="Times New Roman"/>
          <w:b/>
          <w:sz w:val="28"/>
          <w:szCs w:val="28"/>
        </w:rPr>
      </w:pPr>
    </w:p>
    <w:p w14:paraId="6628D33F" w14:textId="77777777" w:rsidR="00F72620" w:rsidRPr="00F72620" w:rsidRDefault="00EC4085" w:rsidP="00F7262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Рынок</w:t>
      </w:r>
      <w:r w:rsidR="00F72620" w:rsidRPr="00F72620">
        <w:rPr>
          <w:rFonts w:ascii="Times New Roman" w:hAnsi="Times New Roman" w:cs="Times New Roman"/>
          <w:b/>
          <w:sz w:val="28"/>
          <w:szCs w:val="28"/>
        </w:rPr>
        <w:t xml:space="preserve"> н</w:t>
      </w:r>
      <w:r>
        <w:rPr>
          <w:rFonts w:ascii="Times New Roman" w:hAnsi="Times New Roman" w:cs="Times New Roman"/>
          <w:b/>
          <w:sz w:val="28"/>
          <w:szCs w:val="28"/>
        </w:rPr>
        <w:t>ерудных строительных материалов</w:t>
      </w:r>
    </w:p>
    <w:p w14:paraId="473CF7DF" w14:textId="77777777" w:rsidR="00EC4085" w:rsidRDefault="00EC4085" w:rsidP="00F72620">
      <w:pPr>
        <w:autoSpaceDE w:val="0"/>
        <w:autoSpaceDN w:val="0"/>
        <w:adjustRightInd w:val="0"/>
        <w:spacing w:after="0" w:line="240" w:lineRule="auto"/>
        <w:ind w:firstLine="709"/>
        <w:jc w:val="both"/>
        <w:rPr>
          <w:rFonts w:ascii="Times New Roman" w:hAnsi="Times New Roman" w:cs="Times New Roman"/>
          <w:sz w:val="28"/>
          <w:szCs w:val="28"/>
        </w:rPr>
      </w:pPr>
    </w:p>
    <w:p w14:paraId="08FDF3A4" w14:textId="3C7CC033" w:rsidR="00F72620" w:rsidRPr="00026951" w:rsidRDefault="00F72620" w:rsidP="00F7262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Представленные в предыдущем Докладе о состоянии конкуренции за 201</w:t>
      </w:r>
      <w:r w:rsidR="00380802">
        <w:rPr>
          <w:rFonts w:ascii="Times New Roman" w:hAnsi="Times New Roman" w:cs="Times New Roman"/>
          <w:sz w:val="28"/>
          <w:szCs w:val="28"/>
        </w:rPr>
        <w:t>7</w:t>
      </w:r>
      <w:r>
        <w:rPr>
          <w:rFonts w:ascii="Times New Roman" w:hAnsi="Times New Roman" w:cs="Times New Roman"/>
          <w:sz w:val="28"/>
          <w:szCs w:val="28"/>
        </w:rPr>
        <w:t xml:space="preserve"> год предложения ФАС России по</w:t>
      </w:r>
      <w:r w:rsidRPr="00026951">
        <w:rPr>
          <w:rFonts w:ascii="Times New Roman" w:hAnsi="Times New Roman" w:cs="Times New Roman"/>
          <w:sz w:val="28"/>
          <w:szCs w:val="28"/>
        </w:rPr>
        <w:t xml:space="preserve"> </w:t>
      </w:r>
      <w:r w:rsidRPr="00026951">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ю</w:t>
      </w:r>
      <w:r w:rsidRPr="00026951">
        <w:rPr>
          <w:rFonts w:ascii="Times New Roman" w:hAnsi="Times New Roman" w:cs="Times New Roman"/>
          <w:sz w:val="28"/>
          <w:szCs w:val="28"/>
        </w:rPr>
        <w:t xml:space="preserve"> конкуренции на рынках нерудных строительных материалов,</w:t>
      </w:r>
      <w:r>
        <w:rPr>
          <w:rFonts w:ascii="Times New Roman" w:hAnsi="Times New Roman" w:cs="Times New Roman"/>
          <w:sz w:val="28"/>
          <w:szCs w:val="28"/>
        </w:rPr>
        <w:t xml:space="preserve"> стимулированию снижения цен на соответствующие материалы,</w:t>
      </w:r>
      <w:r w:rsidRPr="00026951">
        <w:rPr>
          <w:rFonts w:ascii="Times New Roman" w:hAnsi="Times New Roman" w:cs="Times New Roman"/>
          <w:sz w:val="28"/>
          <w:szCs w:val="28"/>
        </w:rPr>
        <w:t xml:space="preserve"> разработк</w:t>
      </w:r>
      <w:r>
        <w:rPr>
          <w:rFonts w:ascii="Times New Roman" w:hAnsi="Times New Roman" w:cs="Times New Roman"/>
          <w:sz w:val="28"/>
          <w:szCs w:val="28"/>
        </w:rPr>
        <w:t>е</w:t>
      </w:r>
      <w:r w:rsidRPr="00026951">
        <w:rPr>
          <w:rFonts w:ascii="Times New Roman" w:hAnsi="Times New Roman" w:cs="Times New Roman"/>
          <w:sz w:val="28"/>
          <w:szCs w:val="28"/>
        </w:rPr>
        <w:t xml:space="preserve"> и внедрени</w:t>
      </w:r>
      <w:r>
        <w:rPr>
          <w:rFonts w:ascii="Times New Roman" w:hAnsi="Times New Roman" w:cs="Times New Roman"/>
          <w:sz w:val="28"/>
          <w:szCs w:val="28"/>
        </w:rPr>
        <w:t>ю</w:t>
      </w:r>
      <w:r w:rsidRPr="00026951">
        <w:rPr>
          <w:rFonts w:ascii="Times New Roman" w:hAnsi="Times New Roman" w:cs="Times New Roman"/>
          <w:sz w:val="28"/>
          <w:szCs w:val="28"/>
        </w:rPr>
        <w:t xml:space="preserve"> новых технологий,</w:t>
      </w:r>
      <w:r>
        <w:rPr>
          <w:rFonts w:ascii="Times New Roman" w:hAnsi="Times New Roman" w:cs="Times New Roman"/>
          <w:sz w:val="28"/>
          <w:szCs w:val="28"/>
        </w:rPr>
        <w:t xml:space="preserve"> в рамках</w:t>
      </w:r>
      <w:r w:rsidRPr="00026951">
        <w:rPr>
          <w:rFonts w:ascii="Times New Roman" w:hAnsi="Times New Roman" w:cs="Times New Roman"/>
          <w:sz w:val="28"/>
          <w:szCs w:val="28"/>
        </w:rPr>
        <w:t xml:space="preserve"> эффективного и безопасного использования недр, а также </w:t>
      </w:r>
      <w:r>
        <w:rPr>
          <w:rFonts w:ascii="Times New Roman" w:hAnsi="Times New Roman" w:cs="Times New Roman"/>
          <w:sz w:val="28"/>
          <w:szCs w:val="28"/>
        </w:rPr>
        <w:t xml:space="preserve">по </w:t>
      </w:r>
      <w:r w:rsidRPr="00026951">
        <w:rPr>
          <w:rFonts w:ascii="Times New Roman" w:hAnsi="Times New Roman" w:cs="Times New Roman"/>
          <w:sz w:val="28"/>
          <w:szCs w:val="28"/>
        </w:rPr>
        <w:t>снижени</w:t>
      </w:r>
      <w:r>
        <w:rPr>
          <w:rFonts w:ascii="Times New Roman" w:hAnsi="Times New Roman" w:cs="Times New Roman"/>
          <w:sz w:val="28"/>
          <w:szCs w:val="28"/>
        </w:rPr>
        <w:t>ю</w:t>
      </w:r>
      <w:r w:rsidRPr="00026951">
        <w:rPr>
          <w:rFonts w:ascii="Times New Roman" w:hAnsi="Times New Roman" w:cs="Times New Roman"/>
          <w:sz w:val="28"/>
          <w:szCs w:val="28"/>
        </w:rPr>
        <w:t xml:space="preserve"> коррупционных риск</w:t>
      </w:r>
      <w:r>
        <w:rPr>
          <w:rFonts w:ascii="Times New Roman" w:hAnsi="Times New Roman" w:cs="Times New Roman"/>
          <w:sz w:val="28"/>
          <w:szCs w:val="28"/>
        </w:rPr>
        <w:t>ов направлены в Правительство Российской Федерации.</w:t>
      </w:r>
    </w:p>
    <w:p w14:paraId="117894F3" w14:textId="77777777" w:rsidR="00F72620" w:rsidRDefault="00F72620" w:rsidP="00F72620">
      <w:pPr>
        <w:spacing w:after="0" w:line="240" w:lineRule="auto"/>
        <w:ind w:firstLine="567"/>
        <w:jc w:val="both"/>
        <w:rPr>
          <w:rFonts w:ascii="Times New Roman" w:hAnsi="Times New Roman" w:cs="Times New Roman"/>
          <w:sz w:val="28"/>
          <w:szCs w:val="28"/>
        </w:rPr>
      </w:pPr>
    </w:p>
    <w:p w14:paraId="59F6F4DC" w14:textId="77777777" w:rsidR="00EC4085" w:rsidRDefault="00EC4085" w:rsidP="00D55CCC">
      <w:pPr>
        <w:spacing w:after="0" w:line="240" w:lineRule="auto"/>
        <w:ind w:firstLine="709"/>
        <w:jc w:val="both"/>
        <w:rPr>
          <w:rFonts w:ascii="Times New Roman" w:eastAsia="Times New Roman" w:hAnsi="Times New Roman" w:cs="Times New Roman"/>
          <w:b/>
          <w:sz w:val="28"/>
          <w:szCs w:val="28"/>
        </w:rPr>
      </w:pPr>
    </w:p>
    <w:p w14:paraId="721C79CE" w14:textId="77777777" w:rsidR="00D55CCC" w:rsidRPr="00D55CCC" w:rsidRDefault="00EC4085" w:rsidP="00D55CC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00D55CCC" w:rsidRPr="00D55CCC">
        <w:rPr>
          <w:rFonts w:ascii="Times New Roman" w:eastAsia="Times New Roman" w:hAnsi="Times New Roman" w:cs="Times New Roman"/>
          <w:b/>
          <w:sz w:val="28"/>
          <w:szCs w:val="28"/>
        </w:rPr>
        <w:t>ыбохозяйственн</w:t>
      </w:r>
      <w:r>
        <w:rPr>
          <w:rFonts w:ascii="Times New Roman" w:eastAsia="Times New Roman" w:hAnsi="Times New Roman" w:cs="Times New Roman"/>
          <w:b/>
          <w:sz w:val="28"/>
          <w:szCs w:val="28"/>
        </w:rPr>
        <w:t>ый</w:t>
      </w:r>
      <w:r w:rsidR="00D55CCC" w:rsidRPr="00D55CCC">
        <w:rPr>
          <w:rFonts w:ascii="Times New Roman" w:eastAsia="Times New Roman" w:hAnsi="Times New Roman" w:cs="Times New Roman"/>
          <w:b/>
          <w:sz w:val="28"/>
          <w:szCs w:val="28"/>
        </w:rPr>
        <w:t xml:space="preserve"> комплекс</w:t>
      </w:r>
    </w:p>
    <w:p w14:paraId="4979C487" w14:textId="77777777" w:rsidR="00EC4085" w:rsidRDefault="00EC4085" w:rsidP="00D55CCC">
      <w:pPr>
        <w:spacing w:after="0" w:line="240" w:lineRule="auto"/>
        <w:ind w:firstLine="708"/>
        <w:jc w:val="both"/>
        <w:rPr>
          <w:rFonts w:ascii="Times New Roman" w:eastAsia="Times New Roman" w:hAnsi="Times New Roman" w:cs="Times New Roman"/>
          <w:sz w:val="28"/>
          <w:szCs w:val="28"/>
          <w:lang w:eastAsia="ru-RU"/>
        </w:rPr>
      </w:pPr>
    </w:p>
    <w:p w14:paraId="5F755013" w14:textId="77777777" w:rsidR="00D55CCC" w:rsidRPr="00D55CCC" w:rsidRDefault="00D55CCC" w:rsidP="00D55CCC">
      <w:pPr>
        <w:spacing w:after="0" w:line="240" w:lineRule="auto"/>
        <w:ind w:firstLine="708"/>
        <w:jc w:val="both"/>
        <w:rPr>
          <w:rFonts w:ascii="Times New Roman" w:eastAsia="Times New Roman" w:hAnsi="Times New Roman" w:cs="Times New Roman"/>
          <w:sz w:val="28"/>
          <w:szCs w:val="28"/>
          <w:lang w:eastAsia="ru-RU"/>
        </w:rPr>
      </w:pPr>
      <w:r w:rsidRPr="00D55CCC">
        <w:rPr>
          <w:rFonts w:ascii="Times New Roman" w:eastAsia="Times New Roman" w:hAnsi="Times New Roman" w:cs="Times New Roman"/>
          <w:sz w:val="28"/>
          <w:szCs w:val="28"/>
          <w:lang w:eastAsia="ru-RU"/>
        </w:rPr>
        <w:t xml:space="preserve">В докладе о развитии конкуренции за 2017 год ФАС России планировалось продолжить работу по совершенствованию порядка предоставления права пользования водными биологическими ресурсами и внедрению поэтапного перехода к открытым конкурентным процедурам распределения квот - торгам на добычу водных биологических ресурсов в форме электронного аукциона, </w:t>
      </w:r>
    </w:p>
    <w:p w14:paraId="328DCB5C" w14:textId="77777777" w:rsidR="00D55CCC" w:rsidRPr="00D55CCC" w:rsidRDefault="00D55CCC" w:rsidP="00D55CCC">
      <w:pPr>
        <w:spacing w:after="0" w:line="240" w:lineRule="auto"/>
        <w:ind w:firstLine="709"/>
        <w:jc w:val="both"/>
        <w:rPr>
          <w:rFonts w:ascii="Times New Roman" w:hAnsi="Times New Roman" w:cs="Times New Roman"/>
          <w:sz w:val="28"/>
          <w:szCs w:val="28"/>
        </w:rPr>
      </w:pPr>
      <w:r w:rsidRPr="00D55CCC">
        <w:rPr>
          <w:rFonts w:ascii="Times New Roman" w:hAnsi="Times New Roman" w:cs="Times New Roman"/>
          <w:sz w:val="28"/>
          <w:szCs w:val="28"/>
        </w:rPr>
        <w:t xml:space="preserve">По результатам проделанной ФАС России работы, в план мероприятий («дорожную карту»)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16.08.2018 № 1697-р, включен раздел «Рыбохозяйственный комплекс»,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w:t>
      </w:r>
    </w:p>
    <w:p w14:paraId="04BF55D4" w14:textId="77777777" w:rsidR="00A771B0" w:rsidRPr="00A771B0" w:rsidRDefault="00A771B0" w:rsidP="00A771B0"/>
    <w:p w14:paraId="3B4C4B7B" w14:textId="772318F6" w:rsidR="00883C8E" w:rsidRDefault="00883C8E" w:rsidP="00EF64DA">
      <w:pPr>
        <w:pStyle w:val="2"/>
      </w:pPr>
      <w:bookmarkStart w:id="2048" w:name="_Toc7448049"/>
      <w:r w:rsidRPr="001B2F4E">
        <w:t>Задачи по совершенствованию государственной политики по развитию конкуренции в Российской Федерации</w:t>
      </w:r>
      <w:bookmarkEnd w:id="2048"/>
      <w:r w:rsidRPr="001B2F4E">
        <w:t xml:space="preserve"> </w:t>
      </w:r>
    </w:p>
    <w:p w14:paraId="78F880A0" w14:textId="77777777" w:rsidR="0055399B" w:rsidRDefault="0055399B" w:rsidP="0055399B"/>
    <w:p w14:paraId="706B7D3F" w14:textId="77777777" w:rsidR="009366EB" w:rsidRPr="00FA116F" w:rsidRDefault="009366EB" w:rsidP="009366EB">
      <w:pPr>
        <w:spacing w:after="0" w:line="240" w:lineRule="auto"/>
        <w:ind w:firstLine="576"/>
        <w:contextualSpacing/>
        <w:jc w:val="both"/>
        <w:rPr>
          <w:rFonts w:ascii="Times New Roman" w:hAnsi="Times New Roman" w:cs="Times New Roman"/>
          <w:sz w:val="28"/>
          <w:szCs w:val="28"/>
        </w:rPr>
      </w:pPr>
      <w:r w:rsidRPr="00FA116F">
        <w:rPr>
          <w:rFonts w:ascii="Times New Roman" w:hAnsi="Times New Roman" w:cs="Times New Roman"/>
          <w:sz w:val="28"/>
          <w:szCs w:val="28"/>
        </w:rPr>
        <w:t>4.2.1. Национальный план развития конкуренции в Российской Федерации на 2018-2020 годы, утвержденный Указом Президента Российской Федерации от 21.12.2017 № 618</w:t>
      </w:r>
    </w:p>
    <w:p w14:paraId="66B0D54B" w14:textId="36B0C2A7" w:rsidR="00053558" w:rsidRPr="00FA116F" w:rsidRDefault="00053558" w:rsidP="00053558">
      <w:pPr>
        <w:spacing w:after="0" w:line="240" w:lineRule="auto"/>
        <w:ind w:firstLine="576"/>
        <w:contextualSpacing/>
        <w:jc w:val="both"/>
        <w:rPr>
          <w:rFonts w:ascii="Times New Roman" w:hAnsi="Times New Roman" w:cs="Times New Roman"/>
          <w:sz w:val="28"/>
          <w:szCs w:val="28"/>
        </w:rPr>
      </w:pPr>
      <w:r w:rsidRPr="00FA116F">
        <w:rPr>
          <w:rFonts w:ascii="Times New Roman" w:hAnsi="Times New Roman" w:cs="Times New Roman"/>
          <w:sz w:val="28"/>
          <w:szCs w:val="28"/>
        </w:rPr>
        <w:t>Президентом России определены цели и основополагающие принципы совершенствования гос</w:t>
      </w:r>
      <w:r w:rsidR="008A2BB3">
        <w:rPr>
          <w:rFonts w:ascii="Times New Roman" w:hAnsi="Times New Roman" w:cs="Times New Roman"/>
          <w:sz w:val="28"/>
          <w:szCs w:val="28"/>
        </w:rPr>
        <w:t xml:space="preserve">ударственной </w:t>
      </w:r>
      <w:r w:rsidRPr="00FA116F">
        <w:rPr>
          <w:rFonts w:ascii="Times New Roman" w:hAnsi="Times New Roman" w:cs="Times New Roman"/>
          <w:sz w:val="28"/>
          <w:szCs w:val="28"/>
        </w:rPr>
        <w:t>политики по развитию конкуренции.</w:t>
      </w:r>
    </w:p>
    <w:p w14:paraId="28F37E61" w14:textId="42D64970" w:rsidR="00053558" w:rsidRPr="00FA116F" w:rsidRDefault="00053558" w:rsidP="00053558">
      <w:pPr>
        <w:spacing w:after="0" w:line="240" w:lineRule="auto"/>
        <w:ind w:firstLine="576"/>
        <w:contextualSpacing/>
        <w:jc w:val="both"/>
        <w:rPr>
          <w:rFonts w:ascii="Times New Roman" w:hAnsi="Times New Roman" w:cs="Times New Roman"/>
          <w:sz w:val="28"/>
          <w:szCs w:val="28"/>
        </w:rPr>
      </w:pPr>
      <w:r w:rsidRPr="00FA116F">
        <w:rPr>
          <w:rFonts w:ascii="Times New Roman" w:hAnsi="Times New Roman" w:cs="Times New Roman"/>
          <w:sz w:val="28"/>
          <w:szCs w:val="28"/>
        </w:rPr>
        <w:t>Также утвержден Национальный план развития конкуренц</w:t>
      </w:r>
      <w:r w:rsidR="008A2BB3">
        <w:rPr>
          <w:rFonts w:ascii="Times New Roman" w:hAnsi="Times New Roman" w:cs="Times New Roman"/>
          <w:sz w:val="28"/>
          <w:szCs w:val="28"/>
        </w:rPr>
        <w:t xml:space="preserve">ии в России на 2018-2020 гг, который </w:t>
      </w:r>
      <w:r w:rsidRPr="00FA116F">
        <w:rPr>
          <w:rFonts w:ascii="Times New Roman" w:hAnsi="Times New Roman" w:cs="Times New Roman"/>
          <w:sz w:val="28"/>
          <w:szCs w:val="28"/>
        </w:rPr>
        <w:t>предусматривает, в частности, следующее.</w:t>
      </w:r>
    </w:p>
    <w:p w14:paraId="20442ACE" w14:textId="77777777" w:rsidR="00053558" w:rsidRPr="00FA116F" w:rsidRDefault="00053558" w:rsidP="00053558">
      <w:pPr>
        <w:spacing w:after="0" w:line="240" w:lineRule="auto"/>
        <w:ind w:firstLine="576"/>
        <w:contextualSpacing/>
        <w:jc w:val="both"/>
        <w:rPr>
          <w:rFonts w:ascii="Times New Roman" w:hAnsi="Times New Roman" w:cs="Times New Roman"/>
          <w:sz w:val="28"/>
          <w:szCs w:val="28"/>
        </w:rPr>
      </w:pPr>
      <w:r w:rsidRPr="00FA116F">
        <w:rPr>
          <w:rFonts w:ascii="Times New Roman" w:hAnsi="Times New Roman" w:cs="Times New Roman"/>
          <w:sz w:val="28"/>
          <w:szCs w:val="28"/>
        </w:rPr>
        <w:t>В каждой отрасли должно присутствовать не менее 3 хозяйствующих субъектов. Из них хотя бы один должен относиться к малому бизнесу (кроме сфер естественных монополий и ОПК).</w:t>
      </w:r>
    </w:p>
    <w:p w14:paraId="722AD2F6" w14:textId="77777777" w:rsidR="00053558" w:rsidRPr="00FA116F" w:rsidRDefault="00053558" w:rsidP="00053558">
      <w:pPr>
        <w:spacing w:after="0" w:line="240" w:lineRule="auto"/>
        <w:ind w:firstLine="576"/>
        <w:contextualSpacing/>
        <w:jc w:val="both"/>
        <w:rPr>
          <w:rFonts w:ascii="Times New Roman" w:hAnsi="Times New Roman" w:cs="Times New Roman"/>
          <w:sz w:val="28"/>
          <w:szCs w:val="28"/>
        </w:rPr>
      </w:pPr>
      <w:r w:rsidRPr="00FA116F">
        <w:rPr>
          <w:rFonts w:ascii="Times New Roman" w:hAnsi="Times New Roman" w:cs="Times New Roman"/>
          <w:sz w:val="28"/>
          <w:szCs w:val="28"/>
        </w:rPr>
        <w:t>К 2020 г. должно быть снижено количество «антимонопольных» нарушений органов власти не менее чем в 2 раза по сравнению с 2017 г. Также вдвое этому времени должна быть увеличена доля госзакупок у малого бизнеса и СОНО и на 18% - закупок госкомпаний у малых и средних предприятий.</w:t>
      </w:r>
    </w:p>
    <w:p w14:paraId="6FEC150F" w14:textId="77777777" w:rsidR="00C3733A" w:rsidRPr="00FA116F" w:rsidRDefault="00C3733A" w:rsidP="004569F7">
      <w:pPr>
        <w:spacing w:after="0" w:line="240" w:lineRule="auto"/>
        <w:ind w:firstLine="576"/>
        <w:contextualSpacing/>
        <w:jc w:val="both"/>
        <w:rPr>
          <w:rFonts w:ascii="Times New Roman" w:hAnsi="Times New Roman" w:cs="Times New Roman"/>
          <w:sz w:val="28"/>
          <w:szCs w:val="28"/>
        </w:rPr>
      </w:pPr>
    </w:p>
    <w:p w14:paraId="4EF0DDA7" w14:textId="77777777" w:rsidR="004569F7" w:rsidRPr="00FA116F" w:rsidRDefault="009366EB" w:rsidP="004569F7">
      <w:pPr>
        <w:spacing w:after="0" w:line="240" w:lineRule="auto"/>
        <w:ind w:firstLine="576"/>
        <w:contextualSpacing/>
        <w:jc w:val="both"/>
        <w:rPr>
          <w:rFonts w:ascii="Times New Roman" w:hAnsi="Times New Roman" w:cs="Times New Roman"/>
          <w:sz w:val="28"/>
          <w:szCs w:val="28"/>
        </w:rPr>
      </w:pPr>
      <w:r w:rsidRPr="00FA116F">
        <w:rPr>
          <w:rFonts w:ascii="Times New Roman" w:hAnsi="Times New Roman" w:cs="Times New Roman"/>
          <w:sz w:val="28"/>
          <w:szCs w:val="28"/>
        </w:rPr>
        <w:t xml:space="preserve">4.2.2. </w:t>
      </w:r>
      <w:r w:rsidR="004569F7" w:rsidRPr="00FA116F">
        <w:rPr>
          <w:rFonts w:ascii="Times New Roman" w:hAnsi="Times New Roman" w:cs="Times New Roman"/>
          <w:sz w:val="28"/>
          <w:szCs w:val="28"/>
        </w:rPr>
        <w:t>Конкурентная политика в национальных целях и стратегических задачах развития Российской Федерации</w:t>
      </w:r>
      <w:r w:rsidR="00552ADA" w:rsidRPr="00FA116F">
        <w:rPr>
          <w:rFonts w:ascii="Times New Roman" w:hAnsi="Times New Roman" w:cs="Times New Roman"/>
          <w:sz w:val="28"/>
          <w:szCs w:val="28"/>
        </w:rPr>
        <w:t>.</w:t>
      </w:r>
    </w:p>
    <w:p w14:paraId="09743D97" w14:textId="77777777" w:rsidR="00F11CEB" w:rsidRPr="00F11CEB" w:rsidRDefault="00F11CEB" w:rsidP="00F11CEB">
      <w:pPr>
        <w:spacing w:after="0" w:line="240" w:lineRule="auto"/>
        <w:ind w:firstLine="576"/>
        <w:contextualSpacing/>
        <w:jc w:val="both"/>
        <w:rPr>
          <w:rFonts w:ascii="Times New Roman" w:hAnsi="Times New Roman" w:cs="Times New Roman"/>
          <w:sz w:val="28"/>
          <w:szCs w:val="28"/>
        </w:rPr>
      </w:pPr>
      <w:r w:rsidRPr="00FA116F">
        <w:rPr>
          <w:rFonts w:ascii="Times New Roman" w:hAnsi="Times New Roman" w:cs="Times New Roman"/>
          <w:sz w:val="28"/>
          <w:szCs w:val="28"/>
        </w:rPr>
        <w:t>Не менее важным стратегическим документом экономической политики является Указ Президента Российской Федерации</w:t>
      </w:r>
      <w:r w:rsidRPr="00F11CEB">
        <w:rPr>
          <w:rFonts w:ascii="Times New Roman" w:hAnsi="Times New Roman" w:cs="Times New Roman"/>
          <w:sz w:val="28"/>
          <w:szCs w:val="28"/>
        </w:rPr>
        <w:t xml:space="preserve"> от 07.05.2018 № 204 «О национальных целях и стратегических задачах развития Российской Федерации на период до 2024 года».</w:t>
      </w:r>
    </w:p>
    <w:p w14:paraId="4B6B8F3D" w14:textId="77777777" w:rsidR="00F11CEB" w:rsidRPr="00F11CEB" w:rsidRDefault="00F11CEB" w:rsidP="00F11CEB">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В соответствии с национальными целями Правительством Российской Федерации разработаны 12 Национальных проектов, паспорта которых утверждены Президиумом Совета при Президенте Российской Федерации по стратегическому развитию и национальным проектам, а также Комплексный план модернизации и расширения магистральной инфраструктуры на период до 2024 года, который утвержден распоряжением Правительства от 30.09.2018 № 2101-р.</w:t>
      </w:r>
    </w:p>
    <w:p w14:paraId="7862F8A4" w14:textId="77777777" w:rsidR="00F11CEB" w:rsidRPr="00F11CEB" w:rsidRDefault="00F11CEB" w:rsidP="00F11CEB">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Мероприятия, связанные с реализацией Национального плана развития конкуренции, затрагивают те же сферы деятельности, что и Национальные проекты.</w:t>
      </w:r>
    </w:p>
    <w:p w14:paraId="07E9917C" w14:textId="77777777" w:rsidR="00F11CEB" w:rsidRPr="00F11CEB" w:rsidRDefault="00F11CEB" w:rsidP="00F11CEB">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Указанные стратегические документы 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267EF6B9" w14:textId="31CC267B" w:rsidR="00F11CEB" w:rsidRDefault="00F11CEB" w:rsidP="00F11CEB">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Осуществление прорывного научно-технологического и социально-экономического развития Российской Федерации и достижение иных целей, определенных Указ</w:t>
      </w:r>
      <w:r>
        <w:rPr>
          <w:rFonts w:ascii="Times New Roman" w:hAnsi="Times New Roman" w:cs="Times New Roman"/>
          <w:sz w:val="28"/>
          <w:szCs w:val="28"/>
        </w:rPr>
        <w:t>ом</w:t>
      </w:r>
      <w:r w:rsidRPr="00F11CEB">
        <w:rPr>
          <w:rFonts w:ascii="Times New Roman" w:hAnsi="Times New Roman" w:cs="Times New Roman"/>
          <w:sz w:val="28"/>
          <w:szCs w:val="28"/>
        </w:rPr>
        <w:t xml:space="preserve"> Президента Российской Федерации от 07.05.2018 </w:t>
      </w:r>
      <w:r w:rsidR="008A2BB3">
        <w:rPr>
          <w:rFonts w:ascii="Times New Roman" w:hAnsi="Times New Roman" w:cs="Times New Roman"/>
          <w:sz w:val="28"/>
          <w:szCs w:val="28"/>
        </w:rPr>
        <w:t xml:space="preserve">                   </w:t>
      </w:r>
      <w:r w:rsidRPr="00F11CEB">
        <w:rPr>
          <w:rFonts w:ascii="Times New Roman" w:hAnsi="Times New Roman" w:cs="Times New Roman"/>
          <w:sz w:val="28"/>
          <w:szCs w:val="28"/>
        </w:rPr>
        <w:t>№ 204, может быть обеспечено исключительно мероприятиями, учитывающими цели, задачи и основополагающие принципы экономической политики, основанной на развитии конкуренции.</w:t>
      </w:r>
    </w:p>
    <w:p w14:paraId="6FCBE548" w14:textId="77777777" w:rsidR="005B6492" w:rsidRPr="005B6492" w:rsidRDefault="005B6492" w:rsidP="005B6492">
      <w:pPr>
        <w:spacing w:after="0" w:line="240" w:lineRule="auto"/>
        <w:ind w:firstLine="576"/>
        <w:contextualSpacing/>
        <w:jc w:val="both"/>
        <w:rPr>
          <w:rFonts w:ascii="Times New Roman" w:hAnsi="Times New Roman" w:cs="Times New Roman"/>
          <w:sz w:val="28"/>
          <w:szCs w:val="28"/>
        </w:rPr>
      </w:pPr>
      <w:r w:rsidRPr="005B6492">
        <w:rPr>
          <w:rFonts w:ascii="Times New Roman" w:hAnsi="Times New Roman" w:cs="Times New Roman"/>
          <w:sz w:val="28"/>
          <w:szCs w:val="28"/>
        </w:rPr>
        <w:t>Для достижения данной цели необходимы следующие мероприятия.</w:t>
      </w:r>
    </w:p>
    <w:p w14:paraId="7C27DF55" w14:textId="77777777" w:rsidR="005B6492" w:rsidRPr="005B6492" w:rsidRDefault="005B6492" w:rsidP="00E96962">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 Оценка обеспечения приоритетного направления деятельности по развитию конкуренции при реализации Национальных проектов.</w:t>
      </w:r>
    </w:p>
    <w:p w14:paraId="20AFBA8A" w14:textId="77777777" w:rsidR="005B6492" w:rsidRPr="005B6492" w:rsidRDefault="005B6492" w:rsidP="00E96962">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1.1. Проведение комплексной оценки мероприятий Национальных проектов на предмет соответствия их целям и задачам государственной политики по развитию конкуренции.</w:t>
      </w:r>
    </w:p>
    <w:p w14:paraId="109400F3" w14:textId="77777777" w:rsidR="005B6492" w:rsidRPr="005B6492" w:rsidRDefault="005B6492" w:rsidP="00E96962">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1.2. Проведение комплексной оценки региональных проектов субъектов Российской Федерации, направленных на реализацию национальных проектов, на предмет соответствия их целям и задачам государственной политики по развитию конкуренции.</w:t>
      </w:r>
    </w:p>
    <w:p w14:paraId="18F52254" w14:textId="412D7667" w:rsidR="005B6492" w:rsidRPr="005B6492" w:rsidRDefault="005B6492" w:rsidP="00E96962">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1.3. Регулярная и систематическая оценка соответствия основным направлениям государственной политики по развитию конкуренции реализации ме</w:t>
      </w:r>
      <w:r w:rsidR="008A2BB3">
        <w:rPr>
          <w:rFonts w:ascii="Times New Roman" w:hAnsi="Times New Roman" w:cs="Times New Roman"/>
          <w:sz w:val="28"/>
          <w:szCs w:val="28"/>
        </w:rPr>
        <w:t>роприятий Национальных проектов.</w:t>
      </w:r>
    </w:p>
    <w:p w14:paraId="0F329EE6" w14:textId="77777777" w:rsidR="005B6492" w:rsidRPr="005B6492" w:rsidRDefault="005B6492" w:rsidP="00E96962">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2. Разработка и внесение предложений по включению в документы по реализации Национальных проектов ключевых показателей, целей, задач и мероприятий по развитию конкуренции.</w:t>
      </w:r>
    </w:p>
    <w:p w14:paraId="2406A1BE" w14:textId="77777777" w:rsidR="005B6492" w:rsidRPr="005B6492" w:rsidRDefault="005B6492" w:rsidP="00E96962">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2.1. При реализации каждого Национального проекта необходимо предусмотреть определение целевых показателей, учитывающих цели развития конкуренции.</w:t>
      </w:r>
    </w:p>
    <w:p w14:paraId="2D77B4BD" w14:textId="77777777" w:rsidR="005B6492" w:rsidRPr="005B6492" w:rsidRDefault="005B6492" w:rsidP="00E96962">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2.2. Необходимо обеспечить корректировку или уточнение мероприятий Национальных проектов с учетом ключевых показателей развития конкуренции, предусмотренных Национальным планом развития конкуренции и Планами мероприятий («дорожными картами») по содействию развитию конкуренции.</w:t>
      </w:r>
    </w:p>
    <w:p w14:paraId="645D91C5" w14:textId="77777777" w:rsidR="005B6492" w:rsidRPr="005B6492" w:rsidRDefault="005B6492" w:rsidP="00E96962">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2.3. Необходима разработка и обеспечение включения в региональные проекты субъектов Российской Федерации, направленные на реализацию национальных проектов, соответствующих целей, показателей и мероприятий, которые учитывают основные положения государственной политики по развитию конкуренции.</w:t>
      </w:r>
    </w:p>
    <w:p w14:paraId="74AE2DF8" w14:textId="77777777" w:rsidR="005B6492" w:rsidRPr="005B6492" w:rsidRDefault="005B6492" w:rsidP="00E96962">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3. Разработка и внедрение механизмов мониторинга и контроля мероприятий по реализации Национальных проектов на предмет их соответствия основным направлениям государственной политики по развитию конкуренции.</w:t>
      </w:r>
    </w:p>
    <w:p w14:paraId="59268984" w14:textId="77777777" w:rsidR="005B6492" w:rsidRPr="005B6492" w:rsidRDefault="005B6492" w:rsidP="00E96962">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3.1. Разработка и внесение предложений об определении персональной ответственности за достижение целей, целевых показателей, выполнение мероприятий Национального проекта, учитывающих основные направления государственной политики по развитию конкуренции.</w:t>
      </w:r>
    </w:p>
    <w:p w14:paraId="367661B3" w14:textId="77777777" w:rsidR="005B6492" w:rsidRPr="005B6492" w:rsidRDefault="005B6492" w:rsidP="00E96962">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3.2. Внедрение механизмов координации действий по достижению целей, целевых показателей, выполнению мероприятий Национальных проектов с ФАС России.</w:t>
      </w:r>
    </w:p>
    <w:p w14:paraId="768ED436" w14:textId="77777777" w:rsidR="004569F7" w:rsidRPr="00811219" w:rsidRDefault="005B6492" w:rsidP="00E96962">
      <w:pPr>
        <w:spacing w:after="0" w:line="240" w:lineRule="auto"/>
        <w:ind w:firstLine="567"/>
        <w:contextualSpacing/>
        <w:jc w:val="both"/>
        <w:rPr>
          <w:rFonts w:ascii="Times New Roman" w:hAnsi="Times New Roman" w:cs="Times New Roman"/>
          <w:sz w:val="28"/>
          <w:szCs w:val="28"/>
          <w:highlight w:val="yellow"/>
        </w:rPr>
      </w:pPr>
      <w:r w:rsidRPr="005B6492">
        <w:rPr>
          <w:rFonts w:ascii="Times New Roman" w:hAnsi="Times New Roman" w:cs="Times New Roman"/>
          <w:sz w:val="28"/>
          <w:szCs w:val="28"/>
        </w:rPr>
        <w:t>3.3. Включение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607000B2" w14:textId="77777777" w:rsidR="004569F7" w:rsidRPr="00811219" w:rsidRDefault="004569F7" w:rsidP="0055399B">
      <w:pPr>
        <w:rPr>
          <w:rFonts w:ascii="Times New Roman" w:hAnsi="Times New Roman" w:cs="Times New Roman"/>
          <w:sz w:val="28"/>
          <w:szCs w:val="28"/>
          <w:highlight w:val="yellow"/>
        </w:rPr>
      </w:pPr>
    </w:p>
    <w:p w14:paraId="43D787DA" w14:textId="77777777" w:rsidR="008918F6" w:rsidRPr="00FA116F" w:rsidRDefault="008918F6" w:rsidP="004438B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4.2.</w:t>
      </w:r>
      <w:r w:rsidR="004438B3" w:rsidRPr="00FA116F">
        <w:rPr>
          <w:rFonts w:ascii="Times New Roman" w:hAnsi="Times New Roman" w:cs="Times New Roman"/>
          <w:sz w:val="28"/>
          <w:szCs w:val="28"/>
        </w:rPr>
        <w:t>3</w:t>
      </w:r>
      <w:r w:rsidRPr="00FA116F">
        <w:rPr>
          <w:rFonts w:ascii="Times New Roman" w:hAnsi="Times New Roman" w:cs="Times New Roman"/>
          <w:sz w:val="28"/>
          <w:szCs w:val="28"/>
        </w:rPr>
        <w:t>. Ожидаемые результаты развития конкуренции и в отдельных отраслях</w:t>
      </w:r>
    </w:p>
    <w:p w14:paraId="3E839235" w14:textId="77777777" w:rsidR="008918F6" w:rsidRPr="00FA116F"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1. В сфере здравоохранения, в том числе на рынке лекарственных препаратов для медицинского применения, рынке медицинских изделий, рынке медицинских услуг ожидаемыми результатами являются:</w:t>
      </w:r>
    </w:p>
    <w:p w14:paraId="588CD731" w14:textId="77777777" w:rsidR="008918F6" w:rsidRPr="00FA116F" w:rsidRDefault="008918F6" w:rsidP="008918F6">
      <w:pPr>
        <w:spacing w:after="0" w:line="240" w:lineRule="auto"/>
        <w:jc w:val="both"/>
        <w:rPr>
          <w:rFonts w:ascii="Times New Roman" w:hAnsi="Times New Roman" w:cs="Times New Roman"/>
          <w:sz w:val="28"/>
          <w:szCs w:val="28"/>
        </w:rPr>
      </w:pPr>
      <w:r w:rsidRPr="00FA116F">
        <w:rPr>
          <w:rFonts w:ascii="Times New Roman" w:hAnsi="Times New Roman" w:cs="Times New Roman"/>
          <w:sz w:val="28"/>
          <w:szCs w:val="28"/>
        </w:rPr>
        <w:t>-  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2E2847C5" w14:textId="77777777" w:rsidR="008918F6" w:rsidRPr="00FA116F" w:rsidRDefault="008918F6" w:rsidP="008918F6">
      <w:pPr>
        <w:spacing w:after="0" w:line="240" w:lineRule="auto"/>
        <w:jc w:val="both"/>
        <w:rPr>
          <w:rFonts w:ascii="Times New Roman" w:hAnsi="Times New Roman" w:cs="Times New Roman"/>
          <w:sz w:val="28"/>
          <w:szCs w:val="28"/>
        </w:rPr>
      </w:pPr>
      <w:r w:rsidRPr="00FA116F">
        <w:rPr>
          <w:rFonts w:ascii="Times New Roman" w:hAnsi="Times New Roman" w:cs="Times New Roman"/>
          <w:sz w:val="28"/>
          <w:szCs w:val="28"/>
        </w:rPr>
        <w:t>- снижение цен на лекарственные препараты для медицинского применения и медицинские изделия, улучшение их доступности для граждан;</w:t>
      </w:r>
    </w:p>
    <w:p w14:paraId="5A5629A8" w14:textId="77777777" w:rsidR="008918F6" w:rsidRPr="00FA116F" w:rsidRDefault="008918F6" w:rsidP="008918F6">
      <w:pPr>
        <w:spacing w:after="0" w:line="240" w:lineRule="auto"/>
        <w:jc w:val="both"/>
        <w:rPr>
          <w:rFonts w:ascii="Times New Roman" w:hAnsi="Times New Roman" w:cs="Times New Roman"/>
          <w:sz w:val="28"/>
          <w:szCs w:val="28"/>
        </w:rPr>
      </w:pPr>
      <w:r w:rsidRPr="00FA116F">
        <w:rPr>
          <w:rFonts w:ascii="Times New Roman" w:hAnsi="Times New Roman" w:cs="Times New Roman"/>
          <w:sz w:val="28"/>
          <w:szCs w:val="28"/>
        </w:rPr>
        <w:t>- 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p>
    <w:p w14:paraId="3688EABF" w14:textId="77777777" w:rsidR="00F43A23" w:rsidRPr="00FA116F" w:rsidRDefault="00F43A23" w:rsidP="008918F6">
      <w:pPr>
        <w:spacing w:after="0" w:line="240" w:lineRule="auto"/>
        <w:jc w:val="both"/>
        <w:rPr>
          <w:rFonts w:ascii="Times New Roman" w:hAnsi="Times New Roman" w:cs="Times New Roman"/>
          <w:sz w:val="28"/>
          <w:szCs w:val="28"/>
        </w:rPr>
      </w:pPr>
    </w:p>
    <w:p w14:paraId="3DA27DA0" w14:textId="77777777" w:rsidR="008918F6" w:rsidRPr="00FA116F"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2. На рынке социальных услуг ожидаемым результатом является обеспечение возможности участия в оказании социальных услуг негосударственным организациям на недискриминационной основе.</w:t>
      </w:r>
    </w:p>
    <w:p w14:paraId="1DBA2D9B" w14:textId="77777777" w:rsidR="00F43A23" w:rsidRPr="00FA116F" w:rsidRDefault="00F43A23" w:rsidP="00F43A23">
      <w:pPr>
        <w:spacing w:after="0" w:line="240" w:lineRule="auto"/>
        <w:ind w:firstLine="708"/>
        <w:jc w:val="both"/>
        <w:rPr>
          <w:rFonts w:ascii="Times New Roman" w:hAnsi="Times New Roman" w:cs="Times New Roman"/>
          <w:sz w:val="28"/>
          <w:szCs w:val="28"/>
        </w:rPr>
      </w:pPr>
    </w:p>
    <w:p w14:paraId="0A745BEB" w14:textId="77777777" w:rsidR="008918F6" w:rsidRPr="00FA116F"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3. В сфере агропромышленном комплексе ожидается повышение уровня товарности основных видов сельскохозяйственной продукции, расширение географии поставок и номенклатуры сельскохозяйственных товаров, реализуемых на организованных торгах, снижение зависимости внутреннего рынка от иностранного селекционного и генетического материалов и связанных с ними агротехнологических решений.</w:t>
      </w:r>
    </w:p>
    <w:p w14:paraId="2CF6FA39" w14:textId="77777777" w:rsidR="00F43A23" w:rsidRPr="00FA116F" w:rsidRDefault="00F43A23" w:rsidP="00F43A23">
      <w:pPr>
        <w:spacing w:after="0" w:line="240" w:lineRule="auto"/>
        <w:ind w:firstLine="708"/>
        <w:jc w:val="both"/>
        <w:rPr>
          <w:rFonts w:ascii="Times New Roman" w:hAnsi="Times New Roman" w:cs="Times New Roman"/>
          <w:sz w:val="28"/>
          <w:szCs w:val="28"/>
        </w:rPr>
      </w:pPr>
    </w:p>
    <w:p w14:paraId="19EA2ADC" w14:textId="77777777" w:rsidR="008918F6" w:rsidRPr="00FA116F"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4. В сфере дорожного строительства ожидается сокращение доли закупок, признанных несостоявшимися, с 30 процентов в 2017 году не менее чем на 5 процентов в год. Исключение участия в торгах лиц, входящих в группу лиц, определяемую в соответствии с антимонопольным законодательством. Декартелизация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477AFEB5" w14:textId="77777777" w:rsidR="00F43A23" w:rsidRPr="00FA116F" w:rsidRDefault="00F43A23" w:rsidP="00F43A23">
      <w:pPr>
        <w:spacing w:after="0" w:line="240" w:lineRule="auto"/>
        <w:ind w:firstLine="708"/>
        <w:jc w:val="both"/>
        <w:rPr>
          <w:rFonts w:ascii="Times New Roman" w:hAnsi="Times New Roman" w:cs="Times New Roman"/>
          <w:sz w:val="28"/>
          <w:szCs w:val="28"/>
        </w:rPr>
      </w:pPr>
    </w:p>
    <w:p w14:paraId="548A35DA" w14:textId="77777777" w:rsidR="008918F6" w:rsidRPr="00FA116F"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5. В сфере телекоммуникаций ожидается обеспечение формирования инновационных инфраструктур на принципах установления недискриминационных требований для участников рынков вне зависимости от технологий, используемых при оказании услуг в сфере связи. Обеспечение в не менее чем 80 процентах городов с численностью более 20 тыс. человек наличия не менее 3 операторов, предоставляющих услуги связи для целей передачи сигнала. Устранение необоснованной разницы в тарифах на услуги сотовой связи при поездках по Российской Федерации (роуминг)</w:t>
      </w:r>
      <w:r w:rsidR="00F43A23" w:rsidRPr="00FA116F">
        <w:rPr>
          <w:rFonts w:ascii="Times New Roman" w:hAnsi="Times New Roman" w:cs="Times New Roman"/>
          <w:sz w:val="28"/>
          <w:szCs w:val="28"/>
        </w:rPr>
        <w:t>.</w:t>
      </w:r>
    </w:p>
    <w:p w14:paraId="5540CCB4" w14:textId="77777777" w:rsidR="00F43A23" w:rsidRPr="00FA116F" w:rsidRDefault="00F43A23" w:rsidP="00F43A23">
      <w:pPr>
        <w:spacing w:after="0" w:line="240" w:lineRule="auto"/>
        <w:ind w:firstLine="708"/>
        <w:jc w:val="both"/>
        <w:rPr>
          <w:rFonts w:ascii="Times New Roman" w:hAnsi="Times New Roman" w:cs="Times New Roman"/>
          <w:sz w:val="28"/>
          <w:szCs w:val="28"/>
        </w:rPr>
      </w:pPr>
    </w:p>
    <w:p w14:paraId="31F9ED6F" w14:textId="77777777" w:rsidR="008918F6" w:rsidRPr="00FA116F"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6. В сфере информационных технологий ожидается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r w:rsidR="00F43A23" w:rsidRPr="00FA116F">
        <w:rPr>
          <w:rFonts w:ascii="Times New Roman" w:hAnsi="Times New Roman" w:cs="Times New Roman"/>
          <w:sz w:val="28"/>
          <w:szCs w:val="28"/>
        </w:rPr>
        <w:t>.</w:t>
      </w:r>
    </w:p>
    <w:p w14:paraId="5C167F35" w14:textId="77777777" w:rsidR="00F43A23" w:rsidRPr="00FA116F" w:rsidRDefault="00F43A23" w:rsidP="00F43A23">
      <w:pPr>
        <w:spacing w:after="0" w:line="240" w:lineRule="auto"/>
        <w:ind w:firstLine="708"/>
        <w:jc w:val="both"/>
        <w:rPr>
          <w:rFonts w:ascii="Times New Roman" w:hAnsi="Times New Roman" w:cs="Times New Roman"/>
          <w:sz w:val="28"/>
          <w:szCs w:val="28"/>
        </w:rPr>
      </w:pPr>
    </w:p>
    <w:p w14:paraId="661B03D2" w14:textId="77777777" w:rsidR="008918F6" w:rsidRPr="00FA116F"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7. В сфере жилищно-коммунального хозяйства, в том числе в сфере теплоснабжения, водоснабжения, водоотведения ожидается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356E7AE3" w14:textId="77777777" w:rsidR="008918F6" w:rsidRPr="00FA116F" w:rsidRDefault="008918F6" w:rsidP="008A2BB3">
      <w:pPr>
        <w:spacing w:after="0" w:line="240" w:lineRule="auto"/>
        <w:ind w:firstLine="709"/>
        <w:jc w:val="both"/>
        <w:rPr>
          <w:rFonts w:ascii="Times New Roman" w:hAnsi="Times New Roman" w:cs="Times New Roman"/>
          <w:sz w:val="28"/>
          <w:szCs w:val="28"/>
        </w:rPr>
      </w:pPr>
      <w:r w:rsidRPr="00FA116F">
        <w:rPr>
          <w:rFonts w:ascii="Times New Roman" w:hAnsi="Times New Roman" w:cs="Times New Roman"/>
          <w:sz w:val="28"/>
          <w:szCs w:val="28"/>
        </w:rPr>
        <w:t>теплоснабжение - до 20 процентов в 2019 году и до 10 процентов в 2020 году;</w:t>
      </w:r>
    </w:p>
    <w:p w14:paraId="6A6D2A02" w14:textId="77777777" w:rsidR="008918F6" w:rsidRPr="00FA116F" w:rsidRDefault="008918F6" w:rsidP="008A2BB3">
      <w:pPr>
        <w:spacing w:after="0" w:line="240" w:lineRule="auto"/>
        <w:ind w:firstLine="709"/>
        <w:jc w:val="both"/>
        <w:rPr>
          <w:rFonts w:ascii="Times New Roman" w:hAnsi="Times New Roman" w:cs="Times New Roman"/>
          <w:sz w:val="28"/>
          <w:szCs w:val="28"/>
        </w:rPr>
      </w:pPr>
      <w:r w:rsidRPr="00FA116F">
        <w:rPr>
          <w:rFonts w:ascii="Times New Roman" w:hAnsi="Times New Roman" w:cs="Times New Roman"/>
          <w:sz w:val="28"/>
          <w:szCs w:val="28"/>
        </w:rPr>
        <w:t>водоснабжение - до 20 процентов в 2019 году и до 10 процентов в 2020 году;</w:t>
      </w:r>
    </w:p>
    <w:p w14:paraId="78F17CDE" w14:textId="77777777" w:rsidR="008918F6" w:rsidRPr="00FA116F" w:rsidRDefault="008918F6" w:rsidP="008A2BB3">
      <w:pPr>
        <w:spacing w:after="0" w:line="240" w:lineRule="auto"/>
        <w:ind w:firstLine="709"/>
        <w:jc w:val="both"/>
        <w:rPr>
          <w:rFonts w:ascii="Times New Roman" w:hAnsi="Times New Roman" w:cs="Times New Roman"/>
          <w:sz w:val="28"/>
          <w:szCs w:val="28"/>
        </w:rPr>
      </w:pPr>
      <w:r w:rsidRPr="00FA116F">
        <w:rPr>
          <w:rFonts w:ascii="Times New Roman" w:hAnsi="Times New Roman" w:cs="Times New Roman"/>
          <w:sz w:val="28"/>
          <w:szCs w:val="28"/>
        </w:rPr>
        <w:t>водоотведение - до 20 процентов в 2019 году и до 10 процентов в 2020 году</w:t>
      </w:r>
      <w:r w:rsidR="00F43A23" w:rsidRPr="00FA116F">
        <w:rPr>
          <w:rFonts w:ascii="Times New Roman" w:hAnsi="Times New Roman" w:cs="Times New Roman"/>
          <w:sz w:val="28"/>
          <w:szCs w:val="28"/>
        </w:rPr>
        <w:t>.</w:t>
      </w:r>
    </w:p>
    <w:p w14:paraId="6350514C" w14:textId="77777777" w:rsidR="00F43A23" w:rsidRPr="00FA116F" w:rsidRDefault="00F43A23" w:rsidP="008918F6">
      <w:pPr>
        <w:spacing w:after="0" w:line="240" w:lineRule="auto"/>
        <w:jc w:val="both"/>
        <w:rPr>
          <w:rFonts w:ascii="Times New Roman" w:hAnsi="Times New Roman" w:cs="Times New Roman"/>
          <w:sz w:val="28"/>
          <w:szCs w:val="28"/>
        </w:rPr>
      </w:pPr>
    </w:p>
    <w:p w14:paraId="1B4BCC2B" w14:textId="77777777" w:rsidR="008918F6" w:rsidRPr="00FA116F"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8. В сфере газоснабжения ожидается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 Формирование биржевого индекса, формирование внебиржевого индекса</w:t>
      </w:r>
      <w:r w:rsidR="00F43A23" w:rsidRPr="00FA116F">
        <w:rPr>
          <w:rFonts w:ascii="Times New Roman" w:hAnsi="Times New Roman" w:cs="Times New Roman"/>
          <w:sz w:val="28"/>
          <w:szCs w:val="28"/>
        </w:rPr>
        <w:t>.</w:t>
      </w:r>
    </w:p>
    <w:p w14:paraId="45E45541" w14:textId="77777777" w:rsidR="00F43A23" w:rsidRPr="00FA116F" w:rsidRDefault="00F43A23" w:rsidP="00F43A23">
      <w:pPr>
        <w:spacing w:after="0" w:line="240" w:lineRule="auto"/>
        <w:ind w:firstLine="708"/>
        <w:jc w:val="both"/>
        <w:rPr>
          <w:rFonts w:ascii="Times New Roman" w:hAnsi="Times New Roman" w:cs="Times New Roman"/>
          <w:sz w:val="28"/>
          <w:szCs w:val="28"/>
        </w:rPr>
      </w:pPr>
    </w:p>
    <w:p w14:paraId="63A76AF7" w14:textId="77777777" w:rsidR="008918F6" w:rsidRPr="00FA116F"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9. В сфере нефти и нефтепродуктов ожидается развитие рыночных механизмов ценообразования путем развития организованных торгов нефтью на экспорт и формирование эталона (бенчмарк) на российскую нефть, развитие срочного биржевого рынка на нефтепродукты, развитие организованных мелкооптовых торгов и формирование рыночных ценовых индикаторов мелкооптового рынка, дерегулирование цен по транспортировке нефтепродуктов по магистральным нефтепродуктопроводам, предусматривающих поддержание объемов организованных торгов нефтепродуктов на уровне более 10 процентов поставок на внутренний рынок, увеличение объема совершаемых экспортных сделок на нефть</w:t>
      </w:r>
      <w:r w:rsidR="00F43A23" w:rsidRPr="00FA116F">
        <w:rPr>
          <w:rFonts w:ascii="Times New Roman" w:hAnsi="Times New Roman" w:cs="Times New Roman"/>
          <w:sz w:val="28"/>
          <w:szCs w:val="28"/>
        </w:rPr>
        <w:t>.</w:t>
      </w:r>
    </w:p>
    <w:p w14:paraId="28BF6318" w14:textId="77777777" w:rsidR="00F43A23" w:rsidRPr="00FA116F" w:rsidRDefault="00F43A23" w:rsidP="00F43A23">
      <w:pPr>
        <w:spacing w:after="0" w:line="240" w:lineRule="auto"/>
        <w:ind w:firstLine="708"/>
        <w:jc w:val="both"/>
        <w:rPr>
          <w:rFonts w:ascii="Times New Roman" w:hAnsi="Times New Roman" w:cs="Times New Roman"/>
          <w:sz w:val="28"/>
          <w:szCs w:val="28"/>
        </w:rPr>
      </w:pPr>
    </w:p>
    <w:p w14:paraId="51494FA2" w14:textId="77777777" w:rsidR="008918F6" w:rsidRPr="00FA116F"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10. В сфере естественных монополий ожидается исключение тарифной дискриминации. Прозрачность и долгосрочность тарифного регулирования</w:t>
      </w:r>
      <w:r w:rsidR="00F43A23" w:rsidRPr="00FA116F">
        <w:rPr>
          <w:rFonts w:ascii="Times New Roman" w:hAnsi="Times New Roman" w:cs="Times New Roman"/>
          <w:sz w:val="28"/>
          <w:szCs w:val="28"/>
        </w:rPr>
        <w:t>.</w:t>
      </w:r>
    </w:p>
    <w:p w14:paraId="0480D15F" w14:textId="77777777" w:rsidR="002F4726" w:rsidRPr="00FA116F" w:rsidRDefault="002F4726" w:rsidP="00F43A23">
      <w:pPr>
        <w:spacing w:after="0" w:line="240" w:lineRule="auto"/>
        <w:ind w:firstLine="708"/>
        <w:jc w:val="both"/>
        <w:rPr>
          <w:rFonts w:ascii="Times New Roman" w:hAnsi="Times New Roman" w:cs="Times New Roman"/>
          <w:sz w:val="28"/>
          <w:szCs w:val="28"/>
        </w:rPr>
      </w:pPr>
    </w:p>
    <w:p w14:paraId="5CECE2FB" w14:textId="77777777" w:rsidR="004438B3" w:rsidRPr="00FA116F" w:rsidRDefault="002F4726" w:rsidP="004438B3">
      <w:pPr>
        <w:spacing w:after="0" w:line="240" w:lineRule="auto"/>
        <w:ind w:firstLine="708"/>
        <w:rPr>
          <w:rFonts w:ascii="Times New Roman" w:hAnsi="Times New Roman" w:cs="Times New Roman"/>
          <w:sz w:val="28"/>
          <w:szCs w:val="28"/>
        </w:rPr>
      </w:pPr>
      <w:r w:rsidRPr="00FA116F">
        <w:rPr>
          <w:rFonts w:ascii="Times New Roman" w:hAnsi="Times New Roman" w:cs="Times New Roman"/>
          <w:sz w:val="28"/>
          <w:szCs w:val="28"/>
        </w:rPr>
        <w:t>В сфере электроэнергетики</w:t>
      </w:r>
    </w:p>
    <w:p w14:paraId="06CC9D3D" w14:textId="77777777" w:rsidR="002F4726" w:rsidRPr="00FA116F" w:rsidRDefault="002F4726" w:rsidP="004438B3">
      <w:pPr>
        <w:spacing w:after="0" w:line="240" w:lineRule="auto"/>
        <w:ind w:firstLine="708"/>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Задачи по совершенствованию государственной политики по развитию конкуренции в Российской Федерации в сфере электроэнергетики на 2019 год:</w:t>
      </w:r>
    </w:p>
    <w:p w14:paraId="72B8EFC5" w14:textId="77777777" w:rsidR="002F4726" w:rsidRPr="00FA116F" w:rsidRDefault="002F4726" w:rsidP="004438B3">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экономической обоснованности подачи ценовых заявок/ требования экономической обоснованности;</w:t>
      </w:r>
    </w:p>
    <w:p w14:paraId="3BD344C3" w14:textId="77777777" w:rsidR="002F4726" w:rsidRPr="00FA116F" w:rsidRDefault="002F4726" w:rsidP="004438B3">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ФАС России о численных характеристиках доминирующего положения с долей меньше 20 процентов.</w:t>
      </w:r>
    </w:p>
    <w:p w14:paraId="3301D1C5" w14:textId="77777777" w:rsidR="00F43A23" w:rsidRPr="00FA116F" w:rsidRDefault="00F43A23" w:rsidP="00F43A23">
      <w:pPr>
        <w:spacing w:after="0" w:line="240" w:lineRule="auto"/>
        <w:ind w:firstLine="708"/>
        <w:jc w:val="both"/>
        <w:rPr>
          <w:rFonts w:ascii="Times New Roman" w:hAnsi="Times New Roman" w:cs="Times New Roman"/>
          <w:sz w:val="28"/>
          <w:szCs w:val="28"/>
        </w:rPr>
      </w:pPr>
    </w:p>
    <w:p w14:paraId="67D93FBE" w14:textId="77777777" w:rsidR="008918F6" w:rsidRPr="00FA116F"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 xml:space="preserve">11. В сфере транспортных услуг ожидается развитие добросовестной конкуренции на рынке грузовых перевозок (автомобильный, железнодорожный, воздушный и водный виды транспорта) и связанных с ними услуг. </w:t>
      </w:r>
    </w:p>
    <w:p w14:paraId="146F3950" w14:textId="77777777" w:rsidR="008918F6" w:rsidRPr="00FA116F"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Дальнейшее развитие институтов взаимодействия государства и бизнеса (в том числе в рамках совета рынка транспортных услуг).</w:t>
      </w:r>
    </w:p>
    <w:p w14:paraId="09F66B03" w14:textId="77777777" w:rsidR="008918F6" w:rsidRPr="00FA116F" w:rsidRDefault="008918F6" w:rsidP="002F4726">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Развитие электронных систем транспортных услуг, в том числе для малого и среднего бизнеса, которые предоставляются организациями в сфере транспорта, не являющимися субъектами естественных монополий, и (или) в отношении которых не применяется ценовое регулирование, в том числе путем запуска в эксплуатацию электронной торговой площадки по перевозкам грузов, и формирование рыночных индикаторов на цены. Контроль уровня экономической концентрации в сфере грузового транспорта.</w:t>
      </w:r>
    </w:p>
    <w:p w14:paraId="4D74075D" w14:textId="77777777" w:rsidR="008918F6" w:rsidRPr="00FA116F" w:rsidRDefault="008918F6" w:rsidP="002F4726">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Актуализация нормативной базы в сфере грузовых перевозок, в том числе разработка правил недискриминационного доступа к услугам портов, актуализация правил недискриминационного доступа к услугам железнодорожных перевозок и стандартов раскрытия информации.</w:t>
      </w:r>
    </w:p>
    <w:p w14:paraId="774B5A3E" w14:textId="280F4B8F" w:rsidR="008918F6" w:rsidRPr="00FA116F" w:rsidRDefault="008918F6" w:rsidP="002F4726">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 xml:space="preserve">Утверждение нового тарифного прейскуранта открытого акционерного общества </w:t>
      </w:r>
      <w:r w:rsidR="008A2BB3">
        <w:rPr>
          <w:rFonts w:ascii="Times New Roman" w:hAnsi="Times New Roman" w:cs="Times New Roman"/>
          <w:sz w:val="28"/>
          <w:szCs w:val="28"/>
        </w:rPr>
        <w:t>«</w:t>
      </w:r>
      <w:r w:rsidRPr="00FA116F">
        <w:rPr>
          <w:rFonts w:ascii="Times New Roman" w:hAnsi="Times New Roman" w:cs="Times New Roman"/>
          <w:sz w:val="28"/>
          <w:szCs w:val="28"/>
        </w:rPr>
        <w:t>РЖД</w:t>
      </w:r>
      <w:r w:rsidR="008A2BB3">
        <w:rPr>
          <w:rFonts w:ascii="Times New Roman" w:hAnsi="Times New Roman" w:cs="Times New Roman"/>
          <w:sz w:val="28"/>
          <w:szCs w:val="28"/>
        </w:rPr>
        <w:t>»</w:t>
      </w:r>
      <w:r w:rsidRPr="00FA116F">
        <w:rPr>
          <w:rFonts w:ascii="Times New Roman" w:hAnsi="Times New Roman" w:cs="Times New Roman"/>
          <w:sz w:val="28"/>
          <w:szCs w:val="28"/>
        </w:rPr>
        <w:t xml:space="preserve"> (в том числе выделение локомотивной составляющей тарифа в необходимой валовой выручке субъекта регулирования).</w:t>
      </w:r>
    </w:p>
    <w:p w14:paraId="20D1E61A" w14:textId="77777777" w:rsidR="008918F6" w:rsidRPr="00FA116F" w:rsidRDefault="008918F6" w:rsidP="008A2BB3">
      <w:pPr>
        <w:spacing w:after="0" w:line="240" w:lineRule="auto"/>
        <w:ind w:firstLine="709"/>
        <w:jc w:val="both"/>
        <w:rPr>
          <w:rFonts w:ascii="Times New Roman" w:hAnsi="Times New Roman" w:cs="Times New Roman"/>
          <w:sz w:val="28"/>
          <w:szCs w:val="28"/>
        </w:rPr>
      </w:pPr>
      <w:r w:rsidRPr="00FA116F">
        <w:rPr>
          <w:rFonts w:ascii="Times New Roman" w:hAnsi="Times New Roman" w:cs="Times New Roman"/>
          <w:sz w:val="28"/>
          <w:szCs w:val="28"/>
        </w:rPr>
        <w:t>Комплексное развитие межрегиональных и муниципальных перевозок различными видами транспорта (развитие межвидовой конкуренции пассажирских перевозок).</w:t>
      </w:r>
    </w:p>
    <w:p w14:paraId="2F752460" w14:textId="77777777" w:rsidR="008918F6" w:rsidRPr="00FA116F" w:rsidRDefault="008918F6" w:rsidP="002F4726">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Разработка баланса межвидовой конкуренции в сфере грузовых и пассажирских перевозок (включая внутренний водный, железнодорожный транспорт и трубопроводный транспорт)</w:t>
      </w:r>
      <w:r w:rsidR="002F4726" w:rsidRPr="00FA116F">
        <w:rPr>
          <w:rFonts w:ascii="Times New Roman" w:hAnsi="Times New Roman" w:cs="Times New Roman"/>
          <w:sz w:val="28"/>
          <w:szCs w:val="28"/>
        </w:rPr>
        <w:t>.</w:t>
      </w:r>
    </w:p>
    <w:p w14:paraId="3C0141CE" w14:textId="77777777" w:rsidR="002F4726" w:rsidRPr="00FA116F" w:rsidRDefault="002F4726" w:rsidP="002F4726">
      <w:pPr>
        <w:spacing w:after="0" w:line="240" w:lineRule="auto"/>
        <w:ind w:firstLine="708"/>
        <w:jc w:val="both"/>
        <w:rPr>
          <w:rFonts w:ascii="Times New Roman" w:hAnsi="Times New Roman" w:cs="Times New Roman"/>
          <w:sz w:val="28"/>
          <w:szCs w:val="28"/>
        </w:rPr>
      </w:pPr>
    </w:p>
    <w:p w14:paraId="174647E4" w14:textId="77777777" w:rsidR="008918F6"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12. В промышленности ожидаемым результатом будет являться создание условий для производства российских товаров, способных эффективно конкурировать с зарубежными аналогами на внутреннем и внешнем рынках. Увеличение доли экспорта российских промышленных товаров в общем объеме промышленных товаров, произведенных на территории Российской Федерации</w:t>
      </w:r>
      <w:r w:rsidR="002F4726" w:rsidRPr="00FA116F">
        <w:rPr>
          <w:rFonts w:ascii="Times New Roman" w:hAnsi="Times New Roman" w:cs="Times New Roman"/>
          <w:sz w:val="28"/>
          <w:szCs w:val="28"/>
        </w:rPr>
        <w:t>.</w:t>
      </w:r>
    </w:p>
    <w:p w14:paraId="7E40B750" w14:textId="77777777" w:rsidR="005F4393" w:rsidRDefault="005F4393" w:rsidP="005F4393">
      <w:pPr>
        <w:pStyle w:val="ab"/>
        <w:spacing w:after="0"/>
        <w:ind w:firstLine="708"/>
        <w:contextualSpacing/>
        <w:jc w:val="both"/>
        <w:rPr>
          <w:sz w:val="28"/>
          <w:szCs w:val="28"/>
        </w:rPr>
      </w:pPr>
      <w:r>
        <w:rPr>
          <w:sz w:val="28"/>
          <w:szCs w:val="28"/>
        </w:rPr>
        <w:t>В частности, на рынке</w:t>
      </w:r>
      <w:r w:rsidRPr="0020126E">
        <w:rPr>
          <w:sz w:val="28"/>
          <w:szCs w:val="28"/>
        </w:rPr>
        <w:t xml:space="preserve"> биржевой торговли минеральными удобрениями ФАС России </w:t>
      </w:r>
      <w:r>
        <w:rPr>
          <w:sz w:val="28"/>
          <w:szCs w:val="28"/>
        </w:rPr>
        <w:t>ожидается п</w:t>
      </w:r>
      <w:r w:rsidRPr="0020126E">
        <w:rPr>
          <w:sz w:val="28"/>
          <w:szCs w:val="28"/>
        </w:rPr>
        <w:t>роработка линейки минеральных уд</w:t>
      </w:r>
      <w:r>
        <w:rPr>
          <w:sz w:val="28"/>
          <w:szCs w:val="28"/>
        </w:rPr>
        <w:t>обрений для реализации на бирже, п</w:t>
      </w:r>
      <w:r w:rsidRPr="0020126E">
        <w:rPr>
          <w:sz w:val="28"/>
          <w:szCs w:val="28"/>
        </w:rPr>
        <w:t>одготовка проекта совместного приказа об утверждении минимальной величины минер</w:t>
      </w:r>
      <w:r>
        <w:rPr>
          <w:sz w:val="28"/>
          <w:szCs w:val="28"/>
        </w:rPr>
        <w:t xml:space="preserve">альных удобрений, обязательных </w:t>
      </w:r>
      <w:r w:rsidRPr="0020126E">
        <w:rPr>
          <w:sz w:val="28"/>
          <w:szCs w:val="28"/>
        </w:rPr>
        <w:t xml:space="preserve">к реализации на бирже, хозяйствующими субъектами, занимающими доминирующее положении </w:t>
      </w:r>
      <w:r>
        <w:rPr>
          <w:sz w:val="28"/>
          <w:szCs w:val="28"/>
        </w:rPr>
        <w:t>на рынках минеральных удобрений, п</w:t>
      </w:r>
      <w:r w:rsidRPr="0020126E">
        <w:rPr>
          <w:sz w:val="28"/>
          <w:szCs w:val="28"/>
        </w:rPr>
        <w:t>одготовка проекта постановления Правительства Российской Федерации «Критерии регулярности и равномерности реализации товара на бирже для отдельных товарных рынков, на которых обращаются минеральные удобрения».</w:t>
      </w:r>
    </w:p>
    <w:p w14:paraId="13C56ED4" w14:textId="77777777" w:rsidR="005F4393" w:rsidRPr="0020126E" w:rsidRDefault="005F4393" w:rsidP="005F4393">
      <w:pPr>
        <w:pStyle w:val="ab"/>
        <w:spacing w:after="0"/>
        <w:ind w:firstLine="708"/>
        <w:contextualSpacing/>
        <w:jc w:val="both"/>
        <w:rPr>
          <w:sz w:val="28"/>
          <w:szCs w:val="28"/>
        </w:rPr>
      </w:pPr>
      <w:r>
        <w:rPr>
          <w:sz w:val="28"/>
          <w:szCs w:val="28"/>
        </w:rPr>
        <w:t>Также среди основных задача в указанной сфере на 2019 год - п</w:t>
      </w:r>
      <w:r w:rsidRPr="0020126E">
        <w:rPr>
          <w:sz w:val="28"/>
          <w:szCs w:val="28"/>
        </w:rPr>
        <w:t>ринятие изменений в Постановление Правительства Российской Федерации от 23 июля 2013 г.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подготовленные ФАС России и направленные на формирование внебиржевых индикаторов цен, в том</w:t>
      </w:r>
      <w:r>
        <w:rPr>
          <w:sz w:val="28"/>
          <w:szCs w:val="28"/>
        </w:rPr>
        <w:t xml:space="preserve"> числе на минеральные удобрения, а также р</w:t>
      </w:r>
      <w:r w:rsidRPr="0020126E">
        <w:rPr>
          <w:sz w:val="28"/>
          <w:szCs w:val="28"/>
        </w:rPr>
        <w:t>еализация пилотного проекта по биржевой торговле минеральными удобрениями.</w:t>
      </w:r>
    </w:p>
    <w:p w14:paraId="18396ABF" w14:textId="77777777" w:rsidR="005F4393" w:rsidRPr="00FA116F" w:rsidRDefault="005F4393" w:rsidP="00F43A23">
      <w:pPr>
        <w:spacing w:after="0" w:line="240" w:lineRule="auto"/>
        <w:ind w:firstLine="708"/>
        <w:jc w:val="both"/>
        <w:rPr>
          <w:rFonts w:ascii="Times New Roman" w:hAnsi="Times New Roman" w:cs="Times New Roman"/>
          <w:sz w:val="28"/>
          <w:szCs w:val="28"/>
        </w:rPr>
      </w:pPr>
    </w:p>
    <w:p w14:paraId="6DC0EFE9" w14:textId="77777777" w:rsidR="002F4726" w:rsidRPr="00FA116F" w:rsidRDefault="002F4726" w:rsidP="00F43A23">
      <w:pPr>
        <w:spacing w:after="0" w:line="240" w:lineRule="auto"/>
        <w:ind w:firstLine="708"/>
        <w:jc w:val="both"/>
        <w:rPr>
          <w:rFonts w:ascii="Times New Roman" w:hAnsi="Times New Roman" w:cs="Times New Roman"/>
          <w:sz w:val="28"/>
          <w:szCs w:val="28"/>
        </w:rPr>
      </w:pPr>
    </w:p>
    <w:p w14:paraId="1DC0A546" w14:textId="77777777" w:rsidR="008918F6" w:rsidRPr="00FA116F" w:rsidRDefault="008918F6" w:rsidP="00F43A23">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13. На финансовых рынках ожидается создание конкурентного механизма субсидирования возмещения потерь в доходах российских лизинговых организаций при предоставлении лизингополучателю скидки по уплате авансового платежа по договорам лизинга. Внесение изменений в порядок формирования Комитета пользователей услуг центрального депозитария в целях создания условий для обеспечения необходимого влияния пользователей услуг центрального депозитария на его тарифную политику и для предупреждения установления им необоснованных цен на свои услуги.</w:t>
      </w:r>
    </w:p>
    <w:p w14:paraId="02912A00" w14:textId="77777777" w:rsidR="004569F7" w:rsidRDefault="008918F6" w:rsidP="003913C5">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ФАС России ведется мониторинг достижения указанных результатов, информация размещается в открытом доступе на официальном сайте ФАС России в сети «Интернет».</w:t>
      </w:r>
    </w:p>
    <w:p w14:paraId="160504FD" w14:textId="77777777" w:rsidR="002F4726" w:rsidRDefault="002F4726" w:rsidP="008918F6">
      <w:pPr>
        <w:spacing w:after="0" w:line="240" w:lineRule="auto"/>
        <w:jc w:val="both"/>
        <w:rPr>
          <w:rFonts w:ascii="Times New Roman" w:hAnsi="Times New Roman" w:cs="Times New Roman"/>
          <w:sz w:val="28"/>
          <w:szCs w:val="28"/>
        </w:rPr>
      </w:pPr>
    </w:p>
    <w:p w14:paraId="292875E2" w14:textId="77777777" w:rsidR="00EF7295" w:rsidRDefault="00EF7295" w:rsidP="008918F6">
      <w:pPr>
        <w:spacing w:after="0" w:line="240" w:lineRule="auto"/>
        <w:jc w:val="both"/>
        <w:rPr>
          <w:rFonts w:ascii="Times New Roman" w:hAnsi="Times New Roman" w:cs="Times New Roman"/>
          <w:sz w:val="28"/>
          <w:szCs w:val="28"/>
        </w:rPr>
      </w:pPr>
    </w:p>
    <w:p w14:paraId="103F2311" w14:textId="77777777" w:rsidR="00EF7295" w:rsidRDefault="00EF7295" w:rsidP="008918F6">
      <w:pPr>
        <w:spacing w:after="0" w:line="240" w:lineRule="auto"/>
        <w:jc w:val="both"/>
        <w:rPr>
          <w:rFonts w:ascii="Times New Roman" w:hAnsi="Times New Roman" w:cs="Times New Roman"/>
          <w:sz w:val="28"/>
          <w:szCs w:val="28"/>
        </w:rPr>
      </w:pPr>
    </w:p>
    <w:p w14:paraId="037D251A" w14:textId="77777777" w:rsidR="00EF7295" w:rsidRDefault="00EF7295" w:rsidP="008918F6">
      <w:pPr>
        <w:spacing w:after="0" w:line="240" w:lineRule="auto"/>
        <w:jc w:val="both"/>
        <w:rPr>
          <w:rFonts w:ascii="Times New Roman" w:hAnsi="Times New Roman" w:cs="Times New Roman"/>
          <w:sz w:val="28"/>
          <w:szCs w:val="28"/>
        </w:rPr>
      </w:pPr>
    </w:p>
    <w:p w14:paraId="73051AB4" w14:textId="77777777" w:rsidR="00EF7295" w:rsidRDefault="00EF7295" w:rsidP="008918F6">
      <w:pPr>
        <w:spacing w:after="0" w:line="240" w:lineRule="auto"/>
        <w:jc w:val="both"/>
        <w:rPr>
          <w:rFonts w:ascii="Times New Roman" w:hAnsi="Times New Roman" w:cs="Times New Roman"/>
          <w:sz w:val="28"/>
          <w:szCs w:val="28"/>
        </w:rPr>
      </w:pPr>
    </w:p>
    <w:p w14:paraId="08B7CD7C" w14:textId="108A51D1" w:rsidR="00126F5B" w:rsidRDefault="00126F5B">
      <w:pPr>
        <w:rPr>
          <w:rFonts w:ascii="Times New Roman" w:hAnsi="Times New Roman" w:cs="Times New Roman"/>
          <w:sz w:val="28"/>
          <w:szCs w:val="28"/>
        </w:rPr>
      </w:pPr>
      <w:r>
        <w:rPr>
          <w:rFonts w:ascii="Times New Roman" w:hAnsi="Times New Roman" w:cs="Times New Roman"/>
          <w:sz w:val="28"/>
          <w:szCs w:val="28"/>
        </w:rPr>
        <w:br w:type="page"/>
      </w:r>
    </w:p>
    <w:p w14:paraId="4948D634" w14:textId="77777777" w:rsidR="00EF7295" w:rsidRDefault="00EF7295" w:rsidP="008918F6">
      <w:pPr>
        <w:spacing w:after="0" w:line="240" w:lineRule="auto"/>
        <w:jc w:val="both"/>
        <w:rPr>
          <w:rFonts w:ascii="Times New Roman" w:hAnsi="Times New Roman" w:cs="Times New Roman"/>
          <w:sz w:val="28"/>
          <w:szCs w:val="28"/>
        </w:rPr>
      </w:pPr>
    </w:p>
    <w:p w14:paraId="599D2039" w14:textId="289A8C5A" w:rsidR="00883C8E" w:rsidRPr="007C6DC9" w:rsidRDefault="00883C8E" w:rsidP="001714BD">
      <w:pPr>
        <w:pStyle w:val="1"/>
        <w:ind w:left="720"/>
      </w:pPr>
      <w:bookmarkStart w:id="2049" w:name="_Toc7448050"/>
      <w:r w:rsidRPr="007C6DC9">
        <w:t>ПРИЛОЖЕНИЕ:</w:t>
      </w:r>
      <w:bookmarkEnd w:id="2049"/>
      <w:r w:rsidRPr="007C6DC9">
        <w:t xml:space="preserve"> </w:t>
      </w:r>
    </w:p>
    <w:p w14:paraId="7BEA1208" w14:textId="55D0CF7B" w:rsidR="00883C8E" w:rsidRDefault="00883C8E" w:rsidP="00BB7A44">
      <w:pPr>
        <w:pStyle w:val="1"/>
        <w:numPr>
          <w:ilvl w:val="0"/>
          <w:numId w:val="70"/>
        </w:numPr>
      </w:pPr>
      <w:bookmarkStart w:id="2050" w:name="_Toc7448051"/>
      <w:r w:rsidRPr="007C6DC9">
        <w:t>Об итогах деятельности ФАС России в 2018 году</w:t>
      </w:r>
      <w:bookmarkEnd w:id="2050"/>
    </w:p>
    <w:p w14:paraId="5DC2A940" w14:textId="77777777" w:rsidR="004F2E63" w:rsidRDefault="004F2E63" w:rsidP="004F2E63"/>
    <w:p w14:paraId="0FE3EF45" w14:textId="77777777" w:rsidR="00404CC7" w:rsidRPr="00404CC7" w:rsidRDefault="00404CC7" w:rsidP="00BE213D">
      <w:pPr>
        <w:numPr>
          <w:ilvl w:val="0"/>
          <w:numId w:val="7"/>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Итоги деятельности ФАС России по осуществлению государственного антимонопольного контроля</w:t>
      </w:r>
    </w:p>
    <w:p w14:paraId="365ED693"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F5A9B31" w14:textId="77777777" w:rsidR="00404CC7" w:rsidRPr="00404CC7" w:rsidRDefault="00404CC7" w:rsidP="00BE213D">
      <w:pPr>
        <w:numPr>
          <w:ilvl w:val="0"/>
          <w:numId w:val="8"/>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Выявление нарушений антимонопольного законодательства</w:t>
      </w:r>
    </w:p>
    <w:p w14:paraId="0200A62F"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F40475" w14:textId="77777777" w:rsidR="00404CC7" w:rsidRPr="00404CC7" w:rsidRDefault="00404CC7" w:rsidP="00404CC7">
      <w:pPr>
        <w:spacing w:after="0" w:line="240" w:lineRule="auto"/>
        <w:ind w:firstLine="709"/>
        <w:jc w:val="both"/>
        <w:rPr>
          <w:rFonts w:ascii="Times New Roman" w:hAnsi="Times New Roman" w:cs="Times New Roman"/>
          <w:sz w:val="28"/>
          <w:szCs w:val="28"/>
          <w:lang w:val="en-US"/>
        </w:rPr>
      </w:pPr>
      <w:r w:rsidRPr="00404CC7">
        <w:rPr>
          <w:rFonts w:ascii="Times New Roman" w:hAnsi="Times New Roman" w:cs="Times New Roman"/>
          <w:sz w:val="28"/>
          <w:szCs w:val="28"/>
        </w:rPr>
        <w:t>Продолжается снижение количества возбуждаемых антимонопольными органами дел о нарушении антимонопольного законодательства (рисунок 1). Сохраняется акцент на пресечение нарушений со стороны органов государственной власти и занимающих доминирующее положение хозяйствующих субъектов. Набирает объемы работа по борьбе с картелями.</w:t>
      </w:r>
    </w:p>
    <w:p w14:paraId="455BDCD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034EB7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2303D6" wp14:editId="6156EF66">
            <wp:extent cx="5939790" cy="4625975"/>
            <wp:effectExtent l="0" t="0" r="3810" b="317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3A24A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 – Возбуждено дел о нарушении антимонопольного законодательства</w:t>
      </w:r>
    </w:p>
    <w:p w14:paraId="069BD34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305641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выявленных нарушений антимонопольного законодательства сохраняется последние три года на одном уровне за счет успешного применения института предупреждения (рисунок 2).</w:t>
      </w:r>
    </w:p>
    <w:p w14:paraId="20DDDEF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AC04375"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5F2B00E8" wp14:editId="0FCEB0DB">
            <wp:extent cx="5939790" cy="2614295"/>
            <wp:effectExtent l="0" t="0" r="381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E8DE8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2 – Выявление нарушений антимонопольного законодательства</w:t>
      </w:r>
    </w:p>
    <w:p w14:paraId="4CACF692"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27C149C"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Резкое сокращение в 2016 году количества возбужденных дел о  нарушении антимонопольного законодательства и его постепенное снижение в последующие годы непосредственно связано с  ростом количества возбужденных дел об административном правонарушении по  статье 9.21 КоАП РФ (рисунок 3): при поступлении от гражданина заявления о действиях хозяйствующих субъектов, связанных с нарушением правил подключения (технологического присоединения) к сетям антимонопольным органом принимается решение о возбуждении дела об  административном правонарушении, то есть возбуждение дела о  нарушении антимонопольного законодательства не требуется.</w:t>
      </w:r>
    </w:p>
    <w:p w14:paraId="0D2F68C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ED39EC3"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7637C9B" wp14:editId="0EAFFEE2">
            <wp:extent cx="5939790" cy="2743200"/>
            <wp:effectExtent l="0" t="0" r="381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7EA47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3 –Возбуждено дел об административных правонарушениях по ст. 9.21 КоАП РФ</w:t>
      </w:r>
    </w:p>
    <w:p w14:paraId="6077316E" w14:textId="77777777" w:rsidR="00404CC7" w:rsidRPr="00404CC7" w:rsidRDefault="00404CC7" w:rsidP="00404CC7">
      <w:pPr>
        <w:spacing w:after="0" w:line="240" w:lineRule="auto"/>
        <w:ind w:firstLine="709"/>
        <w:jc w:val="both"/>
        <w:rPr>
          <w:rFonts w:ascii="Times New Roman" w:hAnsi="Times New Roman" w:cs="Times New Roman"/>
          <w:sz w:val="28"/>
          <w:szCs w:val="28"/>
          <w:highlight w:val="yellow"/>
        </w:rPr>
      </w:pPr>
    </w:p>
    <w:p w14:paraId="57B03382"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рассматриваемых дел и выполненных предупреждений по  признакам злоупотребления хозяйствующими субъектами доминирующим положением продолжает сокращаться (рисунок 4). Это связано с  определенными в Законе о защите конкуренции условиями признания доминирующим положения хозяйствующего субъекта: с 2016 года существенно сократился перечень условий признания доминирующим положения хозяйствующего субъекта, установленные статьей 5 Закона о  защите конкуренции.</w:t>
      </w:r>
    </w:p>
    <w:p w14:paraId="1DB4E74F"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01A7673"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10D1DCE7" wp14:editId="5E143141">
            <wp:extent cx="5939790" cy="2743200"/>
            <wp:effectExtent l="0" t="0" r="381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3EEED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4 – Выявление нарушений статьи 10 Закона о защите конкуренции</w:t>
      </w:r>
    </w:p>
    <w:p w14:paraId="535CCE5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A6500E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возбужденных дел в отношении субъектов естественных монополий по признакам нарушения статьи 10 Закона о защите конкуренции продолжает сокращаться (рисунок 5).</w:t>
      </w:r>
    </w:p>
    <w:p w14:paraId="7FE160B5" w14:textId="77777777" w:rsidR="00404CC7" w:rsidRPr="00404CC7" w:rsidRDefault="00404CC7" w:rsidP="00404CC7">
      <w:pPr>
        <w:spacing w:after="0" w:line="240" w:lineRule="auto"/>
        <w:jc w:val="both"/>
        <w:rPr>
          <w:rFonts w:ascii="Times New Roman" w:hAnsi="Times New Roman" w:cs="Times New Roman"/>
          <w:sz w:val="28"/>
          <w:szCs w:val="28"/>
        </w:rPr>
      </w:pPr>
    </w:p>
    <w:p w14:paraId="0447ED1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47B27250" wp14:editId="23D84FE4">
            <wp:extent cx="5895176" cy="2433638"/>
            <wp:effectExtent l="0" t="0" r="10795" b="508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5ECC57" w14:textId="77777777" w:rsidR="00404CC7" w:rsidRPr="00404CC7" w:rsidRDefault="00404CC7" w:rsidP="00404CC7">
      <w:pPr>
        <w:spacing w:after="0" w:line="240" w:lineRule="auto"/>
        <w:jc w:val="both"/>
        <w:rPr>
          <w:rFonts w:ascii="Times New Roman" w:hAnsi="Times New Roman" w:cs="Times New Roman"/>
          <w:sz w:val="28"/>
          <w:szCs w:val="28"/>
        </w:rPr>
      </w:pPr>
    </w:p>
    <w:p w14:paraId="0DD208AA"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5 – Возбуждение дел по статье 10 Закона о защите конкуренции</w:t>
      </w:r>
    </w:p>
    <w:p w14:paraId="4DA31A2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3027F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свою очередь при количественн</w:t>
      </w:r>
      <w:r>
        <w:rPr>
          <w:rFonts w:ascii="Times New Roman" w:hAnsi="Times New Roman" w:cs="Times New Roman"/>
          <w:sz w:val="28"/>
          <w:szCs w:val="28"/>
        </w:rPr>
        <w:t>ом снижении возбужденных дел по</w:t>
      </w:r>
      <w:r w:rsidRPr="00404CC7">
        <w:rPr>
          <w:rFonts w:ascii="Times New Roman" w:hAnsi="Times New Roman" w:cs="Times New Roman"/>
          <w:sz w:val="28"/>
          <w:szCs w:val="28"/>
        </w:rPr>
        <w:t xml:space="preserve"> статье 10 Закона о защите конкуренции и выявленных нарушений субъектами естественных монополий установленных запретов (рисунок 6), доля дел, по которым такие нарушения выявлены, увеличивается с 2016 года в среднем на 10 % (рисунок 6.1).</w:t>
      </w:r>
    </w:p>
    <w:p w14:paraId="2378D1C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14332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C7D95BA" wp14:editId="38E5C761">
            <wp:extent cx="5899658" cy="2305050"/>
            <wp:effectExtent l="0" t="0" r="635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FB4F09" w14:textId="77777777" w:rsidR="00404CC7" w:rsidRPr="00404CC7" w:rsidRDefault="00404CC7" w:rsidP="00404CC7">
      <w:pPr>
        <w:spacing w:after="0" w:line="240" w:lineRule="auto"/>
        <w:rPr>
          <w:rFonts w:ascii="Times New Roman" w:hAnsi="Times New Roman"/>
          <w:sz w:val="28"/>
          <w:szCs w:val="28"/>
        </w:rPr>
      </w:pPr>
    </w:p>
    <w:p w14:paraId="5613ED73" w14:textId="77777777" w:rsidR="00404CC7" w:rsidRPr="00300B34" w:rsidRDefault="00404CC7" w:rsidP="00300B34">
      <w:pPr>
        <w:rPr>
          <w:rFonts w:ascii="Times New Roman" w:hAnsi="Times New Roman" w:cs="Times New Roman"/>
          <w:sz w:val="24"/>
        </w:rPr>
      </w:pPr>
      <w:r w:rsidRPr="00300B34">
        <w:rPr>
          <w:rFonts w:ascii="Times New Roman" w:hAnsi="Times New Roman" w:cs="Times New Roman"/>
          <w:sz w:val="24"/>
        </w:rPr>
        <w:t>Рисунок 6 – Выявление нарушений хозяйствующим субъектами статьи 10</w:t>
      </w:r>
    </w:p>
    <w:p w14:paraId="558945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2F6E26"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noProof/>
          <w:lang w:eastAsia="ru-RU"/>
        </w:rPr>
        <w:drawing>
          <wp:inline distT="0" distB="0" distL="0" distR="0" wp14:anchorId="621EA0AA" wp14:editId="4C067E16">
            <wp:extent cx="5939790" cy="2150110"/>
            <wp:effectExtent l="0" t="0" r="3810" b="254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A14E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6.1 – Доля дел по статье 10, по которым выявлены нарушения</w:t>
      </w:r>
    </w:p>
    <w:p w14:paraId="633AE1B8"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4F229C1" w14:textId="77777777" w:rsidR="00404CC7" w:rsidRPr="00404CC7" w:rsidRDefault="00404CC7" w:rsidP="00BE213D">
      <w:pPr>
        <w:numPr>
          <w:ilvl w:val="0"/>
          <w:numId w:val="8"/>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государственного контроля за экономической концентрацией</w:t>
      </w:r>
    </w:p>
    <w:p w14:paraId="3938D01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394E42A"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снижении количества поступающих ходатайств о даче согласия на совершение сделки возрастает количество уведомлений о совершаемых сделках (рисунок 7).</w:t>
      </w:r>
    </w:p>
    <w:p w14:paraId="1202143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4CE96EF"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301FF426" wp14:editId="54E62DB2">
            <wp:extent cx="5939790" cy="2743200"/>
            <wp:effectExtent l="0" t="0" r="381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8152EC"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7 – Рассмотрено ходатайств и уведомлений</w:t>
      </w:r>
    </w:p>
    <w:p w14:paraId="60570A90"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63D268F" w14:textId="77777777" w:rsidR="00404CC7" w:rsidRPr="00404CC7" w:rsidRDefault="00404CC7" w:rsidP="00BE213D">
      <w:pPr>
        <w:numPr>
          <w:ilvl w:val="0"/>
          <w:numId w:val="8"/>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использования предупреждений и предостережений</w:t>
      </w:r>
    </w:p>
    <w:p w14:paraId="72FCF3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09B3C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осуществлении государственного контроля (надзора) антимонопольные органы активно используют институты предостережения (рисунок 8). С 2017 года предостережения направляются также должностным лицам федерального органа исполнительной власти, органа государственной власти субъекта Российской Федерации, органа местного самоуправления.</w:t>
      </w:r>
    </w:p>
    <w:p w14:paraId="2843B0FE" w14:textId="77777777" w:rsidR="00404CC7" w:rsidRPr="00404CC7" w:rsidRDefault="00404CC7" w:rsidP="00404CC7">
      <w:pPr>
        <w:spacing w:after="0" w:line="240" w:lineRule="auto"/>
        <w:jc w:val="both"/>
        <w:rPr>
          <w:rFonts w:ascii="Times New Roman" w:hAnsi="Times New Roman" w:cs="Times New Roman"/>
          <w:sz w:val="28"/>
          <w:szCs w:val="28"/>
        </w:rPr>
      </w:pPr>
    </w:p>
    <w:p w14:paraId="47E9BAF1"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1D73E1FA" wp14:editId="01B10546">
            <wp:extent cx="5939790" cy="2376170"/>
            <wp:effectExtent l="0" t="0" r="3810" b="508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CB59201" w14:textId="77777777" w:rsidR="00404CC7" w:rsidRPr="00404CC7" w:rsidRDefault="00404CC7" w:rsidP="00404CC7">
      <w:pPr>
        <w:spacing w:after="0" w:line="240" w:lineRule="auto"/>
        <w:rPr>
          <w:rFonts w:ascii="Times New Roman" w:hAnsi="Times New Roman"/>
          <w:sz w:val="28"/>
          <w:szCs w:val="28"/>
        </w:rPr>
      </w:pPr>
    </w:p>
    <w:p w14:paraId="0CAF242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8 – Направление предостережений</w:t>
      </w:r>
    </w:p>
    <w:p w14:paraId="3609D1E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1C5F1BE"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выдаваемых предупреждений о прекращении действий (бездействия), которые содержат признаки нарушения антимонопольного законодательства снижается (рисунок 9). Выполнение предупреждений в  2018  г. сохранилось почти на одном уровне с 2017 г. и позволяет своевременно предотвращать действия, которые могут быть признаны нарушением по итогам рассмотрения дел о нарушении антимонопольного законодательства.</w:t>
      </w:r>
    </w:p>
    <w:p w14:paraId="11D7DEA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185F507"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7F23EC8C" wp14:editId="2036B7D1">
            <wp:extent cx="5939790" cy="1866900"/>
            <wp:effectExtent l="0" t="0" r="381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15DC2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9 – Выдача и исполнение предупреждений</w:t>
      </w:r>
    </w:p>
    <w:p w14:paraId="00AB3F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4B68738"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Процент исполнения выданных предупреждений остается примерно</w:t>
      </w:r>
      <w:r w:rsidRPr="00404CC7">
        <w:rPr>
          <w:rFonts w:ascii="Times New Roman" w:hAnsi="Times New Roman" w:cs="Times New Roman"/>
          <w:sz w:val="28"/>
          <w:szCs w:val="28"/>
        </w:rPr>
        <w:br/>
        <w:t>на одном уровне на протяжении всего анализируемого периода (рисунок 10).</w:t>
      </w:r>
    </w:p>
    <w:p w14:paraId="296E521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8507DD3" w14:textId="77777777" w:rsidR="00404CC7" w:rsidRPr="00404CC7" w:rsidRDefault="00404CC7" w:rsidP="00404CC7">
      <w:pPr>
        <w:spacing w:after="0" w:line="240" w:lineRule="auto"/>
        <w:rPr>
          <w:noProof/>
          <w:sz w:val="28"/>
          <w:szCs w:val="28"/>
        </w:rPr>
      </w:pPr>
      <w:r w:rsidRPr="00404CC7">
        <w:rPr>
          <w:noProof/>
          <w:lang w:eastAsia="ru-RU"/>
        </w:rPr>
        <w:drawing>
          <wp:inline distT="0" distB="0" distL="0" distR="0" wp14:anchorId="6E368831" wp14:editId="3D13B3A4">
            <wp:extent cx="5939790" cy="2220685"/>
            <wp:effectExtent l="0" t="0" r="3810" b="825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F7BAFB"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10 – Доля исполненных предупреждений</w:t>
      </w:r>
    </w:p>
    <w:p w14:paraId="44CCF2E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900302"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этом, необходимо отметить высокую эффективность инструмента предупреждения (рисунок 11), позволяющего предотвратить нарушение обязательных требований законодательства.</w:t>
      </w:r>
    </w:p>
    <w:p w14:paraId="00D00AD8" w14:textId="77777777" w:rsidR="00404CC7" w:rsidRPr="00404CC7" w:rsidRDefault="00404CC7" w:rsidP="00404CC7">
      <w:pPr>
        <w:spacing w:after="0" w:line="240" w:lineRule="auto"/>
        <w:jc w:val="both"/>
        <w:rPr>
          <w:rFonts w:ascii="Times New Roman" w:hAnsi="Times New Roman" w:cs="Times New Roman"/>
          <w:sz w:val="28"/>
          <w:szCs w:val="28"/>
        </w:rPr>
      </w:pPr>
    </w:p>
    <w:p w14:paraId="483CACE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7DF6D86" wp14:editId="11798A72">
            <wp:extent cx="5939790" cy="2047164"/>
            <wp:effectExtent l="0" t="0" r="381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AC1E8BE" w14:textId="77777777" w:rsidR="00404CC7" w:rsidRPr="00404CC7" w:rsidRDefault="00404CC7" w:rsidP="00404CC7">
      <w:pPr>
        <w:spacing w:after="0" w:line="240" w:lineRule="auto"/>
        <w:rPr>
          <w:rFonts w:ascii="Times New Roman" w:hAnsi="Times New Roman"/>
          <w:sz w:val="28"/>
          <w:szCs w:val="28"/>
          <w:highlight w:val="yellow"/>
        </w:rPr>
      </w:pPr>
    </w:p>
    <w:p w14:paraId="5C0AA99F"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11 – Соотношение возбужденных дел и выданных предупреждений</w:t>
      </w:r>
    </w:p>
    <w:p w14:paraId="201A287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68FC9DB" w14:textId="77777777" w:rsidR="00404CC7" w:rsidRPr="00404CC7" w:rsidRDefault="00404CC7" w:rsidP="00BE213D">
      <w:pPr>
        <w:numPr>
          <w:ilvl w:val="0"/>
          <w:numId w:val="7"/>
        </w:numPr>
        <w:tabs>
          <w:tab w:val="left" w:pos="1134"/>
        </w:tabs>
        <w:spacing w:after="0" w:line="240" w:lineRule="auto"/>
        <w:ind w:left="0" w:firstLine="709"/>
        <w:jc w:val="both"/>
        <w:rPr>
          <w:rFonts w:ascii="Times New Roman" w:hAnsi="Times New Roman" w:cs="Times New Roman"/>
          <w:b/>
          <w:sz w:val="28"/>
          <w:szCs w:val="28"/>
        </w:rPr>
      </w:pPr>
      <w:bookmarkStart w:id="2051" w:name="_Toc479442987"/>
      <w:r w:rsidRPr="00404CC7">
        <w:rPr>
          <w:rFonts w:ascii="Times New Roman" w:hAnsi="Times New Roman" w:cs="Times New Roman"/>
          <w:b/>
          <w:sz w:val="28"/>
          <w:szCs w:val="28"/>
        </w:rPr>
        <w:t>Результаты контроля за ограничивающими конкуренцию соглашениями, согласованными действиями</w:t>
      </w:r>
    </w:p>
    <w:p w14:paraId="753FA1DC"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53163D1"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а) Соглашения и согласованные действия хозяйствующих субъектов</w:t>
      </w:r>
    </w:p>
    <w:p w14:paraId="72CF1C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789642" w14:textId="727DD3AB"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 xml:space="preserve">Антимонопольные органы активно проводят работу по выявлению и  пресечению картелей. Наблюдается рост дел, возбужденных по признакам нарушения запрета на ограничивающие конкуренцию соглашения хозяйствующих субъектов, установленного статьей 11 Закона о защите конкуренции, и количества выявленных по таким делам нарушений (рисунок  12). Повышение количества возбужденных дел по признакам нарушения статьи 11 </w:t>
      </w:r>
      <w:r w:rsidR="008A2BB3">
        <w:rPr>
          <w:rFonts w:ascii="Times New Roman" w:hAnsi="Times New Roman" w:cs="Times New Roman"/>
          <w:sz w:val="28"/>
          <w:szCs w:val="28"/>
        </w:rPr>
        <w:t xml:space="preserve">Закона о защите конкуренции </w:t>
      </w:r>
      <w:r w:rsidRPr="00404CC7">
        <w:rPr>
          <w:rFonts w:ascii="Times New Roman" w:hAnsi="Times New Roman" w:cs="Times New Roman"/>
          <w:sz w:val="28"/>
          <w:szCs w:val="28"/>
        </w:rPr>
        <w:t>свидетельствует о систематическом совершенствовании антимонопольными органами правоприменительной практики и методов борьбы с картелями.</w:t>
      </w:r>
    </w:p>
    <w:p w14:paraId="4329268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CB8375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7EC0E5F1" wp14:editId="49424709">
            <wp:extent cx="5939790" cy="2743200"/>
            <wp:effectExtent l="0" t="0" r="381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22F58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12 – Выявление нарушений статьи 11 Закона о защите конкуренции</w:t>
      </w:r>
    </w:p>
    <w:p w14:paraId="4D50B51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C404E8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осуществления государственного контроля (надзора) за ограничивающими конкуренцию согласованными действиями (нарушения статьи 11.1 Закона о защите конкуренции) демонстрирует эффективность применения института предостережения (рисунок 13).</w:t>
      </w:r>
    </w:p>
    <w:p w14:paraId="3A119810" w14:textId="77777777" w:rsidR="00404CC7" w:rsidRPr="00404CC7" w:rsidRDefault="00404CC7" w:rsidP="00404CC7">
      <w:pPr>
        <w:spacing w:after="0" w:line="240" w:lineRule="auto"/>
        <w:jc w:val="both"/>
        <w:rPr>
          <w:rFonts w:ascii="Times New Roman" w:hAnsi="Times New Roman" w:cs="Times New Roman"/>
          <w:sz w:val="28"/>
          <w:szCs w:val="28"/>
        </w:rPr>
      </w:pPr>
    </w:p>
    <w:p w14:paraId="500383CA"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EAC011C" wp14:editId="77B344AB">
            <wp:extent cx="5939790" cy="2743200"/>
            <wp:effectExtent l="0" t="0" r="381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E3BE64"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13 – Выявление нарушений статьи 11.1 Закона о защите конкуренции</w:t>
      </w:r>
    </w:p>
    <w:p w14:paraId="090BCC4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4A8CAB6"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б) Соглашения с участием органов государственной власти и  местного самоуправления</w:t>
      </w:r>
    </w:p>
    <w:p w14:paraId="7A7578D0"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7A8B575"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Наблюдается рост дел, возбужденных по признакам нарушения запрета на ограничивающие конкуренцию соглашения или согласованные действия с участием органов государственной власти и местного самоуправления, установленного статьей 16 Закона о защите конкуренции, и количества выявленных по таким делам нарушений (рисунок 14).</w:t>
      </w:r>
    </w:p>
    <w:p w14:paraId="6E460093" w14:textId="77777777" w:rsidR="00404CC7" w:rsidRPr="00404CC7" w:rsidRDefault="00404CC7" w:rsidP="00404CC7">
      <w:pPr>
        <w:spacing w:after="0" w:line="240" w:lineRule="auto"/>
        <w:jc w:val="both"/>
        <w:rPr>
          <w:rFonts w:ascii="Times New Roman" w:hAnsi="Times New Roman" w:cs="Times New Roman"/>
          <w:sz w:val="28"/>
          <w:szCs w:val="28"/>
        </w:rPr>
      </w:pPr>
    </w:p>
    <w:p w14:paraId="0E90F4A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5E487C" wp14:editId="430F9A55">
            <wp:extent cx="5939790" cy="2604770"/>
            <wp:effectExtent l="0" t="0" r="3810" b="508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A0657D9"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14 – Выявление нарушений статьи 16 Закона о защите конкуренции</w:t>
      </w:r>
    </w:p>
    <w:p w14:paraId="10650DF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FD60A1D" w14:textId="77777777" w:rsidR="00404CC7" w:rsidRPr="00404CC7" w:rsidRDefault="00404CC7" w:rsidP="00BE213D">
      <w:pPr>
        <w:numPr>
          <w:ilvl w:val="0"/>
          <w:numId w:val="7"/>
        </w:numPr>
        <w:tabs>
          <w:tab w:val="left" w:pos="1134"/>
        </w:tabs>
        <w:spacing w:after="0" w:line="240" w:lineRule="auto"/>
        <w:ind w:left="0" w:firstLine="709"/>
        <w:jc w:val="both"/>
        <w:rPr>
          <w:rFonts w:ascii="Times New Roman" w:hAnsi="Times New Roman" w:cs="Times New Roman"/>
          <w:b/>
          <w:sz w:val="28"/>
          <w:szCs w:val="28"/>
        </w:rPr>
      </w:pPr>
      <w:bookmarkStart w:id="2052" w:name="_Toc479442991"/>
      <w:bookmarkEnd w:id="2051"/>
      <w:r w:rsidRPr="00404CC7">
        <w:rPr>
          <w:rFonts w:ascii="Times New Roman" w:hAnsi="Times New Roman" w:cs="Times New Roman"/>
          <w:b/>
          <w:sz w:val="28"/>
          <w:szCs w:val="28"/>
        </w:rPr>
        <w:t>Противодействие недобросовестной конкуренции</w:t>
      </w:r>
      <w:bookmarkEnd w:id="2052"/>
    </w:p>
    <w:p w14:paraId="214EA94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1C162E8"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антимонопольных органов по противодействию недобросовестной конкуренции продолжает демонстрировать эффективность применения института предупреждения (рисунок 15).</w:t>
      </w:r>
    </w:p>
    <w:p w14:paraId="52FC551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55A3CE3" w14:textId="77777777" w:rsidR="00404CC7" w:rsidRPr="00404CC7" w:rsidRDefault="00404CC7" w:rsidP="00404CC7">
      <w:pPr>
        <w:spacing w:after="0" w:line="240" w:lineRule="auto"/>
        <w:jc w:val="both"/>
        <w:rPr>
          <w:rFonts w:ascii="Times New Roman" w:hAnsi="Times New Roman"/>
          <w:sz w:val="28"/>
          <w:szCs w:val="28"/>
        </w:rPr>
      </w:pPr>
      <w:r w:rsidRPr="00404CC7">
        <w:rPr>
          <w:noProof/>
          <w:lang w:eastAsia="ru-RU"/>
        </w:rPr>
        <w:drawing>
          <wp:inline distT="0" distB="0" distL="0" distR="0" wp14:anchorId="48A08E30" wp14:editId="527BA313">
            <wp:extent cx="5939790" cy="2290445"/>
            <wp:effectExtent l="0" t="0" r="381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1DE93E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15 – Пресечение недобросовестной конкуренции</w:t>
      </w:r>
    </w:p>
    <w:p w14:paraId="32DCCA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B582CCE" w14:textId="77777777" w:rsidR="00404CC7" w:rsidRPr="00404CC7" w:rsidRDefault="00404CC7" w:rsidP="00BE213D">
      <w:pPr>
        <w:numPr>
          <w:ilvl w:val="0"/>
          <w:numId w:val="7"/>
        </w:numPr>
        <w:tabs>
          <w:tab w:val="left" w:pos="1134"/>
        </w:tabs>
        <w:spacing w:after="0" w:line="240" w:lineRule="auto"/>
        <w:ind w:left="0" w:firstLine="709"/>
        <w:jc w:val="both"/>
        <w:rPr>
          <w:rFonts w:ascii="Times New Roman" w:hAnsi="Times New Roman" w:cs="Times New Roman"/>
          <w:b/>
          <w:sz w:val="28"/>
          <w:szCs w:val="28"/>
        </w:rPr>
      </w:pPr>
      <w:bookmarkStart w:id="2053" w:name="_Toc479442992"/>
      <w:r w:rsidRPr="00404CC7">
        <w:rPr>
          <w:rFonts w:ascii="Times New Roman" w:hAnsi="Times New Roman" w:cs="Times New Roman"/>
          <w:b/>
          <w:sz w:val="28"/>
          <w:szCs w:val="28"/>
        </w:rPr>
        <w:t>Результаты контроля за соблюдением органами государственной власти Российской Федерации и органами местного самоуправления антимонопольного законодательства</w:t>
      </w:r>
      <w:bookmarkEnd w:id="2053"/>
    </w:p>
    <w:p w14:paraId="60BBD27F"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0872F0D"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054" w:name="_Toc479442993"/>
      <w:r w:rsidRPr="00404CC7">
        <w:rPr>
          <w:rFonts w:ascii="Times New Roman" w:hAnsi="Times New Roman" w:cs="Times New Roman"/>
          <w:b/>
          <w:sz w:val="28"/>
          <w:szCs w:val="28"/>
        </w:rPr>
        <w:t>а) Пресечение ограничивающих конкуренцию действий (бездействия) органов государственной власти и органов местного самоуправления</w:t>
      </w:r>
      <w:bookmarkEnd w:id="2054"/>
    </w:p>
    <w:p w14:paraId="7D24C230"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63A9BA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практики пресечения ограничивающих конкуренцию действий (бездействия) органов государственной власти и органов местного самоуправления аналогично динамике практики пресечения недобросовестной конкуренции демонстрирует эффективность применения института предупреждения (рисунок 16).</w:t>
      </w:r>
    </w:p>
    <w:p w14:paraId="11733FF3"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D6909AC" w14:textId="77777777" w:rsidR="00404CC7" w:rsidRPr="00404CC7" w:rsidRDefault="00404CC7" w:rsidP="00404CC7">
      <w:pPr>
        <w:tabs>
          <w:tab w:val="left" w:pos="0"/>
        </w:tabs>
        <w:spacing w:after="0" w:line="240" w:lineRule="auto"/>
        <w:rPr>
          <w:rFonts w:ascii="Times New Roman" w:hAnsi="Times New Roman"/>
          <w:noProof/>
          <w:sz w:val="28"/>
          <w:szCs w:val="28"/>
          <w:highlight w:val="yellow"/>
        </w:rPr>
      </w:pPr>
      <w:r w:rsidRPr="00404CC7">
        <w:rPr>
          <w:noProof/>
          <w:lang w:eastAsia="ru-RU"/>
        </w:rPr>
        <w:drawing>
          <wp:inline distT="0" distB="0" distL="0" distR="0" wp14:anchorId="6C2BEF5C" wp14:editId="6C8A85FE">
            <wp:extent cx="5939790" cy="2414270"/>
            <wp:effectExtent l="0" t="0" r="3810" b="508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1A4CE6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16 – Пресечение ограничивающих конкуренцию действий (бездействия) органов государственной власти и органов местного самоуправления</w:t>
      </w:r>
    </w:p>
    <w:p w14:paraId="7A8EDA6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55D4F7F"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055" w:name="_Toc479442994"/>
      <w:r w:rsidRPr="00404CC7">
        <w:rPr>
          <w:rFonts w:ascii="Times New Roman" w:hAnsi="Times New Roman" w:cs="Times New Roman"/>
          <w:b/>
          <w:sz w:val="28"/>
          <w:szCs w:val="28"/>
        </w:rPr>
        <w:t>б) Контроль за предоставлением государственных (муниципальных) преференций хозяйствующим субъектам</w:t>
      </w:r>
      <w:bookmarkEnd w:id="2055"/>
    </w:p>
    <w:p w14:paraId="77BFB03F"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FD95D6C"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соблюдения порядка предоставления государственной или муниципальной преференции сохраняется (рисунок 17).</w:t>
      </w:r>
    </w:p>
    <w:p w14:paraId="20E1A78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BE43E09" w14:textId="77777777" w:rsidR="00404CC7" w:rsidRPr="00404CC7" w:rsidRDefault="00404CC7" w:rsidP="00404CC7">
      <w:pPr>
        <w:tabs>
          <w:tab w:val="left" w:pos="0"/>
        </w:tabs>
        <w:spacing w:after="0" w:line="240" w:lineRule="auto"/>
        <w:rPr>
          <w:rFonts w:ascii="Times New Roman" w:hAnsi="Times New Roman"/>
          <w:sz w:val="28"/>
          <w:szCs w:val="28"/>
          <w:highlight w:val="yellow"/>
        </w:rPr>
      </w:pPr>
      <w:r w:rsidRPr="00404CC7">
        <w:rPr>
          <w:noProof/>
          <w:lang w:eastAsia="ru-RU"/>
        </w:rPr>
        <w:drawing>
          <wp:inline distT="0" distB="0" distL="0" distR="0" wp14:anchorId="19435EEE" wp14:editId="489D9B77">
            <wp:extent cx="5939790" cy="2214245"/>
            <wp:effectExtent l="0" t="0" r="381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2C92E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17 – Возбуждено дел о преференциях</w:t>
      </w:r>
    </w:p>
    <w:p w14:paraId="1F0C3AC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3389B9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году по итогам рассмотрения заявлений о даче согласия на  предоставление преференций решение о даче согласия на предоставление преференций было принято в отношении 52 % общего количества рассмотренных заявлений; решение о даче согласия и введении ограничения было принято в отношении 27 % заявлений; по 13 % заявлений отказано в  предоставлении преференции; в отношении остальных заявлений согласие не потребовалось (рисунок 18).</w:t>
      </w:r>
    </w:p>
    <w:p w14:paraId="1DB6F1B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64A45F"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6161F740" wp14:editId="065735FC">
            <wp:extent cx="5939790" cy="2743200"/>
            <wp:effectExtent l="0" t="0" r="381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60299A4" w14:textId="77777777" w:rsidR="00404CC7" w:rsidRPr="00404CC7" w:rsidRDefault="00404CC7" w:rsidP="00300B34">
      <w:bookmarkStart w:id="2056" w:name="_Toc479442995"/>
      <w:r w:rsidRPr="00300B34">
        <w:rPr>
          <w:rFonts w:ascii="Times New Roman" w:hAnsi="Times New Roman" w:cs="Times New Roman"/>
          <w:sz w:val="24"/>
          <w:szCs w:val="24"/>
        </w:rPr>
        <w:t>Рисунок 18 – Результаты рассмотрения заявлений о предоставлении преференций в  2018</w:t>
      </w:r>
      <w:r w:rsidRPr="00404CC7">
        <w:t>  г.</w:t>
      </w:r>
    </w:p>
    <w:p w14:paraId="6CCD0D3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18081EC" w14:textId="77777777" w:rsidR="00404CC7" w:rsidRPr="00404CC7" w:rsidRDefault="00404CC7" w:rsidP="00BE213D">
      <w:pPr>
        <w:numPr>
          <w:ilvl w:val="0"/>
          <w:numId w:val="7"/>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Результаты контроля за соблюдением антимонопольных требований законодательства о торговле</w:t>
      </w:r>
      <w:bookmarkEnd w:id="2056"/>
    </w:p>
    <w:p w14:paraId="0A05024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D35BCA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 количество дел, возбужденных по признакам нарушения законодательства о торговле, увеличилось более чем в полтора раза по  сравнению с 2017 г.</w:t>
      </w:r>
    </w:p>
    <w:p w14:paraId="11924DF9" w14:textId="77777777" w:rsidR="00404CC7" w:rsidRPr="00404CC7" w:rsidRDefault="00404CC7" w:rsidP="00404CC7">
      <w:pPr>
        <w:spacing w:after="0" w:line="240" w:lineRule="auto"/>
        <w:jc w:val="center"/>
        <w:rPr>
          <w:rFonts w:ascii="Times New Roman" w:hAnsi="Times New Roman"/>
          <w:sz w:val="28"/>
          <w:szCs w:val="28"/>
          <w:highlight w:val="yellow"/>
        </w:rPr>
      </w:pPr>
      <w:r w:rsidRPr="00404CC7">
        <w:rPr>
          <w:noProof/>
          <w:lang w:eastAsia="ru-RU"/>
        </w:rPr>
        <w:drawing>
          <wp:inline distT="0" distB="0" distL="0" distR="0" wp14:anchorId="5ABEAEF4" wp14:editId="604ABF80">
            <wp:extent cx="5939790" cy="2743200"/>
            <wp:effectExtent l="0" t="0" r="381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4C60912" w14:textId="77777777" w:rsidR="00404CC7" w:rsidRPr="00567A1B" w:rsidRDefault="00404CC7" w:rsidP="00300B34">
      <w:pPr>
        <w:rPr>
          <w:rFonts w:ascii="Times New Roman" w:hAnsi="Times New Roman" w:cs="Times New Roman"/>
          <w:sz w:val="24"/>
          <w:szCs w:val="24"/>
        </w:rPr>
      </w:pPr>
      <w:r w:rsidRPr="00567A1B">
        <w:rPr>
          <w:rFonts w:ascii="Times New Roman" w:hAnsi="Times New Roman" w:cs="Times New Roman"/>
          <w:sz w:val="24"/>
          <w:szCs w:val="24"/>
        </w:rPr>
        <w:t>Рисунок 19 – Возбуждено дел о нарушении законодательства о торговле</w:t>
      </w:r>
      <w:bookmarkStart w:id="2057" w:name="_Toc479442996"/>
    </w:p>
    <w:bookmarkEnd w:id="2057"/>
    <w:p w14:paraId="2C56D98C" w14:textId="77777777" w:rsidR="004F2E63" w:rsidRDefault="004F2E63" w:rsidP="004F2E63"/>
    <w:p w14:paraId="1AE499D1" w14:textId="77777777" w:rsidR="001178ED" w:rsidRDefault="001178ED" w:rsidP="004F2E63">
      <w:pPr>
        <w:rPr>
          <w:rFonts w:ascii="Times New Roman" w:hAnsi="Times New Roman" w:cs="Times New Roman"/>
          <w:b/>
          <w:sz w:val="28"/>
          <w:szCs w:val="28"/>
        </w:rPr>
      </w:pPr>
      <w:r w:rsidRPr="001178ED">
        <w:rPr>
          <w:rFonts w:ascii="Times New Roman" w:hAnsi="Times New Roman" w:cs="Times New Roman"/>
          <w:b/>
          <w:sz w:val="28"/>
          <w:szCs w:val="28"/>
        </w:rPr>
        <w:t>2) Контроль за иностранными инвестициями</w:t>
      </w:r>
    </w:p>
    <w:p w14:paraId="4EEDA51E" w14:textId="77777777" w:rsidR="001178ED" w:rsidRPr="00AB03AC" w:rsidRDefault="001178ED" w:rsidP="008A2BB3">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 xml:space="preserve">В 2018 году на рассмотрении ФАС России находилось 85 ходатайств иностранных инвесторов (в том числе 22 ходатайства перешли с 2017 г.), из которых: </w:t>
      </w:r>
    </w:p>
    <w:p w14:paraId="0DE44099" w14:textId="77777777" w:rsidR="001178ED" w:rsidRPr="00AB03AC" w:rsidRDefault="001178ED" w:rsidP="008A2BB3">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37 - были внесены на рассмотрение Комиссии;</w:t>
      </w:r>
    </w:p>
    <w:p w14:paraId="088EF91D" w14:textId="77777777" w:rsidR="001178ED" w:rsidRPr="00AB03AC" w:rsidRDefault="001178ED" w:rsidP="008A2BB3">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32 - возвращены заявителям (25 обществ не являлись стратегическими, 7 сделок не требовали предварительного согласования);</w:t>
      </w:r>
    </w:p>
    <w:p w14:paraId="6FF7849B" w14:textId="77777777" w:rsidR="001178ED" w:rsidRPr="00AB03AC" w:rsidRDefault="001178ED" w:rsidP="008A2BB3">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3 - отозваны заявителем по причине отказа от намерения осуществить планируемую сделку;</w:t>
      </w:r>
    </w:p>
    <w:p w14:paraId="05A71B8F" w14:textId="77777777" w:rsidR="001178ED" w:rsidRPr="00AB03AC" w:rsidRDefault="001178ED" w:rsidP="008A2BB3">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26 - остались на рассмотрении на 31.12.2018 (в том числе 13 ходатайств, срок рассмотрения которых продлен в соответствии с решениями Комиссии).</w:t>
      </w:r>
    </w:p>
    <w:p w14:paraId="76D8EA21" w14:textId="77777777" w:rsidR="001178ED" w:rsidRPr="00AB03AC" w:rsidRDefault="001178ED" w:rsidP="008A2BB3">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В 2018 году было проведено 4 заседания Комиссии (28.04.2018, 03.10.2018, 04.12.2018), в том числе одно в форме заочного голосования (22.08.2018), по результатам которых были приняты решения:</w:t>
      </w:r>
    </w:p>
    <w:p w14:paraId="7A9AE221" w14:textId="77777777" w:rsidR="001178ED" w:rsidRPr="00206D9E" w:rsidRDefault="001178ED" w:rsidP="008A2BB3">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19 - о предварительном согласовании сделок, в том числе по 12 –</w:t>
      </w:r>
      <w:r>
        <w:rPr>
          <w:rFonts w:ascii="Times New Roman" w:hAnsi="Times New Roman" w:cs="Times New Roman"/>
          <w:bCs/>
          <w:sz w:val="28"/>
        </w:rPr>
        <w:t xml:space="preserve"> с возложением обязательств,</w:t>
      </w:r>
    </w:p>
    <w:p w14:paraId="22E20CCB" w14:textId="77777777" w:rsidR="001178ED" w:rsidRPr="00206D9E" w:rsidRDefault="001178ED" w:rsidP="008A2BB3">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5 -</w:t>
      </w:r>
      <w:r w:rsidRPr="00206D9E">
        <w:rPr>
          <w:rFonts w:ascii="Times New Roman" w:hAnsi="Times New Roman" w:cs="Times New Roman"/>
          <w:bCs/>
          <w:sz w:val="28"/>
        </w:rPr>
        <w:t xml:space="preserve"> об отказе в предварительном согласовании сделки, </w:t>
      </w:r>
    </w:p>
    <w:p w14:paraId="55118483" w14:textId="77777777" w:rsidR="001178ED" w:rsidRPr="00206D9E" w:rsidRDefault="001178ED" w:rsidP="008A2BB3">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13 -</w:t>
      </w:r>
      <w:r w:rsidRPr="00206D9E">
        <w:rPr>
          <w:rFonts w:ascii="Times New Roman" w:hAnsi="Times New Roman" w:cs="Times New Roman"/>
          <w:bCs/>
          <w:sz w:val="28"/>
        </w:rPr>
        <w:t xml:space="preserve"> о продлении</w:t>
      </w:r>
      <w:r>
        <w:rPr>
          <w:rFonts w:ascii="Times New Roman" w:hAnsi="Times New Roman" w:cs="Times New Roman"/>
          <w:bCs/>
          <w:sz w:val="28"/>
        </w:rPr>
        <w:t xml:space="preserve"> срока рассмотрения ходатайств.</w:t>
      </w:r>
    </w:p>
    <w:p w14:paraId="1C157B58" w14:textId="77777777" w:rsidR="001178ED" w:rsidRPr="00AB03AC" w:rsidRDefault="001178ED" w:rsidP="008A2BB3">
      <w:pPr>
        <w:spacing w:after="0" w:line="240" w:lineRule="auto"/>
        <w:ind w:firstLine="709"/>
        <w:jc w:val="both"/>
        <w:rPr>
          <w:rFonts w:ascii="Times New Roman" w:hAnsi="Times New Roman" w:cs="Times New Roman"/>
          <w:sz w:val="28"/>
          <w:szCs w:val="28"/>
        </w:rPr>
      </w:pPr>
      <w:r w:rsidRPr="00AB03AC">
        <w:rPr>
          <w:rFonts w:ascii="Times New Roman" w:hAnsi="Times New Roman" w:cs="Times New Roman"/>
          <w:bCs/>
          <w:sz w:val="28"/>
        </w:rPr>
        <w:t xml:space="preserve">Общая сумма предварительно согласованных Комиссией сделок </w:t>
      </w:r>
      <w:r w:rsidRPr="00AB03AC">
        <w:rPr>
          <w:rFonts w:ascii="Times New Roman" w:hAnsi="Times New Roman" w:cs="Times New Roman"/>
          <w:bCs/>
          <w:sz w:val="28"/>
        </w:rPr>
        <w:br/>
        <w:t xml:space="preserve">в 2018 г. - 631 млрд. руб. </w:t>
      </w:r>
      <w:r w:rsidRPr="00AB03AC">
        <w:rPr>
          <w:rFonts w:ascii="Times New Roman" w:hAnsi="Times New Roman" w:cs="Times New Roman"/>
          <w:sz w:val="28"/>
          <w:szCs w:val="28"/>
        </w:rPr>
        <w:t xml:space="preserve">(≈ 9,5 млрд. долларов США), общий объем </w:t>
      </w:r>
      <w:r w:rsidRPr="00AB03AC">
        <w:rPr>
          <w:rFonts w:ascii="Times New Roman" w:hAnsi="Times New Roman" w:cs="Times New Roman"/>
          <w:bCs/>
          <w:sz w:val="28"/>
        </w:rPr>
        <w:t xml:space="preserve">планируемых иностранных инвестиций по данным сделкам - </w:t>
      </w:r>
      <w:r w:rsidRPr="00AB03AC">
        <w:rPr>
          <w:rFonts w:ascii="Times New Roman" w:hAnsi="Times New Roman" w:cs="Times New Roman"/>
          <w:sz w:val="28"/>
          <w:szCs w:val="28"/>
        </w:rPr>
        <w:t>426 млрд. руб. (≈ 6,4 млрд. долларов США).</w:t>
      </w:r>
    </w:p>
    <w:p w14:paraId="7F29AC11" w14:textId="77777777" w:rsidR="001178ED" w:rsidRDefault="001178ED" w:rsidP="008A2BB3">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Хозяйственные общества, имеющие стратегическое значение, сделки </w:t>
      </w:r>
      <w:r>
        <w:rPr>
          <w:rFonts w:ascii="Times New Roman" w:hAnsi="Times New Roman" w:cs="Times New Roman"/>
          <w:bCs/>
          <w:sz w:val="28"/>
          <w:szCs w:val="28"/>
          <w:lang w:eastAsia="ar-SA"/>
        </w:rPr>
        <w:br/>
        <w:t>в отношении которых были предварительно согласованы</w:t>
      </w: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w:t>
      </w:r>
      <w:r w:rsidRPr="00AC53B0">
        <w:rPr>
          <w:rFonts w:ascii="Times New Roman" w:hAnsi="Times New Roman" w:cs="Times New Roman"/>
          <w:bCs/>
          <w:sz w:val="28"/>
          <w:szCs w:val="28"/>
          <w:lang w:eastAsia="ar-SA"/>
        </w:rPr>
        <w:t>омиссией</w:t>
      </w:r>
      <w:r>
        <w:rPr>
          <w:rFonts w:ascii="Times New Roman" w:hAnsi="Times New Roman" w:cs="Times New Roman"/>
          <w:bCs/>
          <w:sz w:val="28"/>
          <w:szCs w:val="28"/>
          <w:lang w:eastAsia="ar-SA"/>
        </w:rPr>
        <w:t xml:space="preserve"> в 2018 году</w:t>
      </w:r>
      <w:r w:rsidRPr="00AC53B0">
        <w:rPr>
          <w:rFonts w:ascii="Times New Roman" w:hAnsi="Times New Roman" w:cs="Times New Roman"/>
          <w:bCs/>
          <w:sz w:val="28"/>
          <w:szCs w:val="28"/>
          <w:lang w:eastAsia="ar-SA"/>
        </w:rPr>
        <w:t xml:space="preserve">, осуществляют </w:t>
      </w:r>
      <w:r>
        <w:rPr>
          <w:rFonts w:ascii="Times New Roman" w:hAnsi="Times New Roman" w:cs="Times New Roman"/>
          <w:bCs/>
          <w:sz w:val="28"/>
          <w:szCs w:val="28"/>
          <w:lang w:eastAsia="ar-SA"/>
        </w:rPr>
        <w:t>деятельность в следующих сферах</w:t>
      </w:r>
      <w:r w:rsidRPr="00AC53B0">
        <w:rPr>
          <w:rFonts w:ascii="Times New Roman" w:hAnsi="Times New Roman" w:cs="Times New Roman"/>
          <w:bCs/>
          <w:sz w:val="28"/>
          <w:szCs w:val="28"/>
          <w:lang w:eastAsia="ar-SA"/>
        </w:rPr>
        <w:t>:</w:t>
      </w:r>
    </w:p>
    <w:p w14:paraId="7CBB04DA" w14:textId="77777777" w:rsidR="001178ED" w:rsidRPr="00AC53B0" w:rsidRDefault="001178ED" w:rsidP="008A2BB3">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Pr>
          <w:rFonts w:ascii="Times New Roman" w:hAnsi="Times New Roman" w:cs="Times New Roman"/>
          <w:bCs/>
          <w:sz w:val="28"/>
          <w:szCs w:val="28"/>
          <w:lang w:eastAsia="ar-SA"/>
        </w:rPr>
        <w:t>геологическое изучение недр и (или) разведка и добыча полезных ископаемых на участках недр федерального значения -</w:t>
      </w:r>
      <w:r w:rsidRPr="00AC53B0">
        <w:rPr>
          <w:rFonts w:ascii="Times New Roman" w:hAnsi="Times New Roman" w:cs="Times New Roman"/>
          <w:bCs/>
          <w:sz w:val="28"/>
          <w:szCs w:val="28"/>
          <w:lang w:eastAsia="ar-SA"/>
        </w:rPr>
        <w:t xml:space="preserve"> 5 сделок;</w:t>
      </w:r>
    </w:p>
    <w:p w14:paraId="2DB628FD" w14:textId="77777777" w:rsidR="001178ED" w:rsidRPr="00AC53B0" w:rsidRDefault="001178ED" w:rsidP="008A2BB3">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Pr>
          <w:rFonts w:ascii="Times New Roman" w:hAnsi="Times New Roman" w:cs="Times New Roman"/>
          <w:bCs/>
          <w:sz w:val="28"/>
          <w:szCs w:val="28"/>
          <w:lang w:eastAsia="ar-SA"/>
        </w:rPr>
        <w:t xml:space="preserve"> оказание услуг хозяйствующими субъектами, включенными в реестр естественных монополий -</w:t>
      </w:r>
      <w:r w:rsidRPr="00AC53B0">
        <w:rPr>
          <w:rFonts w:ascii="Times New Roman" w:hAnsi="Times New Roman" w:cs="Times New Roman"/>
          <w:bCs/>
          <w:sz w:val="28"/>
          <w:szCs w:val="28"/>
          <w:lang w:eastAsia="ar-SA"/>
        </w:rPr>
        <w:t xml:space="preserve"> 3 сделки;</w:t>
      </w:r>
    </w:p>
    <w:p w14:paraId="404F4D40" w14:textId="77777777" w:rsidR="001178ED" w:rsidRPr="00AB03AC" w:rsidRDefault="001178ED" w:rsidP="008A2BB3">
      <w:pPr>
        <w:autoSpaceDE w:val="0"/>
        <w:autoSpaceDN w:val="0"/>
        <w:adjustRightInd w:val="0"/>
        <w:spacing w:after="0" w:line="240" w:lineRule="auto"/>
        <w:ind w:firstLine="709"/>
        <w:jc w:val="both"/>
        <w:rPr>
          <w:rFonts w:ascii="Times New Roman" w:hAnsi="Times New Roman" w:cs="Times New Roman"/>
          <w:sz w:val="28"/>
          <w:szCs w:val="28"/>
        </w:rPr>
      </w:pPr>
      <w:r w:rsidRPr="00AC53B0">
        <w:rPr>
          <w:rFonts w:ascii="Times New Roman" w:hAnsi="Times New Roman" w:cs="Times New Roman"/>
          <w:bCs/>
          <w:sz w:val="28"/>
          <w:szCs w:val="28"/>
          <w:lang w:eastAsia="ar-SA"/>
        </w:rPr>
        <w:t>-</w:t>
      </w:r>
      <w:r>
        <w:rPr>
          <w:rFonts w:ascii="Times New Roman" w:hAnsi="Times New Roman" w:cs="Times New Roman"/>
          <w:sz w:val="28"/>
          <w:szCs w:val="28"/>
        </w:rPr>
        <w:t xml:space="preserve"> обращение с ядерными материалами и радиоактивными веществами, </w:t>
      </w:r>
      <w:r>
        <w:rPr>
          <w:rFonts w:ascii="Times New Roman" w:hAnsi="Times New Roman" w:cs="Times New Roman"/>
          <w:sz w:val="28"/>
          <w:szCs w:val="28"/>
        </w:rPr>
        <w:br/>
        <w:t xml:space="preserve">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w:t>
      </w:r>
      <w:r>
        <w:rPr>
          <w:rFonts w:ascii="Times New Roman" w:hAnsi="Times New Roman" w:cs="Times New Roman"/>
          <w:bCs/>
          <w:sz w:val="28"/>
          <w:szCs w:val="28"/>
          <w:lang w:eastAsia="ar-SA"/>
        </w:rPr>
        <w:t>- 1 сделка</w:t>
      </w:r>
      <w:r w:rsidRPr="00AC53B0">
        <w:rPr>
          <w:rFonts w:ascii="Times New Roman" w:hAnsi="Times New Roman" w:cs="Times New Roman"/>
          <w:bCs/>
          <w:sz w:val="28"/>
          <w:szCs w:val="28"/>
          <w:lang w:eastAsia="ar-SA"/>
        </w:rPr>
        <w:t>;</w:t>
      </w:r>
    </w:p>
    <w:p w14:paraId="3D5353D6" w14:textId="77777777" w:rsidR="001178ED" w:rsidRPr="00675024" w:rsidRDefault="001178ED" w:rsidP="008A2BB3">
      <w:pPr>
        <w:autoSpaceDE w:val="0"/>
        <w:autoSpaceDN w:val="0"/>
        <w:adjustRightInd w:val="0"/>
        <w:spacing w:after="0" w:line="240" w:lineRule="auto"/>
        <w:ind w:firstLine="709"/>
        <w:jc w:val="both"/>
        <w:rPr>
          <w:rFonts w:ascii="Times New Roman" w:hAnsi="Times New Roman" w:cs="Times New Roman"/>
          <w:sz w:val="28"/>
          <w:szCs w:val="28"/>
        </w:rPr>
      </w:pPr>
      <w:r w:rsidRPr="00F20E81">
        <w:rPr>
          <w:rFonts w:ascii="Times New Roman" w:hAnsi="Times New Roman" w:cs="Times New Roman"/>
          <w:bCs/>
          <w:sz w:val="28"/>
          <w:szCs w:val="28"/>
          <w:lang w:eastAsia="ar-SA"/>
        </w:rPr>
        <w:t>-</w:t>
      </w:r>
      <w:r>
        <w:rPr>
          <w:rFonts w:ascii="Times New Roman" w:hAnsi="Times New Roman" w:cs="Times New Roman"/>
          <w:sz w:val="28"/>
          <w:szCs w:val="28"/>
        </w:rPr>
        <w:t xml:space="preserve"> конструирование и изготовление оборудования для ядерных установок, радиационных источников, пунктов хранения ядерных материалов </w:t>
      </w:r>
      <w:r>
        <w:rPr>
          <w:rFonts w:ascii="Times New Roman" w:hAnsi="Times New Roman" w:cs="Times New Roman"/>
          <w:sz w:val="28"/>
          <w:szCs w:val="28"/>
        </w:rPr>
        <w:br/>
        <w:t xml:space="preserve">и радиоактивных веществ, хранилищ радиоактивных отходов - 1 сделка; </w:t>
      </w:r>
    </w:p>
    <w:p w14:paraId="40C40C70" w14:textId="77777777" w:rsidR="001178ED" w:rsidRPr="00AC53B0" w:rsidRDefault="001178ED" w:rsidP="008A2BB3">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разработка, производство, ремонт, утилизация и торговля вооружением, военной техникой, взрывчатыми материалами -</w:t>
      </w:r>
      <w:r w:rsidRPr="00AC53B0">
        <w:rPr>
          <w:rFonts w:ascii="Times New Roman" w:hAnsi="Times New Roman" w:cs="Times New Roman"/>
          <w:bCs/>
          <w:sz w:val="28"/>
          <w:szCs w:val="28"/>
          <w:lang w:eastAsia="ar-SA"/>
        </w:rPr>
        <w:t xml:space="preserve"> 5 сделок;</w:t>
      </w:r>
    </w:p>
    <w:p w14:paraId="3C1DFA68" w14:textId="77777777" w:rsidR="001178ED" w:rsidRPr="00AC53B0" w:rsidRDefault="001178ED" w:rsidP="008A2BB3">
      <w:pPr>
        <w:spacing w:after="0" w:line="240" w:lineRule="auto"/>
        <w:ind w:firstLine="578"/>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оказание услуг в портах -</w:t>
      </w:r>
      <w:r w:rsidRPr="00AC53B0">
        <w:rPr>
          <w:rFonts w:ascii="Times New Roman" w:hAnsi="Times New Roman" w:cs="Times New Roman"/>
          <w:bCs/>
          <w:sz w:val="28"/>
          <w:szCs w:val="28"/>
          <w:lang w:eastAsia="ar-SA"/>
        </w:rPr>
        <w:t xml:space="preserve"> 1 сделка;</w:t>
      </w:r>
    </w:p>
    <w:p w14:paraId="651C39D3" w14:textId="77777777" w:rsidR="001178ED" w:rsidRPr="00AC53B0" w:rsidRDefault="001178ED" w:rsidP="008A2BB3">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деятельность, связанная с использованием возбудителей инфекционных заболеваний -</w:t>
      </w:r>
      <w:r w:rsidRPr="00AC53B0">
        <w:rPr>
          <w:rFonts w:ascii="Times New Roman" w:hAnsi="Times New Roman" w:cs="Times New Roman"/>
          <w:bCs/>
          <w:sz w:val="28"/>
          <w:szCs w:val="28"/>
          <w:lang w:eastAsia="ar-SA"/>
        </w:rPr>
        <w:t xml:space="preserve"> 2 сделки;</w:t>
      </w:r>
    </w:p>
    <w:p w14:paraId="06E34FE3" w14:textId="77777777" w:rsidR="001178ED" w:rsidRPr="00CC7B1B" w:rsidRDefault="001178ED" w:rsidP="008A2BB3">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добыча (вылов) водных биологических ресурсов -</w:t>
      </w:r>
      <w:r w:rsidRPr="00AC53B0">
        <w:rPr>
          <w:rFonts w:ascii="Times New Roman" w:hAnsi="Times New Roman" w:cs="Times New Roman"/>
          <w:bCs/>
          <w:sz w:val="28"/>
          <w:szCs w:val="28"/>
          <w:lang w:eastAsia="ar-SA"/>
        </w:rPr>
        <w:t xml:space="preserve"> 1 сделка.</w:t>
      </w:r>
    </w:p>
    <w:p w14:paraId="597C7115" w14:textId="77777777" w:rsidR="001178ED" w:rsidRPr="00F20E81" w:rsidRDefault="001178ED" w:rsidP="001178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Указанные показатели представлены в диаграмме № 1. </w:t>
      </w:r>
    </w:p>
    <w:p w14:paraId="160B269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2EA16AD1" wp14:editId="018B9B30">
            <wp:extent cx="5953125" cy="25050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D55C22" w14:textId="77777777" w:rsidR="001178ED" w:rsidRDefault="001178ED" w:rsidP="008A2BB3">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Вместе с тем хозяйственные общества, имеющие стратегическое значение для обеспечения обороны страны и безопасности государства, привлекательны для инвесторов из различных стран (диаграмма № 2). </w:t>
      </w:r>
    </w:p>
    <w:p w14:paraId="483C4AE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63CD29F2" wp14:editId="50CF1AE1">
            <wp:extent cx="5911850" cy="2705100"/>
            <wp:effectExtent l="0" t="0" r="1270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C1390B5" w14:textId="77777777" w:rsidR="001178ED" w:rsidRDefault="001178ED" w:rsidP="001178ED">
      <w:pPr>
        <w:spacing w:after="0" w:line="360" w:lineRule="auto"/>
        <w:ind w:firstLine="708"/>
        <w:jc w:val="both"/>
        <w:rPr>
          <w:rFonts w:ascii="Times New Roman" w:hAnsi="Times New Roman" w:cs="Times New Roman"/>
          <w:bCs/>
          <w:sz w:val="28"/>
        </w:rPr>
      </w:pPr>
    </w:p>
    <w:p w14:paraId="25A36073" w14:textId="77777777" w:rsidR="001178ED" w:rsidRDefault="001178ED" w:rsidP="008A2BB3">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В 2018 г.</w:t>
      </w:r>
      <w:r w:rsidRPr="00206D9E">
        <w:rPr>
          <w:rFonts w:ascii="Times New Roman" w:hAnsi="Times New Roman" w:cs="Times New Roman"/>
          <w:bCs/>
          <w:sz w:val="28"/>
        </w:rPr>
        <w:t xml:space="preserve"> </w:t>
      </w:r>
      <w:r>
        <w:rPr>
          <w:rFonts w:ascii="Times New Roman" w:hAnsi="Times New Roman" w:cs="Times New Roman"/>
          <w:bCs/>
          <w:sz w:val="28"/>
        </w:rPr>
        <w:t xml:space="preserve">ФАС России </w:t>
      </w:r>
      <w:r w:rsidRPr="00206D9E">
        <w:rPr>
          <w:rFonts w:ascii="Times New Roman" w:hAnsi="Times New Roman" w:cs="Times New Roman"/>
          <w:bCs/>
          <w:sz w:val="28"/>
        </w:rPr>
        <w:t xml:space="preserve">также рассмотрено 38 уведомлений </w:t>
      </w:r>
      <w:r>
        <w:rPr>
          <w:rFonts w:ascii="Times New Roman" w:hAnsi="Times New Roman" w:cs="Times New Roman"/>
          <w:bCs/>
          <w:sz w:val="28"/>
        </w:rPr>
        <w:t xml:space="preserve">о совершении иностранными инвесторами сделок в отношении акций (долей) российских стратегических обществ </w:t>
      </w:r>
      <w:r w:rsidRPr="00206D9E">
        <w:rPr>
          <w:rFonts w:ascii="Times New Roman" w:hAnsi="Times New Roman" w:cs="Times New Roman"/>
          <w:bCs/>
          <w:sz w:val="28"/>
        </w:rPr>
        <w:t>и 7 за</w:t>
      </w:r>
      <w:r>
        <w:rPr>
          <w:rFonts w:ascii="Times New Roman" w:hAnsi="Times New Roman" w:cs="Times New Roman"/>
          <w:bCs/>
          <w:sz w:val="28"/>
        </w:rPr>
        <w:t>просов иностранных инвесторов о </w:t>
      </w:r>
      <w:r w:rsidRPr="00206D9E">
        <w:rPr>
          <w:rFonts w:ascii="Times New Roman" w:hAnsi="Times New Roman" w:cs="Times New Roman"/>
          <w:bCs/>
          <w:sz w:val="28"/>
        </w:rPr>
        <w:t>необходимости предварительного согласования сделок</w:t>
      </w:r>
      <w:r>
        <w:rPr>
          <w:rFonts w:ascii="Times New Roman" w:hAnsi="Times New Roman" w:cs="Times New Roman"/>
          <w:bCs/>
          <w:sz w:val="28"/>
        </w:rPr>
        <w:t>.</w:t>
      </w:r>
    </w:p>
    <w:p w14:paraId="07B7D673" w14:textId="77777777" w:rsidR="004D6F7B" w:rsidRDefault="004D6F7B" w:rsidP="001178ED">
      <w:pPr>
        <w:spacing w:after="0" w:line="360" w:lineRule="auto"/>
        <w:ind w:firstLine="708"/>
        <w:jc w:val="both"/>
        <w:rPr>
          <w:rFonts w:ascii="Times New Roman" w:hAnsi="Times New Roman" w:cs="Times New Roman"/>
          <w:bCs/>
          <w:sz w:val="28"/>
        </w:rPr>
      </w:pPr>
    </w:p>
    <w:p w14:paraId="32AAB5DF" w14:textId="77777777" w:rsidR="004D6F7B" w:rsidRDefault="004D6F7B" w:rsidP="001178ED">
      <w:pPr>
        <w:spacing w:after="0" w:line="360" w:lineRule="auto"/>
        <w:ind w:firstLine="708"/>
        <w:jc w:val="both"/>
        <w:rPr>
          <w:rFonts w:ascii="Times New Roman" w:hAnsi="Times New Roman" w:cs="Times New Roman"/>
          <w:bCs/>
          <w:sz w:val="28"/>
        </w:rPr>
      </w:pPr>
    </w:p>
    <w:p w14:paraId="5A0FF969" w14:textId="77777777" w:rsidR="004D6F7B" w:rsidRPr="009752AE" w:rsidRDefault="004D6F7B" w:rsidP="009752AE">
      <w:pPr>
        <w:jc w:val="center"/>
        <w:rPr>
          <w:rFonts w:ascii="Times New Roman" w:hAnsi="Times New Roman" w:cs="Times New Roman"/>
          <w:b/>
          <w:i/>
          <w:sz w:val="28"/>
          <w:szCs w:val="28"/>
        </w:rPr>
      </w:pPr>
      <w:r w:rsidRPr="009752AE">
        <w:rPr>
          <w:rFonts w:ascii="Times New Roman" w:hAnsi="Times New Roman" w:cs="Times New Roman"/>
          <w:b/>
          <w:sz w:val="28"/>
          <w:szCs w:val="28"/>
        </w:rPr>
        <w:t xml:space="preserve">Анализ контроля </w:t>
      </w:r>
      <w:r w:rsidRPr="009752AE">
        <w:rPr>
          <w:rFonts w:ascii="Times New Roman" w:hAnsi="Times New Roman" w:cs="Times New Roman"/>
          <w:b/>
          <w:sz w:val="28"/>
          <w:szCs w:val="28"/>
        </w:rPr>
        <w:br/>
        <w:t>за соблюдением законодательства Российской Федерации о контрактной системе в сфере закупок в 2018 году</w:t>
      </w:r>
    </w:p>
    <w:p w14:paraId="31E02356" w14:textId="77777777" w:rsidR="004D6F7B" w:rsidRPr="009752AE" w:rsidRDefault="004D6F7B" w:rsidP="009752AE">
      <w:pPr>
        <w:jc w:val="center"/>
        <w:rPr>
          <w:rFonts w:ascii="Times New Roman" w:hAnsi="Times New Roman" w:cs="Times New Roman"/>
          <w:sz w:val="28"/>
          <w:szCs w:val="28"/>
          <w:lang w:eastAsia="ar-SA"/>
        </w:rPr>
      </w:pPr>
    </w:p>
    <w:p w14:paraId="7EB86D2F" w14:textId="77777777" w:rsidR="004D6F7B" w:rsidRPr="00E55838" w:rsidRDefault="004D6F7B" w:rsidP="005256BC">
      <w:pPr>
        <w:tabs>
          <w:tab w:val="left" w:pos="2552"/>
        </w:tabs>
        <w:autoSpaceDE w:val="0"/>
        <w:autoSpaceDN w:val="0"/>
        <w:adjustRightInd w:val="0"/>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ФАС России в соответствии с Законом 44-ФЗ осуществляет контроль за соблюдением требований законодательства Российской Федерации о контрактной системе в сфере закупок путем проведения плановых и внеплановых проверок.</w:t>
      </w:r>
    </w:p>
    <w:p w14:paraId="0441A734" w14:textId="77777777" w:rsidR="004D6F7B" w:rsidRPr="00E55838" w:rsidRDefault="004D6F7B" w:rsidP="005256BC">
      <w:pPr>
        <w:widowControl w:val="0"/>
        <w:shd w:val="clear" w:color="auto" w:fill="FFFFFF"/>
        <w:spacing w:after="0" w:line="240" w:lineRule="auto"/>
        <w:ind w:firstLine="709"/>
        <w:contextualSpacing/>
        <w:jc w:val="both"/>
        <w:rPr>
          <w:rFonts w:ascii="Times New Roman" w:hAnsi="Times New Roman" w:cs="Times New Roman"/>
          <w:noProof/>
          <w:sz w:val="28"/>
          <w:szCs w:val="28"/>
        </w:rPr>
      </w:pPr>
      <w:r w:rsidRPr="00E55838">
        <w:rPr>
          <w:rFonts w:ascii="Times New Roman" w:hAnsi="Times New Roman" w:cs="Times New Roman"/>
          <w:sz w:val="28"/>
          <w:szCs w:val="28"/>
        </w:rPr>
        <w:t>В 2018 году ФАС России проведено следующее количество плановых и внеплановых проверок:</w:t>
      </w:r>
    </w:p>
    <w:p w14:paraId="65B82492" w14:textId="77777777" w:rsidR="004D6F7B" w:rsidRPr="00E55838" w:rsidRDefault="004D6F7B" w:rsidP="004D6F7B">
      <w:pPr>
        <w:tabs>
          <w:tab w:val="left" w:pos="2552"/>
        </w:tabs>
        <w:autoSpaceDE w:val="0"/>
        <w:autoSpaceDN w:val="0"/>
        <w:adjustRightInd w:val="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5913"/>
      </w:tblGrid>
      <w:tr w:rsidR="004D6F7B" w:rsidRPr="00E55838" w14:paraId="607D6D75" w14:textId="77777777" w:rsidTr="00481A29">
        <w:trPr>
          <w:trHeight w:val="567"/>
        </w:trPr>
        <w:tc>
          <w:tcPr>
            <w:tcW w:w="3510" w:type="dxa"/>
            <w:shd w:val="clear" w:color="auto" w:fill="auto"/>
            <w:vAlign w:val="center"/>
          </w:tcPr>
          <w:p w14:paraId="645FD518" w14:textId="77777777" w:rsidR="004D6F7B" w:rsidRPr="00E55838" w:rsidRDefault="004D6F7B" w:rsidP="00481A29">
            <w:pPr>
              <w:tabs>
                <w:tab w:val="left" w:pos="2552"/>
              </w:tabs>
              <w:autoSpaceDE w:val="0"/>
              <w:autoSpaceDN w:val="0"/>
              <w:adjustRightInd w:val="0"/>
              <w:rPr>
                <w:rFonts w:ascii="Times New Roman" w:hAnsi="Times New Roman" w:cs="Times New Roman"/>
                <w:sz w:val="28"/>
                <w:szCs w:val="28"/>
              </w:rPr>
            </w:pPr>
            <w:r w:rsidRPr="00E55838">
              <w:rPr>
                <w:rFonts w:ascii="Times New Roman" w:hAnsi="Times New Roman" w:cs="Times New Roman"/>
                <w:sz w:val="28"/>
                <w:szCs w:val="28"/>
              </w:rPr>
              <w:t>Плановые проверки</w:t>
            </w:r>
          </w:p>
        </w:tc>
        <w:tc>
          <w:tcPr>
            <w:tcW w:w="6237" w:type="dxa"/>
            <w:shd w:val="clear" w:color="auto" w:fill="auto"/>
            <w:vAlign w:val="center"/>
          </w:tcPr>
          <w:p w14:paraId="4B7EF4AD" w14:textId="77777777" w:rsidR="004D6F7B" w:rsidRPr="00E55838" w:rsidRDefault="004D6F7B" w:rsidP="00481A29">
            <w:pPr>
              <w:tabs>
                <w:tab w:val="left" w:pos="2552"/>
              </w:tabs>
              <w:autoSpaceDE w:val="0"/>
              <w:autoSpaceDN w:val="0"/>
              <w:adjustRightInd w:val="0"/>
              <w:jc w:val="center"/>
              <w:rPr>
                <w:rFonts w:ascii="Times New Roman" w:hAnsi="Times New Roman" w:cs="Times New Roman"/>
                <w:sz w:val="28"/>
                <w:szCs w:val="28"/>
              </w:rPr>
            </w:pPr>
            <w:r w:rsidRPr="00E55838">
              <w:rPr>
                <w:rFonts w:ascii="Times New Roman" w:hAnsi="Times New Roman" w:cs="Times New Roman"/>
                <w:sz w:val="28"/>
                <w:szCs w:val="28"/>
              </w:rPr>
              <w:t>200</w:t>
            </w:r>
          </w:p>
        </w:tc>
      </w:tr>
      <w:tr w:rsidR="004D6F7B" w:rsidRPr="00E55838" w14:paraId="42B09FFD" w14:textId="77777777" w:rsidTr="00481A29">
        <w:tc>
          <w:tcPr>
            <w:tcW w:w="3510" w:type="dxa"/>
            <w:shd w:val="clear" w:color="auto" w:fill="auto"/>
            <w:vAlign w:val="center"/>
          </w:tcPr>
          <w:p w14:paraId="46DD0ED3" w14:textId="77777777" w:rsidR="004D6F7B" w:rsidRPr="00E55838" w:rsidRDefault="004D6F7B" w:rsidP="00481A29">
            <w:pPr>
              <w:tabs>
                <w:tab w:val="left" w:pos="2552"/>
              </w:tabs>
              <w:autoSpaceDE w:val="0"/>
              <w:autoSpaceDN w:val="0"/>
              <w:adjustRightInd w:val="0"/>
              <w:rPr>
                <w:rFonts w:ascii="Times New Roman" w:hAnsi="Times New Roman" w:cs="Times New Roman"/>
                <w:sz w:val="28"/>
                <w:szCs w:val="28"/>
              </w:rPr>
            </w:pPr>
            <w:r w:rsidRPr="00E55838">
              <w:rPr>
                <w:rFonts w:ascii="Times New Roman" w:hAnsi="Times New Roman" w:cs="Times New Roman"/>
                <w:sz w:val="28"/>
                <w:szCs w:val="28"/>
              </w:rPr>
              <w:t>Внеплановые проверки,</w:t>
            </w:r>
          </w:p>
          <w:p w14:paraId="298E8F04" w14:textId="77777777" w:rsidR="004D6F7B" w:rsidRPr="00E55838" w:rsidRDefault="004D6F7B" w:rsidP="00481A29">
            <w:pPr>
              <w:tabs>
                <w:tab w:val="left" w:pos="2552"/>
              </w:tabs>
              <w:autoSpaceDE w:val="0"/>
              <w:autoSpaceDN w:val="0"/>
              <w:adjustRightInd w:val="0"/>
              <w:rPr>
                <w:rFonts w:ascii="Times New Roman" w:hAnsi="Times New Roman" w:cs="Times New Roman"/>
                <w:sz w:val="28"/>
                <w:szCs w:val="28"/>
              </w:rPr>
            </w:pPr>
            <w:r w:rsidRPr="00E55838">
              <w:rPr>
                <w:rFonts w:ascii="Times New Roman" w:hAnsi="Times New Roman" w:cs="Times New Roman"/>
                <w:sz w:val="28"/>
                <w:szCs w:val="28"/>
              </w:rPr>
              <w:t>в том числе в отношении закупок для обеспечения:</w:t>
            </w:r>
          </w:p>
          <w:p w14:paraId="5D11688A" w14:textId="77777777" w:rsidR="004D6F7B" w:rsidRPr="00E55838" w:rsidRDefault="004D6F7B" w:rsidP="00481A29">
            <w:pPr>
              <w:tabs>
                <w:tab w:val="left" w:pos="2552"/>
              </w:tabs>
              <w:autoSpaceDE w:val="0"/>
              <w:autoSpaceDN w:val="0"/>
              <w:adjustRightInd w:val="0"/>
              <w:rPr>
                <w:rFonts w:ascii="Times New Roman" w:hAnsi="Times New Roman" w:cs="Times New Roman"/>
                <w:sz w:val="28"/>
                <w:szCs w:val="28"/>
              </w:rPr>
            </w:pPr>
            <w:r w:rsidRPr="00E55838">
              <w:rPr>
                <w:rFonts w:ascii="Times New Roman" w:hAnsi="Times New Roman" w:cs="Times New Roman"/>
                <w:sz w:val="28"/>
                <w:szCs w:val="28"/>
              </w:rPr>
              <w:t>- федеральных нужд</w:t>
            </w:r>
          </w:p>
          <w:p w14:paraId="7FE45909" w14:textId="77777777" w:rsidR="004D6F7B" w:rsidRPr="00E55838" w:rsidRDefault="004D6F7B" w:rsidP="00481A29">
            <w:pPr>
              <w:tabs>
                <w:tab w:val="left" w:pos="2552"/>
              </w:tabs>
              <w:autoSpaceDE w:val="0"/>
              <w:autoSpaceDN w:val="0"/>
              <w:adjustRightInd w:val="0"/>
              <w:rPr>
                <w:rFonts w:ascii="Times New Roman" w:hAnsi="Times New Roman" w:cs="Times New Roman"/>
                <w:sz w:val="28"/>
                <w:szCs w:val="28"/>
              </w:rPr>
            </w:pPr>
            <w:r w:rsidRPr="00E55838">
              <w:rPr>
                <w:rFonts w:ascii="Times New Roman" w:hAnsi="Times New Roman" w:cs="Times New Roman"/>
                <w:sz w:val="28"/>
                <w:szCs w:val="28"/>
              </w:rPr>
              <w:t>- нужд субъектов РФ</w:t>
            </w:r>
          </w:p>
          <w:p w14:paraId="7638A57A" w14:textId="77777777" w:rsidR="004D6F7B" w:rsidRPr="00E55838" w:rsidRDefault="004D6F7B" w:rsidP="00481A29">
            <w:pPr>
              <w:tabs>
                <w:tab w:val="left" w:pos="2552"/>
              </w:tabs>
              <w:autoSpaceDE w:val="0"/>
              <w:autoSpaceDN w:val="0"/>
              <w:adjustRightInd w:val="0"/>
              <w:rPr>
                <w:rFonts w:ascii="Times New Roman" w:hAnsi="Times New Roman" w:cs="Times New Roman"/>
                <w:sz w:val="28"/>
                <w:szCs w:val="28"/>
              </w:rPr>
            </w:pPr>
            <w:r w:rsidRPr="00E55838">
              <w:rPr>
                <w:rFonts w:ascii="Times New Roman" w:hAnsi="Times New Roman" w:cs="Times New Roman"/>
                <w:sz w:val="28"/>
                <w:szCs w:val="28"/>
              </w:rPr>
              <w:t>- муниципальных нужд</w:t>
            </w:r>
          </w:p>
        </w:tc>
        <w:tc>
          <w:tcPr>
            <w:tcW w:w="6237" w:type="dxa"/>
            <w:shd w:val="clear" w:color="auto" w:fill="auto"/>
            <w:vAlign w:val="center"/>
          </w:tcPr>
          <w:p w14:paraId="76313938" w14:textId="77777777" w:rsidR="004D6F7B" w:rsidRPr="00E55838" w:rsidRDefault="004D6F7B" w:rsidP="00481A29">
            <w:pPr>
              <w:tabs>
                <w:tab w:val="left" w:pos="2552"/>
              </w:tabs>
              <w:autoSpaceDE w:val="0"/>
              <w:autoSpaceDN w:val="0"/>
              <w:adjustRightInd w:val="0"/>
              <w:jc w:val="center"/>
              <w:rPr>
                <w:rFonts w:ascii="Times New Roman" w:hAnsi="Times New Roman" w:cs="Times New Roman"/>
                <w:sz w:val="28"/>
                <w:szCs w:val="28"/>
              </w:rPr>
            </w:pPr>
            <w:r w:rsidRPr="00E55838">
              <w:rPr>
                <w:rFonts w:ascii="Times New Roman" w:hAnsi="Times New Roman" w:cs="Times New Roman"/>
                <w:sz w:val="28"/>
                <w:szCs w:val="28"/>
              </w:rPr>
              <w:t>6 890</w:t>
            </w:r>
          </w:p>
          <w:p w14:paraId="596D1BF1" w14:textId="77777777" w:rsidR="004D6F7B" w:rsidRPr="00E55838" w:rsidRDefault="004D6F7B" w:rsidP="00481A29">
            <w:pPr>
              <w:tabs>
                <w:tab w:val="left" w:pos="2552"/>
              </w:tabs>
              <w:autoSpaceDE w:val="0"/>
              <w:autoSpaceDN w:val="0"/>
              <w:adjustRightInd w:val="0"/>
              <w:jc w:val="center"/>
              <w:rPr>
                <w:rFonts w:ascii="Times New Roman" w:hAnsi="Times New Roman" w:cs="Times New Roman"/>
                <w:sz w:val="28"/>
                <w:szCs w:val="28"/>
              </w:rPr>
            </w:pPr>
          </w:p>
          <w:p w14:paraId="49D5DD78" w14:textId="77777777" w:rsidR="004D6F7B" w:rsidRPr="00E55838" w:rsidRDefault="004D6F7B" w:rsidP="00481A29">
            <w:pPr>
              <w:tabs>
                <w:tab w:val="left" w:pos="2552"/>
              </w:tabs>
              <w:autoSpaceDE w:val="0"/>
              <w:autoSpaceDN w:val="0"/>
              <w:adjustRightInd w:val="0"/>
              <w:jc w:val="center"/>
              <w:rPr>
                <w:rFonts w:ascii="Times New Roman" w:hAnsi="Times New Roman" w:cs="Times New Roman"/>
                <w:sz w:val="28"/>
                <w:szCs w:val="28"/>
              </w:rPr>
            </w:pPr>
          </w:p>
          <w:p w14:paraId="2C9E142B" w14:textId="77777777" w:rsidR="004D6F7B" w:rsidRPr="00E55838" w:rsidRDefault="004D6F7B" w:rsidP="00481A29">
            <w:pPr>
              <w:tabs>
                <w:tab w:val="left" w:pos="2552"/>
              </w:tabs>
              <w:autoSpaceDE w:val="0"/>
              <w:autoSpaceDN w:val="0"/>
              <w:adjustRightInd w:val="0"/>
              <w:jc w:val="center"/>
              <w:rPr>
                <w:rFonts w:ascii="Times New Roman" w:hAnsi="Times New Roman" w:cs="Times New Roman"/>
                <w:sz w:val="28"/>
                <w:szCs w:val="28"/>
              </w:rPr>
            </w:pPr>
            <w:r w:rsidRPr="00E55838">
              <w:rPr>
                <w:rFonts w:ascii="Times New Roman" w:hAnsi="Times New Roman" w:cs="Times New Roman"/>
                <w:sz w:val="28"/>
                <w:szCs w:val="28"/>
              </w:rPr>
              <w:t>2 148</w:t>
            </w:r>
          </w:p>
          <w:p w14:paraId="47788BB7" w14:textId="77777777" w:rsidR="004D6F7B" w:rsidRPr="00E55838" w:rsidRDefault="004D6F7B" w:rsidP="00481A29">
            <w:pPr>
              <w:tabs>
                <w:tab w:val="left" w:pos="2552"/>
              </w:tabs>
              <w:autoSpaceDE w:val="0"/>
              <w:autoSpaceDN w:val="0"/>
              <w:adjustRightInd w:val="0"/>
              <w:jc w:val="center"/>
              <w:rPr>
                <w:rFonts w:ascii="Times New Roman" w:hAnsi="Times New Roman" w:cs="Times New Roman"/>
                <w:sz w:val="28"/>
                <w:szCs w:val="28"/>
              </w:rPr>
            </w:pPr>
            <w:r w:rsidRPr="00E55838">
              <w:rPr>
                <w:rFonts w:ascii="Times New Roman" w:hAnsi="Times New Roman" w:cs="Times New Roman"/>
                <w:sz w:val="28"/>
                <w:szCs w:val="28"/>
              </w:rPr>
              <w:t>2 570</w:t>
            </w:r>
          </w:p>
          <w:p w14:paraId="7694BA01" w14:textId="77777777" w:rsidR="004D6F7B" w:rsidRPr="00E55838" w:rsidRDefault="004D6F7B" w:rsidP="00481A29">
            <w:pPr>
              <w:tabs>
                <w:tab w:val="left" w:pos="2552"/>
              </w:tabs>
              <w:autoSpaceDE w:val="0"/>
              <w:autoSpaceDN w:val="0"/>
              <w:adjustRightInd w:val="0"/>
              <w:jc w:val="center"/>
              <w:rPr>
                <w:rFonts w:ascii="Times New Roman" w:hAnsi="Times New Roman" w:cs="Times New Roman"/>
                <w:sz w:val="28"/>
                <w:szCs w:val="28"/>
              </w:rPr>
            </w:pPr>
            <w:r w:rsidRPr="00E55838">
              <w:rPr>
                <w:rFonts w:ascii="Times New Roman" w:hAnsi="Times New Roman" w:cs="Times New Roman"/>
                <w:sz w:val="28"/>
                <w:szCs w:val="28"/>
              </w:rPr>
              <w:t>2 172</w:t>
            </w:r>
          </w:p>
        </w:tc>
      </w:tr>
      <w:tr w:rsidR="004D6F7B" w:rsidRPr="00E55838" w14:paraId="53D4C5D1" w14:textId="77777777" w:rsidTr="00481A29">
        <w:tc>
          <w:tcPr>
            <w:tcW w:w="3510" w:type="dxa"/>
            <w:shd w:val="clear" w:color="auto" w:fill="auto"/>
            <w:vAlign w:val="center"/>
          </w:tcPr>
          <w:p w14:paraId="0CF68ED8" w14:textId="77777777" w:rsidR="004D6F7B" w:rsidRPr="00E55838" w:rsidRDefault="004D6F7B" w:rsidP="00481A29">
            <w:pPr>
              <w:tabs>
                <w:tab w:val="left" w:pos="2552"/>
              </w:tabs>
              <w:autoSpaceDE w:val="0"/>
              <w:autoSpaceDN w:val="0"/>
              <w:adjustRightInd w:val="0"/>
              <w:rPr>
                <w:rFonts w:ascii="Times New Roman" w:hAnsi="Times New Roman" w:cs="Times New Roman"/>
                <w:sz w:val="28"/>
                <w:szCs w:val="28"/>
              </w:rPr>
            </w:pPr>
            <w:r w:rsidRPr="00E55838">
              <w:rPr>
                <w:rFonts w:ascii="Times New Roman" w:hAnsi="Times New Roman" w:cs="Times New Roman"/>
                <w:sz w:val="28"/>
                <w:szCs w:val="28"/>
              </w:rPr>
              <w:t>Всего осуществлено проверок:</w:t>
            </w:r>
          </w:p>
        </w:tc>
        <w:tc>
          <w:tcPr>
            <w:tcW w:w="6237" w:type="dxa"/>
            <w:shd w:val="clear" w:color="auto" w:fill="auto"/>
            <w:vAlign w:val="center"/>
          </w:tcPr>
          <w:p w14:paraId="69D2B774" w14:textId="77777777" w:rsidR="004D6F7B" w:rsidRPr="00E55838" w:rsidRDefault="004D6F7B" w:rsidP="00481A29">
            <w:pPr>
              <w:tabs>
                <w:tab w:val="left" w:pos="2552"/>
              </w:tabs>
              <w:autoSpaceDE w:val="0"/>
              <w:autoSpaceDN w:val="0"/>
              <w:adjustRightInd w:val="0"/>
              <w:jc w:val="center"/>
              <w:rPr>
                <w:rFonts w:ascii="Times New Roman" w:hAnsi="Times New Roman" w:cs="Times New Roman"/>
                <w:sz w:val="28"/>
                <w:szCs w:val="28"/>
              </w:rPr>
            </w:pPr>
            <w:r w:rsidRPr="00E55838">
              <w:rPr>
                <w:rFonts w:ascii="Times New Roman" w:hAnsi="Times New Roman" w:cs="Times New Roman"/>
                <w:sz w:val="28"/>
                <w:szCs w:val="28"/>
              </w:rPr>
              <w:t>7 090</w:t>
            </w:r>
          </w:p>
        </w:tc>
      </w:tr>
    </w:tbl>
    <w:p w14:paraId="24B5B340" w14:textId="77777777" w:rsidR="004D6F7B" w:rsidRPr="00E55838" w:rsidRDefault="004D6F7B" w:rsidP="004D6F7B">
      <w:pPr>
        <w:widowControl w:val="0"/>
        <w:shd w:val="clear" w:color="auto" w:fill="FFFFFF"/>
        <w:ind w:firstLine="709"/>
        <w:jc w:val="both"/>
        <w:rPr>
          <w:rFonts w:ascii="Times New Roman" w:hAnsi="Times New Roman" w:cs="Times New Roman"/>
          <w:sz w:val="28"/>
          <w:szCs w:val="28"/>
        </w:rPr>
      </w:pPr>
    </w:p>
    <w:p w14:paraId="69AA6D4C" w14:textId="77777777" w:rsidR="004D6F7B" w:rsidRPr="00E55838" w:rsidRDefault="004D6F7B" w:rsidP="005256BC">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 xml:space="preserve">При проведении плановых и внеплановых проверок в отношении закупок, осуществляемых в соответствии с требованиями Закона 44-ФЗ, в 2018 году проверено 26 770 процедур </w:t>
      </w:r>
      <w:r w:rsidRPr="00E55838">
        <w:rPr>
          <w:rFonts w:ascii="Times New Roman" w:hAnsi="Times New Roman" w:cs="Times New Roman"/>
          <w:color w:val="000000"/>
          <w:sz w:val="28"/>
          <w:szCs w:val="28"/>
        </w:rPr>
        <w:t>определения поставщика (подрядчика, исполнителя)</w:t>
      </w:r>
      <w:r w:rsidRPr="00E55838">
        <w:rPr>
          <w:rFonts w:ascii="Times New Roman" w:hAnsi="Times New Roman" w:cs="Times New Roman"/>
          <w:sz w:val="28"/>
          <w:szCs w:val="28"/>
        </w:rPr>
        <w:t>, из которых в 8 095 процедурах (30 %) выявлены нарушения. По результатам проверок выдано 2 563 предписания об устранении нарушений законодательства Российской Федерации о контрактной системе в сфере закупок.</w:t>
      </w:r>
    </w:p>
    <w:p w14:paraId="4A2FEEA6" w14:textId="77777777" w:rsidR="004D6F7B" w:rsidRPr="00E55838" w:rsidRDefault="004D6F7B" w:rsidP="005256BC">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Ниже приведена диаграмма, содержащая сведения о количестве осуществленных проверок в 2018 году по сравнению с аналогичным периодом                         2017 года. Из представленных сведений следует, что количество осуществленных ФАС России внеплановых проверок в 2018 году уменьшилось по отношению</w:t>
      </w:r>
      <w:r>
        <w:rPr>
          <w:rFonts w:ascii="Times New Roman" w:hAnsi="Times New Roman" w:cs="Times New Roman"/>
          <w:sz w:val="28"/>
          <w:szCs w:val="28"/>
        </w:rPr>
        <w:t xml:space="preserve"> </w:t>
      </w:r>
      <w:r w:rsidRPr="00E55838">
        <w:rPr>
          <w:rFonts w:ascii="Times New Roman" w:hAnsi="Times New Roman" w:cs="Times New Roman"/>
          <w:sz w:val="28"/>
          <w:szCs w:val="28"/>
        </w:rPr>
        <w:t>к 2017 году.</w:t>
      </w:r>
    </w:p>
    <w:p w14:paraId="2BE341AE" w14:textId="77777777" w:rsidR="004D6F7B" w:rsidRPr="00E55838" w:rsidRDefault="004D6F7B" w:rsidP="004D6F7B">
      <w:pPr>
        <w:widowControl w:val="0"/>
        <w:shd w:val="clear" w:color="auto" w:fill="FFFFFF"/>
        <w:spacing w:before="120" w:after="120" w:line="360" w:lineRule="exact"/>
        <w:jc w:val="center"/>
        <w:rPr>
          <w:rFonts w:ascii="Times New Roman" w:hAnsi="Times New Roman" w:cs="Times New Roman"/>
          <w:b/>
          <w:sz w:val="28"/>
          <w:szCs w:val="28"/>
        </w:rPr>
      </w:pPr>
      <w:r w:rsidRPr="00E55838">
        <w:rPr>
          <w:rFonts w:ascii="Times New Roman" w:hAnsi="Times New Roman" w:cs="Times New Roman"/>
          <w:b/>
          <w:sz w:val="28"/>
          <w:szCs w:val="28"/>
        </w:rPr>
        <w:t xml:space="preserve">Динамика осуществления проверок в 2018 году </w:t>
      </w:r>
    </w:p>
    <w:p w14:paraId="485B6EDA" w14:textId="77777777" w:rsidR="004D6F7B" w:rsidRPr="00E55838" w:rsidRDefault="004D6F7B" w:rsidP="004D6F7B">
      <w:pPr>
        <w:widowControl w:val="0"/>
        <w:shd w:val="clear" w:color="auto" w:fill="FFFFFF"/>
        <w:spacing w:line="360" w:lineRule="exact"/>
        <w:jc w:val="center"/>
        <w:rPr>
          <w:rFonts w:ascii="Times New Roman" w:hAnsi="Times New Roman" w:cs="Times New Roman"/>
          <w:b/>
          <w:sz w:val="28"/>
          <w:szCs w:val="28"/>
        </w:rPr>
      </w:pPr>
      <w:r w:rsidRPr="00E55838">
        <w:rPr>
          <w:rFonts w:ascii="Times New Roman" w:hAnsi="Times New Roman" w:cs="Times New Roman"/>
          <w:b/>
          <w:sz w:val="28"/>
          <w:szCs w:val="28"/>
        </w:rPr>
        <w:t>по сравнению с 2017 годом</w:t>
      </w:r>
    </w:p>
    <w:p w14:paraId="76B87556" w14:textId="77777777" w:rsidR="004D6F7B" w:rsidRPr="00E55838" w:rsidRDefault="004D6F7B" w:rsidP="004D6F7B">
      <w:pPr>
        <w:widowControl w:val="0"/>
        <w:shd w:val="clear" w:color="auto" w:fill="FFFFFF"/>
        <w:ind w:firstLine="708"/>
        <w:contextualSpacing/>
        <w:jc w:val="both"/>
        <w:rPr>
          <w:rFonts w:ascii="Times New Roman" w:hAnsi="Times New Roman" w:cs="Times New Roman"/>
          <w:sz w:val="28"/>
          <w:szCs w:val="28"/>
        </w:rPr>
      </w:pPr>
    </w:p>
    <w:p w14:paraId="1D7A63C6" w14:textId="77777777" w:rsidR="004D6F7B" w:rsidRPr="00E55838" w:rsidRDefault="004D6F7B" w:rsidP="004D6F7B">
      <w:pPr>
        <w:widowControl w:val="0"/>
        <w:shd w:val="clear" w:color="auto" w:fill="FFFFFF"/>
        <w:spacing w:line="360" w:lineRule="auto"/>
        <w:contextualSpacing/>
        <w:jc w:val="center"/>
        <w:rPr>
          <w:rFonts w:ascii="Times New Roman" w:hAnsi="Times New Roman" w:cs="Times New Roman"/>
          <w:sz w:val="28"/>
          <w:szCs w:val="28"/>
          <w:lang w:val="en-US"/>
        </w:rPr>
      </w:pPr>
      <w:r w:rsidRPr="00E55838">
        <w:rPr>
          <w:rFonts w:ascii="Times New Roman" w:hAnsi="Times New Roman" w:cs="Times New Roman"/>
          <w:noProof/>
          <w:sz w:val="28"/>
          <w:szCs w:val="28"/>
          <w:lang w:eastAsia="ru-RU"/>
        </w:rPr>
        <w:drawing>
          <wp:inline distT="0" distB="0" distL="0" distR="0" wp14:anchorId="3447199B" wp14:editId="26AE306B">
            <wp:extent cx="5829300" cy="2664460"/>
            <wp:effectExtent l="0" t="0" r="0" b="25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525C65" w14:textId="77777777" w:rsidR="004D6F7B" w:rsidRPr="004D6F7B" w:rsidRDefault="004D6F7B" w:rsidP="00BE213D">
      <w:pPr>
        <w:numPr>
          <w:ilvl w:val="0"/>
          <w:numId w:val="12"/>
        </w:numPr>
        <w:tabs>
          <w:tab w:val="left" w:pos="993"/>
          <w:tab w:val="left" w:pos="1418"/>
          <w:tab w:val="left" w:pos="1985"/>
        </w:tabs>
        <w:autoSpaceDE w:val="0"/>
        <w:autoSpaceDN w:val="0"/>
        <w:adjustRightInd w:val="0"/>
        <w:spacing w:after="0" w:line="360" w:lineRule="exact"/>
        <w:ind w:left="0" w:firstLine="709"/>
        <w:contextualSpacing/>
        <w:jc w:val="both"/>
        <w:rPr>
          <w:rFonts w:ascii="Times New Roman" w:hAnsi="Times New Roman" w:cs="Times New Roman"/>
          <w:b/>
          <w:color w:val="000000"/>
          <w:spacing w:val="-6"/>
          <w:sz w:val="28"/>
          <w:szCs w:val="28"/>
        </w:rPr>
      </w:pPr>
      <w:r w:rsidRPr="004D6F7B">
        <w:rPr>
          <w:rFonts w:ascii="Times New Roman" w:hAnsi="Times New Roman" w:cs="Times New Roman"/>
          <w:b/>
          <w:color w:val="000000"/>
          <w:spacing w:val="-6"/>
          <w:sz w:val="28"/>
          <w:szCs w:val="28"/>
        </w:rPr>
        <w:t>Рассмотрение жалоб участников закупок.</w:t>
      </w:r>
    </w:p>
    <w:p w14:paraId="21AF9B1C" w14:textId="77777777" w:rsidR="004D6F7B" w:rsidRPr="004D6F7B" w:rsidRDefault="004D6F7B" w:rsidP="004D6F7B">
      <w:pPr>
        <w:widowControl w:val="0"/>
        <w:shd w:val="clear" w:color="auto" w:fill="FFFFFF"/>
        <w:tabs>
          <w:tab w:val="left" w:pos="993"/>
          <w:tab w:val="left" w:pos="1418"/>
          <w:tab w:val="left" w:pos="1985"/>
        </w:tabs>
        <w:spacing w:line="360" w:lineRule="exact"/>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целях защиты прав и законных интересов участников закупок                            ФАС России осуществляет рассмотрение жалоб участников закупок, поданных в соответствии с главой 6 Закона 44-ФЗ.</w:t>
      </w:r>
    </w:p>
    <w:p w14:paraId="68DE43EE" w14:textId="77777777" w:rsidR="004D6F7B" w:rsidRPr="004D6F7B" w:rsidRDefault="004D6F7B" w:rsidP="004D6F7B">
      <w:pPr>
        <w:widowControl w:val="0"/>
        <w:shd w:val="clear" w:color="auto" w:fill="FFFFFF"/>
        <w:spacing w:line="360" w:lineRule="exact"/>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В 2018 году в ФАС России поступило 83 385 жалоб на действия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при осуществлении закупок в соответствии с требованиями Закона 44-ФЗ. Из поступивших жалоб, 16 301 подана в </w:t>
      </w:r>
      <w:r w:rsidRPr="004D6F7B">
        <w:rPr>
          <w:rFonts w:ascii="Times New Roman" w:hAnsi="Times New Roman" w:cs="Times New Roman"/>
          <w:spacing w:val="-6"/>
          <w:sz w:val="28"/>
          <w:szCs w:val="28"/>
        </w:rPr>
        <w:t xml:space="preserve">отношении закупок, осуществляемых для обеспечения федеральных нужд, 38 454 – </w:t>
      </w:r>
      <w:r w:rsidRPr="004D6F7B">
        <w:rPr>
          <w:rFonts w:ascii="Times New Roman" w:hAnsi="Times New Roman" w:cs="Times New Roman"/>
          <w:sz w:val="28"/>
          <w:szCs w:val="28"/>
        </w:rPr>
        <w:t>для нужд субъектов Российской Федерации, 28 630 – для муниципальных нужд.</w:t>
      </w:r>
    </w:p>
    <w:p w14:paraId="31E0FB98" w14:textId="77777777" w:rsidR="004D6F7B" w:rsidRDefault="004D6F7B" w:rsidP="004D6F7B">
      <w:pPr>
        <w:widowControl w:val="0"/>
        <w:shd w:val="clear" w:color="auto" w:fill="FFFFFF"/>
        <w:spacing w:line="360" w:lineRule="exact"/>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В 2018 году на основании части 11 статьи 105 Закона 44-ФЗ 13 687 жалоб возвращено заявителям. Кроме того, на основании части 15 статьи 105 Закона 44-ФЗ 5 684 жалобы отозваны заявителями. </w:t>
      </w:r>
    </w:p>
    <w:p w14:paraId="1F20D2E8" w14:textId="77777777" w:rsidR="007314EB" w:rsidRDefault="007314EB" w:rsidP="004D6F7B">
      <w:pPr>
        <w:widowControl w:val="0"/>
        <w:shd w:val="clear" w:color="auto" w:fill="FFFFFF"/>
        <w:spacing w:line="360" w:lineRule="exact"/>
        <w:ind w:firstLine="709"/>
        <w:contextualSpacing/>
        <w:jc w:val="both"/>
        <w:rPr>
          <w:rFonts w:ascii="Times New Roman" w:hAnsi="Times New Roman" w:cs="Times New Roman"/>
          <w:sz w:val="28"/>
          <w:szCs w:val="28"/>
        </w:rPr>
      </w:pPr>
    </w:p>
    <w:p w14:paraId="2FF30F95" w14:textId="77777777" w:rsidR="007314EB" w:rsidRDefault="007314EB" w:rsidP="008A2BB3">
      <w:pPr>
        <w:widowControl w:val="0"/>
        <w:shd w:val="clear" w:color="auto" w:fill="FFFFFF"/>
        <w:spacing w:line="360" w:lineRule="exact"/>
        <w:contextualSpacing/>
        <w:jc w:val="both"/>
        <w:rPr>
          <w:rFonts w:ascii="Times New Roman" w:hAnsi="Times New Roman" w:cs="Times New Roman"/>
          <w:sz w:val="28"/>
          <w:szCs w:val="28"/>
        </w:rPr>
      </w:pPr>
    </w:p>
    <w:p w14:paraId="1AA98AB8" w14:textId="77777777" w:rsidR="007314EB" w:rsidRPr="004D6F7B" w:rsidRDefault="007314EB" w:rsidP="004D6F7B">
      <w:pPr>
        <w:widowControl w:val="0"/>
        <w:shd w:val="clear" w:color="auto" w:fill="FFFFFF"/>
        <w:spacing w:line="360" w:lineRule="exact"/>
        <w:ind w:firstLine="709"/>
        <w:contextualSpacing/>
        <w:jc w:val="both"/>
        <w:rPr>
          <w:rFonts w:ascii="Times New Roman" w:hAnsi="Times New Roman" w:cs="Times New Roman"/>
          <w:sz w:val="28"/>
          <w:szCs w:val="28"/>
        </w:rPr>
      </w:pPr>
    </w:p>
    <w:p w14:paraId="753B622C" w14:textId="77777777" w:rsidR="004D6F7B" w:rsidRPr="004D6F7B" w:rsidRDefault="004D6F7B" w:rsidP="004D6F7B">
      <w:pPr>
        <w:widowControl w:val="0"/>
        <w:spacing w:before="120" w:after="120" w:line="360" w:lineRule="exact"/>
        <w:ind w:firstLine="709"/>
        <w:jc w:val="center"/>
        <w:rPr>
          <w:rFonts w:ascii="Times New Roman" w:hAnsi="Times New Roman" w:cs="Times New Roman"/>
          <w:b/>
          <w:sz w:val="28"/>
          <w:szCs w:val="28"/>
        </w:rPr>
      </w:pPr>
      <w:r w:rsidRPr="004D6F7B">
        <w:rPr>
          <w:rFonts w:ascii="Times New Roman" w:hAnsi="Times New Roman" w:cs="Times New Roman"/>
          <w:b/>
          <w:sz w:val="28"/>
          <w:szCs w:val="28"/>
        </w:rPr>
        <w:t>Динамика поступления и результатов рассмотрения жалоб органами ФАС России в 2018 году и 2017 году</w:t>
      </w:r>
    </w:p>
    <w:p w14:paraId="02322E12" w14:textId="77777777" w:rsidR="004D6F7B" w:rsidRPr="004D6F7B" w:rsidRDefault="004D6F7B" w:rsidP="004D6F7B">
      <w:pPr>
        <w:widowControl w:val="0"/>
        <w:ind w:firstLine="720"/>
        <w:contextualSpacing/>
        <w:jc w:val="center"/>
        <w:rPr>
          <w:rFonts w:ascii="Times New Roman" w:hAnsi="Times New Roman" w:cs="Times New Roman"/>
          <w:b/>
          <w:sz w:val="28"/>
          <w:szCs w:val="28"/>
        </w:rPr>
      </w:pPr>
    </w:p>
    <w:p w14:paraId="5A1E1439" w14:textId="77777777" w:rsidR="004D6F7B" w:rsidRPr="004D6F7B" w:rsidRDefault="004D6F7B" w:rsidP="004D6F7B">
      <w:pPr>
        <w:widowControl w:val="0"/>
        <w:contextualSpacing/>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03843BF0" wp14:editId="02FC091C">
            <wp:simplePos x="0" y="0"/>
            <wp:positionH relativeFrom="margin">
              <wp:align>right</wp:align>
            </wp:positionH>
            <wp:positionV relativeFrom="paragraph">
              <wp:posOffset>3810</wp:posOffset>
            </wp:positionV>
            <wp:extent cx="5924550" cy="3086100"/>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anchor>
        </w:drawing>
      </w:r>
    </w:p>
    <w:p w14:paraId="4EFAA494" w14:textId="77777777" w:rsidR="004D6F7B" w:rsidRPr="004D6F7B" w:rsidRDefault="004D6F7B" w:rsidP="004D6F7B">
      <w:pPr>
        <w:widowControl w:val="0"/>
        <w:spacing w:line="380" w:lineRule="exact"/>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Приведенные в диаграмме данные указывают на уменьшение количества поступивших жалоб (83 385) по сравнению с 2017 годом (89 333) на 6,7 %. </w:t>
      </w:r>
    </w:p>
    <w:p w14:paraId="00889265" w14:textId="77777777" w:rsidR="004D6F7B" w:rsidRPr="004D6F7B" w:rsidRDefault="004D6F7B" w:rsidP="004D6F7B">
      <w:pPr>
        <w:widowControl w:val="0"/>
        <w:spacing w:line="380" w:lineRule="exact"/>
        <w:ind w:firstLine="709"/>
        <w:jc w:val="both"/>
        <w:rPr>
          <w:rFonts w:ascii="Times New Roman" w:hAnsi="Times New Roman" w:cs="Times New Roman"/>
          <w:sz w:val="28"/>
          <w:szCs w:val="28"/>
        </w:rPr>
      </w:pPr>
      <w:r w:rsidRPr="004D6F7B">
        <w:rPr>
          <w:rFonts w:ascii="Times New Roman" w:hAnsi="Times New Roman" w:cs="Times New Roman"/>
          <w:sz w:val="28"/>
          <w:szCs w:val="28"/>
        </w:rPr>
        <w:t>В результате рассмотрения, обоснованными (в том числе частично) признаны 28 015 жалоб (44 % от рассмотренных жалоб), выдано 21 828 предписаний об устранении выявленных нарушений законодательства Российской Федерации о контрактной системе в сфере закупок.</w:t>
      </w:r>
    </w:p>
    <w:p w14:paraId="1264CAE4" w14:textId="77777777" w:rsidR="004D6F7B" w:rsidRPr="004D6F7B" w:rsidRDefault="004D6F7B" w:rsidP="004D6F7B">
      <w:pPr>
        <w:widowControl w:val="0"/>
        <w:spacing w:line="360" w:lineRule="exact"/>
        <w:ind w:firstLine="709"/>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3. Рассмотрение обращений о согласовании возможности заключения контракта с единственным поставщиком (исполнителем, подрядчиком), а также уведомлений об осуществлении закупки у единственного поставщика (исполнителя, подрядчика).</w:t>
      </w:r>
    </w:p>
    <w:p w14:paraId="3FC84806" w14:textId="77777777" w:rsidR="004D6F7B" w:rsidRPr="004D6F7B" w:rsidRDefault="004D6F7B" w:rsidP="005256BC">
      <w:pPr>
        <w:widowControl w:val="0"/>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Согласование возможности заключения контракта с единственным поставщиком (подрядчиком, исполнителем) осуществляется ФАС России в соответствии с приказом Минэкономразвития России от 13 сентября 2013 № 537 «Об утверждении Порядка согласования применения закрытых способов определения поставщиков (подрядчиков, исполнителей), возможности заключения (заключения) контракта с единственным поставщиком (подрядчиком, исполнителем)».</w:t>
      </w:r>
    </w:p>
    <w:p w14:paraId="017FE031" w14:textId="77777777" w:rsidR="004D6F7B" w:rsidRPr="004D6F7B" w:rsidRDefault="004D6F7B" w:rsidP="005256BC">
      <w:pPr>
        <w:shd w:val="clear" w:color="auto" w:fill="FFFFFF"/>
        <w:tabs>
          <w:tab w:val="left" w:pos="2552"/>
        </w:tabs>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2018 году ФАС России рассмотрено 2 561 обращение о согласовании возможности заключения контракта с единственным поставщиком (исполнителем, подрядчиком) в отношении закупок, проводимых в соответствии с Законом 44-ФЗ. В 2 371 (93 %) случаях ФАС России согласовала возможность заключения контракта с единственным поставщиком (исполнителем, подрядчиком).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21C8770B" w14:textId="77777777" w:rsidR="004D6F7B" w:rsidRPr="004D6F7B" w:rsidRDefault="004D6F7B" w:rsidP="005256BC">
      <w:pPr>
        <w:shd w:val="clear" w:color="auto" w:fill="FFFFFF"/>
        <w:tabs>
          <w:tab w:val="left" w:pos="2552"/>
        </w:tabs>
        <w:spacing w:after="0" w:line="360" w:lineRule="exact"/>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Также в 2018 году ФАС России рассмотрено 22 232 уведомления об осуществлении закупки у единственного поставщика (подрядчика, исполнителя). При этом в 861 (4 %) случаях выявлено, что процедуры определения поставщика (подрядчика, исполнителя) проведены с нарушением Закона 44-ФЗ.</w:t>
      </w:r>
    </w:p>
    <w:p w14:paraId="228BA02A" w14:textId="77777777" w:rsidR="004D6F7B" w:rsidRPr="004D6F7B" w:rsidRDefault="004D6F7B" w:rsidP="005256BC">
      <w:pPr>
        <w:widowControl w:val="0"/>
        <w:spacing w:after="0" w:line="360" w:lineRule="exact"/>
        <w:ind w:firstLine="851"/>
        <w:jc w:val="both"/>
        <w:rPr>
          <w:rFonts w:ascii="Times New Roman" w:hAnsi="Times New Roman" w:cs="Times New Roman"/>
          <w:sz w:val="28"/>
          <w:szCs w:val="28"/>
        </w:rPr>
      </w:pPr>
      <w:r w:rsidRPr="004D6F7B">
        <w:rPr>
          <w:rFonts w:ascii="Times New Roman" w:hAnsi="Times New Roman" w:cs="Times New Roman"/>
          <w:sz w:val="28"/>
          <w:szCs w:val="28"/>
        </w:rPr>
        <w:t>В 2017 году ФАС России рассмотрено 2 763 обращения о согласовании возможности заключения контракта с единственным поставщиком (исполнителем, подрядчиком). Из них ФАС России согласовала возможность заключения контракта с единственным поставщиком (исполнителем, подрядчиком) в</w:t>
      </w:r>
      <w:r w:rsidRPr="004D6F7B">
        <w:rPr>
          <w:rFonts w:ascii="Times New Roman" w:hAnsi="Times New Roman" w:cs="Times New Roman"/>
          <w:color w:val="FF0000"/>
          <w:sz w:val="28"/>
          <w:szCs w:val="28"/>
        </w:rPr>
        <w:t xml:space="preserve"> </w:t>
      </w:r>
      <w:r w:rsidRPr="004D6F7B">
        <w:rPr>
          <w:rFonts w:ascii="Times New Roman" w:hAnsi="Times New Roman" w:cs="Times New Roman"/>
          <w:sz w:val="28"/>
          <w:szCs w:val="28"/>
        </w:rPr>
        <w:t>2 524 (91%) случаях.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618C2EF4" w14:textId="77777777" w:rsidR="004D6F7B" w:rsidRPr="004D6F7B" w:rsidRDefault="004D6F7B" w:rsidP="005256BC">
      <w:pPr>
        <w:widowControl w:val="0"/>
        <w:spacing w:after="0" w:line="380" w:lineRule="exact"/>
        <w:ind w:firstLine="851"/>
        <w:jc w:val="both"/>
        <w:rPr>
          <w:rFonts w:ascii="Times New Roman" w:hAnsi="Times New Roman" w:cs="Times New Roman"/>
          <w:sz w:val="28"/>
          <w:szCs w:val="28"/>
        </w:rPr>
      </w:pPr>
      <w:r w:rsidRPr="004D6F7B">
        <w:rPr>
          <w:rFonts w:ascii="Times New Roman" w:hAnsi="Times New Roman" w:cs="Times New Roman"/>
          <w:sz w:val="28"/>
          <w:szCs w:val="28"/>
        </w:rPr>
        <w:t>Кроме того, в 2017 году ФАС России рассмотрено 24 434 уведомления об осуществлении закупки у единственного поставщика (подрядчика, исполнителя). При этом в 1 632 (7 %) случаях выявлено, что процедуры определения поставщика (подрядчика, исполнителя) проведены с нарушением Закона 44-ФЗ.</w:t>
      </w:r>
    </w:p>
    <w:p w14:paraId="59F237F8" w14:textId="77777777" w:rsidR="004D6F7B" w:rsidRPr="004D6F7B" w:rsidRDefault="004D6F7B" w:rsidP="004D6F7B">
      <w:pPr>
        <w:pStyle w:val="22"/>
        <w:spacing w:before="120" w:after="0" w:line="380" w:lineRule="exact"/>
        <w:jc w:val="center"/>
        <w:rPr>
          <w:rFonts w:ascii="Times New Roman" w:hAnsi="Times New Roman" w:cs="Times New Roman"/>
          <w:b/>
          <w:sz w:val="28"/>
          <w:szCs w:val="28"/>
        </w:rPr>
      </w:pPr>
      <w:r w:rsidRPr="004D6F7B">
        <w:rPr>
          <w:rFonts w:ascii="Times New Roman" w:hAnsi="Times New Roman" w:cs="Times New Roman"/>
          <w:b/>
          <w:sz w:val="28"/>
          <w:szCs w:val="28"/>
        </w:rPr>
        <w:t xml:space="preserve">Динамика рассмотрения обращений органами ФАС России                                      о согласовании возможности заключения контракта                                                    с единственным поставщиком (подрядчиком, исполнителем) </w:t>
      </w:r>
    </w:p>
    <w:p w14:paraId="3C5A07DA" w14:textId="77777777" w:rsidR="004D6F7B" w:rsidRPr="004D6F7B" w:rsidRDefault="004D6F7B" w:rsidP="004D6F7B">
      <w:pPr>
        <w:pStyle w:val="22"/>
        <w:spacing w:line="360" w:lineRule="exact"/>
        <w:jc w:val="center"/>
        <w:rPr>
          <w:rFonts w:ascii="Times New Roman" w:hAnsi="Times New Roman" w:cs="Times New Roman"/>
          <w:b/>
          <w:sz w:val="28"/>
          <w:szCs w:val="28"/>
        </w:rPr>
      </w:pPr>
      <w:r w:rsidRPr="004D6F7B">
        <w:rPr>
          <w:rFonts w:ascii="Times New Roman" w:hAnsi="Times New Roman" w:cs="Times New Roman"/>
          <w:b/>
          <w:sz w:val="28"/>
          <w:szCs w:val="28"/>
        </w:rPr>
        <w:t>в 2018 году и 2017 году</w:t>
      </w:r>
    </w:p>
    <w:p w14:paraId="64EBF91B" w14:textId="77777777" w:rsidR="004D6F7B" w:rsidRPr="004D6F7B" w:rsidRDefault="004D6F7B" w:rsidP="004D6F7B">
      <w:pPr>
        <w:shd w:val="clear" w:color="auto" w:fill="FFFFFF"/>
        <w:tabs>
          <w:tab w:val="left" w:pos="1080"/>
        </w:tabs>
        <w:contextualSpacing/>
        <w:jc w:val="both"/>
        <w:rPr>
          <w:rFonts w:ascii="Times New Roman" w:hAnsi="Times New Roman" w:cs="Times New Roman"/>
          <w:noProof/>
          <w:sz w:val="28"/>
          <w:szCs w:val="28"/>
        </w:rPr>
      </w:pPr>
      <w:r w:rsidRPr="004D6F7B">
        <w:rPr>
          <w:rFonts w:ascii="Times New Roman" w:hAnsi="Times New Roman" w:cs="Times New Roman"/>
          <w:noProof/>
          <w:sz w:val="28"/>
          <w:szCs w:val="28"/>
          <w:lang w:eastAsia="ru-RU"/>
        </w:rPr>
        <w:drawing>
          <wp:inline distT="0" distB="0" distL="0" distR="0" wp14:anchorId="19F61D03" wp14:editId="11C3CB85">
            <wp:extent cx="5867400" cy="322897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BC06284" w14:textId="77777777" w:rsidR="004D6F7B" w:rsidRPr="004D6F7B" w:rsidRDefault="004D6F7B" w:rsidP="004D6F7B">
      <w:pPr>
        <w:pStyle w:val="22"/>
        <w:spacing w:after="0" w:line="380" w:lineRule="exact"/>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в ФАС России о согласовании возможности заключения контракта с единственным поставщиком (исполнителем, подрядчиком) в 2018 году по сравнению с результатами 2017 года существенно уменьшилось.</w:t>
      </w:r>
    </w:p>
    <w:p w14:paraId="2E903666" w14:textId="77777777" w:rsidR="004D6F7B" w:rsidRPr="004D6F7B" w:rsidRDefault="004D6F7B" w:rsidP="004D6F7B">
      <w:pPr>
        <w:shd w:val="clear" w:color="auto" w:fill="FFFFFF"/>
        <w:tabs>
          <w:tab w:val="left" w:pos="1080"/>
        </w:tabs>
        <w:spacing w:line="380" w:lineRule="exact"/>
        <w:ind w:left="851"/>
        <w:contextualSpacing/>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4. Административная практика</w:t>
      </w:r>
    </w:p>
    <w:p w14:paraId="6D83B5BA" w14:textId="77777777" w:rsidR="004D6F7B" w:rsidRPr="004D6F7B" w:rsidRDefault="004D6F7B" w:rsidP="004D6F7B">
      <w:pPr>
        <w:pStyle w:val="22"/>
        <w:spacing w:after="0" w:line="360" w:lineRule="exact"/>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Всего в 2018 году ФАС России возбуждено 30 377 дел об административных правонарушениях за нарушения законодательства Российской Федерации о контрактной системе в сфере закупок. По итогам рассмотрения выдано 25 357 постановлений о наложении админист</w:t>
      </w:r>
      <w:r w:rsidR="001F1979">
        <w:rPr>
          <w:rFonts w:ascii="Times New Roman" w:hAnsi="Times New Roman" w:cs="Times New Roman"/>
          <w:sz w:val="28"/>
          <w:szCs w:val="28"/>
        </w:rPr>
        <w:t>ративных штрафов на общую сумму</w:t>
      </w:r>
      <w:r w:rsidRPr="004D6F7B">
        <w:rPr>
          <w:rFonts w:ascii="Times New Roman" w:hAnsi="Times New Roman" w:cs="Times New Roman"/>
          <w:sz w:val="28"/>
          <w:szCs w:val="28"/>
        </w:rPr>
        <w:t xml:space="preserve"> 387 728,50 тыс. руб. За отчетный период</w:t>
      </w:r>
      <w:r w:rsidR="001F1979">
        <w:rPr>
          <w:rFonts w:ascii="Times New Roman" w:hAnsi="Times New Roman" w:cs="Times New Roman"/>
          <w:sz w:val="28"/>
          <w:szCs w:val="28"/>
        </w:rPr>
        <w:t xml:space="preserve"> ФАС России взыскано 258 482,05 </w:t>
      </w:r>
      <w:r w:rsidRPr="004D6F7B">
        <w:rPr>
          <w:rFonts w:ascii="Times New Roman" w:hAnsi="Times New Roman" w:cs="Times New Roman"/>
          <w:sz w:val="28"/>
          <w:szCs w:val="28"/>
        </w:rPr>
        <w:t>тыс. рублей.</w:t>
      </w:r>
    </w:p>
    <w:p w14:paraId="70DF9621" w14:textId="77777777" w:rsidR="004D6F7B" w:rsidRPr="004D6F7B" w:rsidRDefault="004D6F7B" w:rsidP="004D6F7B">
      <w:pPr>
        <w:pStyle w:val="22"/>
        <w:spacing w:after="0" w:line="360" w:lineRule="exact"/>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За аналогичный период в 2017 года ФАС России возбуждено 23 830 дел об административных правонарушениях и вынесено 20 125 постановлений                                о наложении административных штрафов на общую сумму 295 821,16 тыс. рублей.   За отчетный период ФАС России взыскано 209 886,43 тыс. рублей.</w:t>
      </w:r>
    </w:p>
    <w:p w14:paraId="4C8F700A" w14:textId="77777777" w:rsidR="004D6F7B" w:rsidRPr="004D6F7B" w:rsidRDefault="004D6F7B" w:rsidP="004D6F7B">
      <w:pPr>
        <w:pStyle w:val="22"/>
        <w:spacing w:before="120"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Динамика возбуждения в 2018 году дел об административных правонарушениях и вынесения постановлений о наложении административных штрафов по сравнению с аналогичными</w:t>
      </w:r>
    </w:p>
    <w:p w14:paraId="35CA19CF" w14:textId="77777777" w:rsidR="004D6F7B" w:rsidRPr="004D6F7B" w:rsidRDefault="004D6F7B" w:rsidP="004D6F7B">
      <w:pPr>
        <w:pStyle w:val="22"/>
        <w:spacing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показателями 2017 года</w:t>
      </w:r>
    </w:p>
    <w:p w14:paraId="254CDC70" w14:textId="77777777" w:rsidR="004D6F7B" w:rsidRPr="004D6F7B" w:rsidRDefault="004D6F7B" w:rsidP="004D6F7B">
      <w:pPr>
        <w:pStyle w:val="22"/>
        <w:spacing w:line="240" w:lineRule="auto"/>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inline distT="0" distB="0" distL="0" distR="0" wp14:anchorId="1F63661D" wp14:editId="4351343C">
            <wp:extent cx="5953125" cy="2870200"/>
            <wp:effectExtent l="0" t="0" r="9525"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0B17E0C" w14:textId="77777777" w:rsidR="004D6F7B" w:rsidRPr="004D6F7B" w:rsidRDefault="004D6F7B" w:rsidP="004D6F7B">
      <w:pPr>
        <w:pStyle w:val="22"/>
        <w:spacing w:after="0" w:line="240" w:lineRule="auto"/>
        <w:ind w:firstLine="851"/>
        <w:contextualSpacing/>
        <w:jc w:val="center"/>
        <w:rPr>
          <w:rFonts w:ascii="Times New Roman" w:hAnsi="Times New Roman" w:cs="Times New Roman"/>
          <w:sz w:val="28"/>
          <w:szCs w:val="28"/>
        </w:rPr>
      </w:pPr>
    </w:p>
    <w:p w14:paraId="043D3F2C" w14:textId="77777777" w:rsidR="004D6F7B" w:rsidRPr="004D6F7B" w:rsidRDefault="004D6F7B" w:rsidP="004D6F7B">
      <w:pPr>
        <w:pStyle w:val="22"/>
        <w:spacing w:after="0" w:line="360" w:lineRule="exact"/>
        <w:ind w:firstLine="851"/>
        <w:jc w:val="both"/>
        <w:rPr>
          <w:rFonts w:ascii="Times New Roman" w:hAnsi="Times New Roman" w:cs="Times New Roman"/>
          <w:sz w:val="28"/>
          <w:szCs w:val="28"/>
        </w:rPr>
      </w:pPr>
      <w:r w:rsidRPr="004D6F7B">
        <w:rPr>
          <w:rFonts w:ascii="Times New Roman" w:hAnsi="Times New Roman" w:cs="Times New Roman"/>
          <w:sz w:val="28"/>
          <w:szCs w:val="28"/>
        </w:rPr>
        <w:t>В рамках нарушения законодательства Российской Федерации о контрактной системе в сфере закупок за 2018 год наибольшее количество дел                      (10 457) возбуждено по части 4.2 статьи 7.30 Кодекса Российской Федерации об административных правонарушениях в связи с утверждением заказчиками документаций о закупках, не соответствующих требованиям законодательства Российской Федерации о контрактной системе в сфере закупок, из которых в 9 532 случаях выданы постановления о наложении штрафа. В 7 057 случаях возбуждены дела по части 2 статьи 7.30 КоАП РФ, то есть за нарушение порядка отбора участников закупок, из которых в 5 695 случаях выданы постановления о наложении штрафа.</w:t>
      </w:r>
    </w:p>
    <w:p w14:paraId="3CAD1FED" w14:textId="77777777" w:rsidR="004D6F7B" w:rsidRPr="004D6F7B" w:rsidRDefault="004D6F7B" w:rsidP="004D6F7B">
      <w:pPr>
        <w:pStyle w:val="22"/>
        <w:spacing w:after="0" w:line="360" w:lineRule="exact"/>
        <w:ind w:firstLine="851"/>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5. Ведение реестра недобросовестных поставщиков</w:t>
      </w:r>
    </w:p>
    <w:p w14:paraId="58AE8FA1" w14:textId="77777777" w:rsidR="004D6F7B" w:rsidRPr="004D6F7B" w:rsidRDefault="004D6F7B" w:rsidP="004D6F7B">
      <w:pPr>
        <w:pStyle w:val="22"/>
        <w:spacing w:after="0" w:line="360" w:lineRule="exact"/>
        <w:ind w:firstLine="851"/>
        <w:jc w:val="both"/>
        <w:rPr>
          <w:rFonts w:ascii="Times New Roman" w:hAnsi="Times New Roman" w:cs="Times New Roman"/>
          <w:sz w:val="28"/>
          <w:szCs w:val="28"/>
        </w:rPr>
      </w:pPr>
      <w:r w:rsidRPr="004D6F7B">
        <w:rPr>
          <w:rFonts w:ascii="Times New Roman" w:hAnsi="Times New Roman" w:cs="Times New Roman"/>
          <w:sz w:val="28"/>
          <w:szCs w:val="28"/>
        </w:rPr>
        <w:t>ФАС России осуществляется ведение реестра недобросовестных поставщиков в соответствии с постановлением Правительства Российской Федерации от 25.11.2013 № 1062 «О порядке ведения реестра недобросовестных поставщиков (подрядчиков, исполнителей)».</w:t>
      </w:r>
    </w:p>
    <w:p w14:paraId="3BC8E6BC" w14:textId="77777777" w:rsidR="004D6F7B" w:rsidRPr="004D6F7B" w:rsidRDefault="004D6F7B" w:rsidP="004D6F7B">
      <w:pPr>
        <w:pStyle w:val="22"/>
        <w:spacing w:after="0" w:line="360" w:lineRule="exact"/>
        <w:ind w:firstLine="709"/>
        <w:jc w:val="both"/>
        <w:rPr>
          <w:rFonts w:ascii="Times New Roman" w:hAnsi="Times New Roman" w:cs="Times New Roman"/>
          <w:sz w:val="28"/>
          <w:szCs w:val="28"/>
        </w:rPr>
      </w:pPr>
      <w:r w:rsidRPr="004D6F7B">
        <w:rPr>
          <w:rFonts w:ascii="Times New Roman" w:hAnsi="Times New Roman" w:cs="Times New Roman"/>
          <w:sz w:val="28"/>
          <w:szCs w:val="28"/>
        </w:rPr>
        <w:t>В целом в 2018 году ФАС России, в части осуществления контроля за соблюдением Закона 44-ФЗ, рассмотрено 14 117 обращений о включении сведений об участниках закупок в реестр недобросовестных поставщиков. По итогам рассмотрения указанных обращений в реестр недобросовестных поставщиков в 2018 году ФАС России включены сведения о 7 082 недобросовестных поставщиках (исполнителях, подрядчиках), что составляет 51 % от рассмотренных обращений в отношении закупок, осуществляемых в соответствии с Законом 44-ФЗ. Основной причиной включения в реестр недобросовестных поставщиков является одностороннее расторжение контракта (64 % от включенных в реестр недобросовестных поставщиков лиц).</w:t>
      </w:r>
    </w:p>
    <w:p w14:paraId="25488C92" w14:textId="77777777" w:rsidR="004D6F7B" w:rsidRPr="004D6F7B" w:rsidRDefault="004D6F7B" w:rsidP="004D6F7B">
      <w:pPr>
        <w:pStyle w:val="22"/>
        <w:spacing w:after="0" w:line="360" w:lineRule="exact"/>
        <w:ind w:firstLine="709"/>
        <w:jc w:val="both"/>
        <w:rPr>
          <w:rFonts w:ascii="Times New Roman" w:hAnsi="Times New Roman" w:cs="Times New Roman"/>
          <w:sz w:val="28"/>
          <w:szCs w:val="28"/>
        </w:rPr>
      </w:pPr>
      <w:r w:rsidRPr="004D6F7B">
        <w:rPr>
          <w:rFonts w:ascii="Times New Roman" w:hAnsi="Times New Roman" w:cs="Times New Roman"/>
          <w:sz w:val="28"/>
          <w:szCs w:val="28"/>
        </w:rPr>
        <w:t>Соотношение количества рассмотренных в 2018 году и аналогичном периоде 2017 года обращений к числу включенных в реестр недобросовестных поставщиков (исполнителей, подрядчиков) представлено на следующей диаграмме:</w:t>
      </w:r>
    </w:p>
    <w:p w14:paraId="6B458172" w14:textId="77777777" w:rsidR="004D6F7B" w:rsidRPr="004D6F7B" w:rsidRDefault="004D6F7B" w:rsidP="004D6F7B">
      <w:pPr>
        <w:pStyle w:val="22"/>
        <w:spacing w:after="0" w:line="240" w:lineRule="auto"/>
        <w:ind w:firstLine="851"/>
        <w:contextualSpacing/>
        <w:jc w:val="both"/>
        <w:rPr>
          <w:rFonts w:ascii="Times New Roman" w:hAnsi="Times New Roman" w:cs="Times New Roman"/>
          <w:sz w:val="28"/>
          <w:szCs w:val="28"/>
        </w:rPr>
      </w:pPr>
    </w:p>
    <w:p w14:paraId="6483EC65" w14:textId="77777777" w:rsidR="004D6F7B" w:rsidRPr="004D6F7B" w:rsidRDefault="004D6F7B" w:rsidP="004D6F7B">
      <w:pPr>
        <w:pStyle w:val="22"/>
        <w:spacing w:after="0" w:line="240" w:lineRule="auto"/>
        <w:contextualSpacing/>
        <w:jc w:val="center"/>
        <w:rPr>
          <w:rFonts w:ascii="Times New Roman" w:hAnsi="Times New Roman" w:cs="Times New Roman"/>
          <w:sz w:val="28"/>
          <w:szCs w:val="28"/>
        </w:rPr>
      </w:pPr>
      <w:r w:rsidRPr="004D6F7B">
        <w:rPr>
          <w:rFonts w:ascii="Times New Roman" w:hAnsi="Times New Roman" w:cs="Times New Roman"/>
          <w:noProof/>
          <w:sz w:val="28"/>
          <w:szCs w:val="28"/>
          <w:lang w:eastAsia="ru-RU"/>
        </w:rPr>
        <w:drawing>
          <wp:inline distT="0" distB="0" distL="0" distR="0" wp14:anchorId="1D4DC980" wp14:editId="4C37F5F6">
            <wp:extent cx="5838825" cy="2422525"/>
            <wp:effectExtent l="0" t="0" r="9525" b="1587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10D3CE" w14:textId="77777777" w:rsidR="004D6F7B" w:rsidRPr="004D6F7B" w:rsidRDefault="004D6F7B" w:rsidP="004D6F7B">
      <w:pPr>
        <w:pStyle w:val="22"/>
        <w:spacing w:after="0" w:line="360" w:lineRule="exact"/>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заказчиков в ФАС России по вопросам включения участников закупок в реестр недобросовестных поставщиков в 2018 года по сравнению с 2017 годом увеличилось на 17 %.</w:t>
      </w:r>
    </w:p>
    <w:p w14:paraId="049A5C02" w14:textId="77777777" w:rsidR="004D6F7B" w:rsidRPr="004D6F7B" w:rsidRDefault="004D6F7B" w:rsidP="004D6F7B">
      <w:pPr>
        <w:pStyle w:val="22"/>
        <w:spacing w:after="0" w:line="360" w:lineRule="exact"/>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На 31.12.2018 года реестр недобросовестных поставщиков содержал сведения о 11 223 записях о недобросовестных поставщиках, на аналогичный период 2017 года реестр недобросовестных поставщиков содержал сведения                           о 10 121 записи о недобросовестных поставщиках.</w:t>
      </w:r>
    </w:p>
    <w:p w14:paraId="30C867DC" w14:textId="77777777" w:rsidR="004D6F7B" w:rsidRPr="004D6F7B" w:rsidRDefault="004D6F7B" w:rsidP="004D6F7B">
      <w:pPr>
        <w:pStyle w:val="22"/>
        <w:spacing w:after="0" w:line="360" w:lineRule="exact"/>
        <w:ind w:firstLine="851"/>
        <w:contextualSpacing/>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6. Обжалование решений ФАС России в судах</w:t>
      </w:r>
    </w:p>
    <w:p w14:paraId="13452011" w14:textId="77777777" w:rsidR="004D6F7B" w:rsidRPr="004D6F7B" w:rsidRDefault="004D6F7B" w:rsidP="004D6F7B">
      <w:pPr>
        <w:pStyle w:val="22"/>
        <w:spacing w:after="0" w:line="360" w:lineRule="exact"/>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зафиксировано 3 855 случаев обжалования в арбитражных судах и судах общей юрисдикции решений (предписаний)                            ФАС России, что составляет 3,4 % от общего количества принятых решений (предписаний) ФАС России, 3 501 случая обжалования постановлений о назначении административного наказания, что составляет 9,9 %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5DEBE80B" w14:textId="77777777" w:rsidR="004D6F7B" w:rsidRPr="004D6F7B" w:rsidRDefault="004D6F7B" w:rsidP="004D6F7B">
      <w:pPr>
        <w:pStyle w:val="22"/>
        <w:spacing w:after="0" w:line="360" w:lineRule="exact"/>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требования заявителей при обжаловании решений (предписаний) удовлетворены в 587 случаях. Требования заявителей при обжаловании постановлений о назначении административного наказания удовлетворены в 770 случаях.</w:t>
      </w:r>
    </w:p>
    <w:p w14:paraId="3E31CCDB" w14:textId="77777777" w:rsidR="004D6F7B" w:rsidRPr="004D6F7B" w:rsidRDefault="004D6F7B" w:rsidP="004D6F7B">
      <w:pPr>
        <w:pStyle w:val="22"/>
        <w:spacing w:after="0" w:line="360" w:lineRule="exact"/>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зафиксировано 3 241 случай обжалования в арбитражных судах и судах общей юрисдикции решений (предписаний)                            ФАС России, что составляет 3,6 % от общего количества принятых решений (предписаний) ФАС России, 3 187 случаев обжалования постановлений о назначении административного наказания, что составляет 15,8 %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178CC5C1" w14:textId="77777777" w:rsidR="004D6F7B" w:rsidRPr="004D6F7B" w:rsidRDefault="004D6F7B" w:rsidP="004D6F7B">
      <w:pPr>
        <w:pStyle w:val="22"/>
        <w:spacing w:after="0" w:line="360" w:lineRule="exact"/>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требования заявителей при обжаловании решений (предписаний) удовлетворены в 578 случаях. Требования заявителей при обжаловании постановлений о назначении административного наказания удовлетворены в 1 903 случаях.</w:t>
      </w:r>
    </w:p>
    <w:p w14:paraId="0BA0505E" w14:textId="77777777" w:rsidR="001178ED" w:rsidRPr="001178ED" w:rsidRDefault="001178ED" w:rsidP="004F2E63">
      <w:pPr>
        <w:rPr>
          <w:rFonts w:ascii="Times New Roman" w:hAnsi="Times New Roman" w:cs="Times New Roman"/>
          <w:b/>
          <w:sz w:val="28"/>
          <w:szCs w:val="28"/>
        </w:rPr>
      </w:pPr>
    </w:p>
    <w:p w14:paraId="2037EC22" w14:textId="5CC552D9" w:rsidR="00883C8E" w:rsidRDefault="00883C8E" w:rsidP="00F6030C">
      <w:pPr>
        <w:pStyle w:val="1"/>
        <w:numPr>
          <w:ilvl w:val="0"/>
          <w:numId w:val="65"/>
        </w:numPr>
      </w:pPr>
      <w:bookmarkStart w:id="2058" w:name="_Toc7448052"/>
      <w:r w:rsidRPr="007C6DC9">
        <w:t>Оценка состояния конкуренции институтами гражданского общества</w:t>
      </w:r>
      <w:bookmarkEnd w:id="2058"/>
    </w:p>
    <w:p w14:paraId="1C6AA0DB" w14:textId="77777777" w:rsidR="0042393D" w:rsidRDefault="0042393D" w:rsidP="00481A29"/>
    <w:p w14:paraId="41A9B67E" w14:textId="1A8276F3" w:rsidR="0042393D" w:rsidRPr="00395A53" w:rsidRDefault="0042393D" w:rsidP="00EF64DA">
      <w:pPr>
        <w:pStyle w:val="2"/>
        <w:numPr>
          <w:ilvl w:val="1"/>
          <w:numId w:val="66"/>
        </w:numPr>
      </w:pPr>
      <w:bookmarkStart w:id="2059" w:name="_Toc7448053"/>
      <w:r w:rsidRPr="00395A53">
        <w:t>Аналитический центр при Правительстве Российской Федерации</w:t>
      </w:r>
      <w:bookmarkEnd w:id="2059"/>
    </w:p>
    <w:p w14:paraId="26CADDCF" w14:textId="77777777" w:rsidR="0042393D" w:rsidRPr="00142070" w:rsidRDefault="0042393D" w:rsidP="005B6FB8">
      <w:pPr>
        <w:spacing w:after="0" w:line="340" w:lineRule="exact"/>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С 18 января по 18 февраля 2019 г. Аналитическим центром при Правительстве Российской Федерации (далее – Аналитический центр) был проведен шестой ежегодный онлайн-опрос представителей российского предпринимательского сообщества, направленный на исследование «самочувствия» бизнеса в сложившихся условиях ведения деятельности. Проведенный опрос позволяет, в частности, оценить общее состояние конкуренции и конкурентной среды на российских рынках с точки зрения самих предпринимателей. В опросе приняли участие 1 253 респондента.</w:t>
      </w:r>
    </w:p>
    <w:p w14:paraId="4FAC2677" w14:textId="77777777" w:rsidR="0042393D" w:rsidRPr="00142070" w:rsidRDefault="0042393D" w:rsidP="003326CD">
      <w:pPr>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Характеристика базы респондентов</w:t>
      </w:r>
    </w:p>
    <w:p w14:paraId="1A4C7C06" w14:textId="77777777" w:rsidR="0042393D" w:rsidRPr="00142070" w:rsidRDefault="0042393D" w:rsidP="0042393D">
      <w:pPr>
        <w:spacing w:before="240" w:after="120" w:line="340" w:lineRule="exact"/>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опросе приняли участие представители всех сфер экономической деятельности, предусмотренных предложенным в анкете классификатором (график 1). Наибольшую активность проявили представители сферы услуг (32,6%), сектора торговли (20,1%) и сектора строительства (13,5%). Сфера услуг более чем на половину представлена компаниями и индивидуальными предпринимателями, осуществляющими профессиональную, научную и техническую деятельность (8,6 п.п.), административную деятельность (5,6 п.п.), предоставляющими транспортные услуги (4,9 п.п.).</w:t>
      </w:r>
    </w:p>
    <w:p w14:paraId="033EAF07" w14:textId="77777777" w:rsidR="0042393D" w:rsidRPr="00142070" w:rsidRDefault="0042393D" w:rsidP="0042393D">
      <w:pPr>
        <w:spacing w:before="120" w:after="0" w:line="240" w:lineRule="auto"/>
        <w:rPr>
          <w:rFonts w:ascii="Times New Roman" w:eastAsia="MS Mincho" w:hAnsi="Times New Roman" w:cs="Times New Roman"/>
          <w:smallCaps/>
          <w:spacing w:val="5"/>
          <w:sz w:val="28"/>
          <w:szCs w:val="28"/>
          <w:u w:val="single"/>
        </w:rPr>
      </w:pPr>
      <w:bookmarkStart w:id="2060" w:name="_Ref378001510"/>
      <w:r w:rsidRPr="00142070">
        <w:rPr>
          <w:rFonts w:ascii="Times New Roman" w:eastAsia="MS Mincho" w:hAnsi="Times New Roman" w:cs="Times New Roman"/>
          <w:smallCaps/>
          <w:spacing w:val="5"/>
          <w:sz w:val="28"/>
          <w:szCs w:val="28"/>
          <w:u w:val="single"/>
        </w:rPr>
        <w:t xml:space="preserve">График </w:t>
      </w:r>
      <w:r w:rsidRPr="00142070">
        <w:rPr>
          <w:rFonts w:ascii="Times New Roman" w:eastAsia="MS Mincho" w:hAnsi="Times New Roman" w:cs="Times New Roman"/>
          <w:smallCaps/>
          <w:spacing w:val="5"/>
          <w:sz w:val="28"/>
          <w:szCs w:val="28"/>
          <w:u w:val="single"/>
        </w:rPr>
        <w:fldChar w:fldCharType="begin"/>
      </w:r>
      <w:r w:rsidRPr="00142070">
        <w:rPr>
          <w:rFonts w:ascii="Times New Roman" w:eastAsia="MS Mincho" w:hAnsi="Times New Roman" w:cs="Times New Roman"/>
          <w:smallCaps/>
          <w:spacing w:val="5"/>
          <w:sz w:val="28"/>
          <w:szCs w:val="28"/>
          <w:u w:val="single"/>
        </w:rPr>
        <w:instrText xml:space="preserve"> SEQ График \* ARABIC </w:instrText>
      </w:r>
      <w:r w:rsidRPr="00142070">
        <w:rPr>
          <w:rFonts w:ascii="Times New Roman" w:eastAsia="MS Mincho" w:hAnsi="Times New Roman" w:cs="Times New Roman"/>
          <w:smallCaps/>
          <w:spacing w:val="5"/>
          <w:sz w:val="28"/>
          <w:szCs w:val="28"/>
          <w:u w:val="single"/>
        </w:rPr>
        <w:fldChar w:fldCharType="separate"/>
      </w:r>
      <w:r w:rsidR="00E07DAD" w:rsidRPr="00142070">
        <w:rPr>
          <w:rFonts w:ascii="Times New Roman" w:eastAsia="MS Mincho" w:hAnsi="Times New Roman" w:cs="Times New Roman"/>
          <w:smallCaps/>
          <w:noProof/>
          <w:spacing w:val="5"/>
          <w:sz w:val="28"/>
          <w:szCs w:val="28"/>
          <w:u w:val="single"/>
        </w:rPr>
        <w:t>1</w:t>
      </w:r>
      <w:r w:rsidRPr="00142070">
        <w:rPr>
          <w:rFonts w:ascii="Times New Roman" w:eastAsia="MS Mincho" w:hAnsi="Times New Roman" w:cs="Times New Roman"/>
          <w:smallCaps/>
          <w:spacing w:val="5"/>
          <w:sz w:val="28"/>
          <w:szCs w:val="28"/>
          <w:u w:val="single"/>
        </w:rPr>
        <w:fldChar w:fldCharType="end"/>
      </w:r>
      <w:bookmarkEnd w:id="2060"/>
    </w:p>
    <w:p w14:paraId="16CD3F8A" w14:textId="77777777" w:rsidR="0042393D" w:rsidRPr="00142070" w:rsidRDefault="0042393D" w:rsidP="0042393D">
      <w:pPr>
        <w:spacing w:before="120" w:after="0" w:line="240" w:lineRule="auto"/>
        <w:rPr>
          <w:rFonts w:ascii="Times New Roman" w:eastAsia="MS Mincho" w:hAnsi="Times New Roman" w:cs="Times New Roman"/>
          <w:b/>
          <w:bCs/>
          <w:i/>
          <w:iCs/>
          <w:sz w:val="28"/>
          <w:szCs w:val="28"/>
        </w:rPr>
      </w:pPr>
      <w:r w:rsidRPr="00142070">
        <w:rPr>
          <w:rFonts w:ascii="Times New Roman" w:eastAsia="MS Mincho" w:hAnsi="Times New Roman" w:cs="Times New Roman"/>
          <w:b/>
          <w:bCs/>
          <w:i/>
          <w:iCs/>
          <w:sz w:val="28"/>
          <w:szCs w:val="28"/>
        </w:rPr>
        <w:t>Распределение респондентов по сферам экономической деятельности</w:t>
      </w:r>
    </w:p>
    <w:p w14:paraId="5B0B5A1D" w14:textId="77777777" w:rsidR="0042393D" w:rsidRPr="0042393D" w:rsidRDefault="0042393D" w:rsidP="0042393D">
      <w:pPr>
        <w:spacing w:before="120" w:after="0" w:line="240" w:lineRule="auto"/>
        <w:rPr>
          <w:rFonts w:ascii="Trebuchet MS" w:eastAsia="MS Mincho" w:hAnsi="Trebuchet MS" w:cs="Times New Roman"/>
          <w:b/>
          <w:bCs/>
          <w:noProof/>
          <w:color w:val="6E1946"/>
          <w:sz w:val="20"/>
          <w:szCs w:val="20"/>
          <w:lang w:eastAsia="ru-RU"/>
        </w:rPr>
      </w:pP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0528" behindDoc="0" locked="0" layoutInCell="1" allowOverlap="1" wp14:anchorId="19E3BCA1" wp14:editId="50C8334B">
                <wp:simplePos x="0" y="0"/>
                <wp:positionH relativeFrom="column">
                  <wp:posOffset>1370457</wp:posOffset>
                </wp:positionH>
                <wp:positionV relativeFrom="paragraph">
                  <wp:posOffset>2936354</wp:posOffset>
                </wp:positionV>
                <wp:extent cx="1104265" cy="47816"/>
                <wp:effectExtent l="38100" t="38100" r="57785" b="85725"/>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1104265" cy="4781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94DC8B5" id="Прямая соединительная линия 2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231.2pt" to="194.8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1552" behindDoc="0" locked="0" layoutInCell="1" allowOverlap="1" wp14:anchorId="2B64B70A" wp14:editId="51CEB899">
                <wp:simplePos x="0" y="0"/>
                <wp:positionH relativeFrom="column">
                  <wp:posOffset>1370457</wp:posOffset>
                </wp:positionH>
                <wp:positionV relativeFrom="paragraph">
                  <wp:posOffset>233655</wp:posOffset>
                </wp:positionV>
                <wp:extent cx="518795" cy="599846"/>
                <wp:effectExtent l="38100" t="19050" r="71755" b="8636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518795" cy="59984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AB07FEB" id="Прямая соединительная линия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18.4pt" to="148.7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w:drawing>
          <wp:inline distT="0" distB="0" distL="0" distR="0" wp14:anchorId="028CA7BE" wp14:editId="690BD58D">
            <wp:extent cx="1470355" cy="2791814"/>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9611" t="13585" r="694"/>
                    <a:stretch/>
                  </pic:blipFill>
                  <pic:spPr bwMode="auto">
                    <a:xfrm>
                      <a:off x="0" y="0"/>
                      <a:ext cx="1474523" cy="2799727"/>
                    </a:xfrm>
                    <a:prstGeom prst="rect">
                      <a:avLst/>
                    </a:prstGeom>
                    <a:noFill/>
                    <a:ln>
                      <a:noFill/>
                    </a:ln>
                    <a:extLst>
                      <a:ext uri="{53640926-AAD7-44D8-BBD7-CCE9431645EC}">
                        <a14:shadowObscured xmlns:a14="http://schemas.microsoft.com/office/drawing/2010/main"/>
                      </a:ext>
                    </a:extLst>
                  </pic:spPr>
                </pic:pic>
              </a:graphicData>
            </a:graphic>
          </wp:inline>
        </w:drawing>
      </w:r>
      <w:r w:rsidRPr="0042393D">
        <w:rPr>
          <w:rFonts w:ascii="Trebuchet MS" w:eastAsia="MS Mincho" w:hAnsi="Trebuchet MS" w:cs="Times New Roman"/>
          <w:b/>
          <w:bCs/>
          <w:noProof/>
          <w:color w:val="6E1946"/>
          <w:sz w:val="20"/>
          <w:szCs w:val="20"/>
          <w:lang w:eastAsia="ru-RU"/>
        </w:rPr>
        <w:t xml:space="preserve"> </w:t>
      </w:r>
      <w:r w:rsidRPr="0042393D">
        <w:rPr>
          <w:rFonts w:ascii="Trebuchet MS" w:eastAsia="MS Mincho" w:hAnsi="Trebuchet MS" w:cs="Times New Roman"/>
          <w:b/>
          <w:bCs/>
          <w:noProof/>
          <w:color w:val="6E1946"/>
          <w:sz w:val="20"/>
          <w:szCs w:val="20"/>
          <w:lang w:eastAsia="ru-RU"/>
        </w:rPr>
        <mc:AlternateContent>
          <mc:Choice Requires="wpg">
            <w:drawing>
              <wp:inline distT="0" distB="0" distL="0" distR="0" wp14:anchorId="060C5E8A" wp14:editId="23939639">
                <wp:extent cx="4139743" cy="2954807"/>
                <wp:effectExtent l="0" t="0" r="0" b="0"/>
                <wp:docPr id="31" name="Группа 31"/>
                <wp:cNvGraphicFramePr/>
                <a:graphic xmlns:a="http://schemas.openxmlformats.org/drawingml/2006/main">
                  <a:graphicData uri="http://schemas.microsoft.com/office/word/2010/wordprocessingGroup">
                    <wpg:wgp>
                      <wpg:cNvGrpSpPr/>
                      <wpg:grpSpPr>
                        <a:xfrm>
                          <a:off x="0" y="0"/>
                          <a:ext cx="4139743" cy="2954807"/>
                          <a:chOff x="0" y="0"/>
                          <a:chExt cx="4228185" cy="3087015"/>
                        </a:xfrm>
                      </wpg:grpSpPr>
                      <pic:pic xmlns:pic="http://schemas.openxmlformats.org/drawingml/2006/picture">
                        <pic:nvPicPr>
                          <pic:cNvPr id="32" name="Рисунок 32"/>
                          <pic:cNvPicPr>
                            <a:picLocks noChangeAspect="1"/>
                          </pic:cNvPicPr>
                        </pic:nvPicPr>
                        <pic:blipFill rotWithShape="1">
                          <a:blip r:embed="rId54" cstate="print">
                            <a:extLst>
                              <a:ext uri="{28A0092B-C50C-407E-A947-70E740481C1C}">
                                <a14:useLocalDpi xmlns:a14="http://schemas.microsoft.com/office/drawing/2010/main" val="0"/>
                              </a:ext>
                            </a:extLst>
                          </a:blip>
                          <a:srcRect l="7709" r="24278"/>
                          <a:stretch/>
                        </pic:blipFill>
                        <pic:spPr bwMode="auto">
                          <a:xfrm>
                            <a:off x="0" y="0"/>
                            <a:ext cx="3218688" cy="3087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Рисунок 33"/>
                          <pic:cNvPicPr>
                            <a:picLocks noChangeAspect="1"/>
                          </pic:cNvPicPr>
                        </pic:nvPicPr>
                        <pic:blipFill rotWithShape="1">
                          <a:blip r:embed="rId55" cstate="print">
                            <a:extLst>
                              <a:ext uri="{28A0092B-C50C-407E-A947-70E740481C1C}">
                                <a14:useLocalDpi xmlns:a14="http://schemas.microsoft.com/office/drawing/2010/main" val="0"/>
                              </a:ext>
                            </a:extLst>
                          </a:blip>
                          <a:srcRect l="68326" t="14339" r="3188" b="3592"/>
                          <a:stretch/>
                        </pic:blipFill>
                        <pic:spPr bwMode="auto">
                          <a:xfrm>
                            <a:off x="2874873" y="446227"/>
                            <a:ext cx="1353312" cy="25456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6A19A36" id="Группа 31" o:spid="_x0000_s1026" style="width:325.95pt;height:232.65pt;mso-position-horizontal-relative:char;mso-position-vertical-relative:line" coordsize="42281,3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27" type="#_x0000_t75" style="position:absolute;width:32186;height:30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mDrFAAAA2wAAAA8AAABkcnMvZG93bnJldi54bWxEj0trwzAQhO+F/gexhdwauQk0sRM5tIWA&#10;DykhD8h1Y60frbQylpI4/74qFHocZr4ZZrkarBFX6n3rWMHLOAFBXDrdcq3geFg/z0H4gKzROCYF&#10;d/Kwyh8flphpd+MdXfehFrGEfYYKmhC6TEpfNmTRj11HHL3K9RZDlH0tdY+3WG6NnCTJq7TYclxo&#10;sKOPhsrv/cUqmJqv+yz9TFNbmM30tD1U7+dCKjV6Gt4WIAIN4T/8Rxc6chP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t5g6xQAAANsAAAAPAAAAAAAAAAAAAAAA&#10;AJ8CAABkcnMvZG93bnJldi54bWxQSwUGAAAAAAQABAD3AAAAkQMAAAAA&#10;">
                  <v:imagedata r:id="rId65" o:title="" cropleft="5052f" cropright="15911f"/>
                  <v:path arrowok="t"/>
                </v:shape>
                <v:shape id="Рисунок 33" o:spid="_x0000_s1028" type="#_x0000_t75" style="position:absolute;left:28748;top:4462;width:13533;height:25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KCTDAAAA2wAAAA8AAABkcnMvZG93bnJldi54bWxEj0FLAzEUhO9C/0N4BW82qwui26alLRSk&#10;F7H1oLfH5nUT3LwsyWu7/nsjCB6HmfmGWazG0KsLpewjG7ifVaCI22g9dwbej7u7J1BZkC32kcnA&#10;N2VYLSc3C2xsvPIbXQ7SqQLh3KABJzI0WufWUcA8iwNx8U4xBZQiU6dtwmuBh14/VNWjDui5LDgc&#10;aOuo/Tqcg4Hk9t7V3efHa97453Z/lrXdiTG303E9ByU0yn/4r/1iDdQ1/H4pP0A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ooJMMAAADbAAAADwAAAAAAAAAAAAAAAACf&#10;AgAAZHJzL2Rvd25yZXYueG1sUEsFBgAAAAAEAAQA9wAAAI8DAAAAAA==&#10;">
                  <v:imagedata r:id="rId66" o:title="" croptop="9397f" cropbottom="2354f" cropleft="44778f" cropright="2089f"/>
                  <v:path arrowok="t"/>
                </v:shape>
                <w10:anchorlock/>
              </v:group>
            </w:pict>
          </mc:Fallback>
        </mc:AlternateContent>
      </w:r>
    </w:p>
    <w:p w14:paraId="5D8CF83B" w14:textId="77777777" w:rsidR="0042393D" w:rsidRPr="0042393D" w:rsidRDefault="0042393D" w:rsidP="0042393D">
      <w:pPr>
        <w:spacing w:before="120" w:after="360" w:line="240" w:lineRule="auto"/>
        <w:rPr>
          <w:rFonts w:ascii="Times New Roman" w:eastAsia="MS Mincho" w:hAnsi="Times New Roman" w:cs="Times New Roman"/>
          <w:sz w:val="20"/>
          <w:szCs w:val="24"/>
        </w:rPr>
      </w:pPr>
    </w:p>
    <w:p w14:paraId="041BC648"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p w14:paraId="38925946" w14:textId="77777777" w:rsidR="0042393D" w:rsidRPr="00142070" w:rsidRDefault="0042393D" w:rsidP="0042393D">
      <w:pPr>
        <w:spacing w:after="120" w:line="340" w:lineRule="exact"/>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опросе приняли участие компании, представляющие все российские регионы. 86% респондентов представляли организации, возраст которых более 5 лет. При этом в основном участники опроса являлись сотрудниками или владельцами диверсифицированных компаний, доля выручки которых от деятельности на основном продуктовом рынке не превышает 20% всего годового оборота (доля такого бизнеса в опросе составила 49%). При этом респонденты представляли преимущественно малый бизнес: в 79% случаев годовой оборот предприятий составляет до 120 млн рублей, а численность сотрудников 92% организаций не превышает 100 человек.</w:t>
      </w:r>
    </w:p>
    <w:p w14:paraId="6177B735" w14:textId="77777777" w:rsidR="0042393D" w:rsidRPr="00142070" w:rsidRDefault="0042393D" w:rsidP="00870F68">
      <w:pPr>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Результаты опроса</w:t>
      </w:r>
    </w:p>
    <w:p w14:paraId="48BC51DB" w14:textId="77777777" w:rsidR="0042393D" w:rsidRPr="00142070" w:rsidRDefault="0042393D" w:rsidP="0042393D">
      <w:pPr>
        <w:spacing w:before="240" w:after="0" w:line="340" w:lineRule="exact"/>
        <w:jc w:val="both"/>
        <w:rPr>
          <w:rFonts w:ascii="Times New Roman" w:eastAsia="MS Mincho" w:hAnsi="Times New Roman" w:cs="Times New Roman"/>
          <w:color w:val="463232"/>
          <w:sz w:val="28"/>
          <w:szCs w:val="28"/>
        </w:rPr>
      </w:pPr>
      <w:r w:rsidRPr="00142070">
        <w:rPr>
          <w:rFonts w:ascii="Times New Roman" w:eastAsia="MS Mincho" w:hAnsi="Times New Roman" w:cs="Times New Roman"/>
          <w:color w:val="463232"/>
          <w:sz w:val="28"/>
          <w:szCs w:val="28"/>
        </w:rPr>
        <w:t>Состояние конкуренции на российских рынках может быть оценено как умеренное: доля респондентов, указавших на высокую или очень высокую конкуренцию</w:t>
      </w:r>
      <w:r w:rsidRPr="00142070">
        <w:rPr>
          <w:rFonts w:ascii="Times New Roman" w:eastAsia="MS Mincho" w:hAnsi="Times New Roman" w:cs="Times New Roman"/>
          <w:color w:val="463232"/>
          <w:sz w:val="28"/>
          <w:szCs w:val="28"/>
          <w:vertAlign w:val="superscript"/>
        </w:rPr>
        <w:footnoteReference w:id="24"/>
      </w:r>
      <w:r w:rsidRPr="00142070">
        <w:rPr>
          <w:rFonts w:ascii="Times New Roman" w:eastAsia="MS Mincho" w:hAnsi="Times New Roman" w:cs="Times New Roman"/>
          <w:color w:val="463232"/>
          <w:sz w:val="28"/>
          <w:szCs w:val="28"/>
        </w:rPr>
        <w:t xml:space="preserve"> для бизнеса, который они представляют, составила 51% (график 2). Доля представителей бизнеса, указавших на наличие не более 3 конкурентов или отсутствие конкурентов, составила 12,6% (график 3).</w:t>
      </w:r>
    </w:p>
    <w:tbl>
      <w:tblPr>
        <w:tblW w:w="9180" w:type="dxa"/>
        <w:tblLayout w:type="fixed"/>
        <w:tblLook w:val="04A0" w:firstRow="1" w:lastRow="0" w:firstColumn="1" w:lastColumn="0" w:noHBand="0" w:noVBand="1"/>
      </w:tblPr>
      <w:tblGrid>
        <w:gridCol w:w="4661"/>
        <w:gridCol w:w="4519"/>
      </w:tblGrid>
      <w:tr w:rsidR="0042393D" w:rsidRPr="0042393D" w14:paraId="76B65550" w14:textId="77777777" w:rsidTr="004F3A4E">
        <w:trPr>
          <w:trHeight w:val="88"/>
        </w:trPr>
        <w:tc>
          <w:tcPr>
            <w:tcW w:w="4661" w:type="dxa"/>
          </w:tcPr>
          <w:p w14:paraId="7B9D2415"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E07DAD">
              <w:rPr>
                <w:rFonts w:ascii="Times New Roman" w:eastAsia="MS Mincho" w:hAnsi="Times New Roman" w:cs="Times New Roman"/>
                <w:smallCaps/>
                <w:noProof/>
                <w:spacing w:val="5"/>
                <w:sz w:val="20"/>
                <w:szCs w:val="20"/>
                <w:u w:val="single"/>
              </w:rPr>
              <w:t>2</w:t>
            </w:r>
            <w:r w:rsidRPr="0042393D">
              <w:rPr>
                <w:rFonts w:ascii="Times New Roman" w:eastAsia="MS Mincho" w:hAnsi="Times New Roman" w:cs="Times New Roman"/>
                <w:smallCaps/>
                <w:spacing w:val="5"/>
                <w:sz w:val="20"/>
                <w:szCs w:val="20"/>
                <w:u w:val="single"/>
              </w:rPr>
              <w:fldChar w:fldCharType="end"/>
            </w:r>
          </w:p>
          <w:p w14:paraId="567E3E8D"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szCs w:val="24"/>
              </w:rPr>
              <w:t>Оценка состояния конкуренции, доля ответивших в общем числе респондентов</w:t>
            </w:r>
          </w:p>
        </w:tc>
        <w:tc>
          <w:tcPr>
            <w:tcW w:w="4519" w:type="dxa"/>
          </w:tcPr>
          <w:p w14:paraId="44328A0E"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E07DAD">
              <w:rPr>
                <w:rFonts w:ascii="Times New Roman" w:eastAsia="MS Mincho" w:hAnsi="Times New Roman" w:cs="Times New Roman"/>
                <w:smallCaps/>
                <w:noProof/>
                <w:spacing w:val="5"/>
                <w:sz w:val="20"/>
                <w:szCs w:val="20"/>
                <w:u w:val="single"/>
              </w:rPr>
              <w:t>3</w:t>
            </w:r>
            <w:r w:rsidRPr="0042393D">
              <w:rPr>
                <w:rFonts w:ascii="Times New Roman" w:eastAsia="MS Mincho" w:hAnsi="Times New Roman" w:cs="Times New Roman"/>
                <w:smallCaps/>
                <w:spacing w:val="5"/>
                <w:sz w:val="20"/>
                <w:szCs w:val="20"/>
                <w:u w:val="single"/>
              </w:rPr>
              <w:fldChar w:fldCharType="end"/>
            </w:r>
          </w:p>
          <w:p w14:paraId="61E704F7"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noProof/>
                <w:szCs w:val="24"/>
                <w:lang w:eastAsia="ru-RU"/>
              </w:rPr>
              <w:drawing>
                <wp:anchor distT="0" distB="0" distL="114300" distR="114300" simplePos="0" relativeHeight="251669504" behindDoc="0" locked="0" layoutInCell="1" allowOverlap="1" wp14:anchorId="6FF6C41F" wp14:editId="68CEDB09">
                  <wp:simplePos x="0" y="0"/>
                  <wp:positionH relativeFrom="column">
                    <wp:posOffset>-10795</wp:posOffset>
                  </wp:positionH>
                  <wp:positionV relativeFrom="paragraph">
                    <wp:posOffset>532903</wp:posOffset>
                  </wp:positionV>
                  <wp:extent cx="3487420" cy="2276475"/>
                  <wp:effectExtent l="0" t="0" r="0"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87420" cy="2276475"/>
                          </a:xfrm>
                          <a:prstGeom prst="rect">
                            <a:avLst/>
                          </a:prstGeom>
                          <a:noFill/>
                        </pic:spPr>
                      </pic:pic>
                    </a:graphicData>
                  </a:graphic>
                  <wp14:sizeRelH relativeFrom="page">
                    <wp14:pctWidth>0</wp14:pctWidth>
                  </wp14:sizeRelH>
                  <wp14:sizeRelV relativeFrom="page">
                    <wp14:pctHeight>0</wp14:pctHeight>
                  </wp14:sizeRelV>
                </wp:anchor>
              </w:drawing>
            </w:r>
            <w:r w:rsidRPr="0042393D">
              <w:rPr>
                <w:rFonts w:ascii="Times New Roman" w:eastAsia="MS Mincho" w:hAnsi="Times New Roman" w:cs="Times New Roman"/>
                <w:b/>
                <w:bCs/>
                <w:i/>
                <w:iCs/>
                <w:szCs w:val="24"/>
              </w:rPr>
              <w:t>Число конкурентов, доля ответивших в общем числе респондентов</w:t>
            </w:r>
          </w:p>
        </w:tc>
      </w:tr>
      <w:tr w:rsidR="0042393D" w:rsidRPr="0042393D" w14:paraId="4FB48D97" w14:textId="77777777" w:rsidTr="004F3A4E">
        <w:trPr>
          <w:trHeight w:val="3775"/>
        </w:trPr>
        <w:tc>
          <w:tcPr>
            <w:tcW w:w="4661" w:type="dxa"/>
          </w:tcPr>
          <w:p w14:paraId="4BF3D93F" w14:textId="77777777" w:rsidR="0042393D" w:rsidRPr="0042393D" w:rsidRDefault="0042393D" w:rsidP="0042393D">
            <w:pPr>
              <w:spacing w:before="120" w:after="0" w:line="240" w:lineRule="auto"/>
              <w:ind w:left="-142"/>
              <w:rPr>
                <w:rFonts w:ascii="Trebuchet MS" w:eastAsia="MS Mincho" w:hAnsi="Trebuchet MS" w:cs="Times New Roman"/>
                <w:b/>
                <w:bCs/>
                <w:color w:val="000000"/>
                <w:sz w:val="20"/>
                <w:szCs w:val="20"/>
                <w:highlight w:val="yellow"/>
              </w:rPr>
            </w:pPr>
            <w:r w:rsidRPr="0042393D">
              <w:rPr>
                <w:rFonts w:ascii="Trebuchet MS" w:eastAsia="MS Mincho" w:hAnsi="Trebuchet MS" w:cs="Times New Roman"/>
                <w:b/>
                <w:bCs/>
                <w:noProof/>
                <w:color w:val="000000"/>
                <w:sz w:val="20"/>
                <w:szCs w:val="20"/>
                <w:lang w:eastAsia="ru-RU"/>
              </w:rPr>
              <w:drawing>
                <wp:inline distT="0" distB="0" distL="0" distR="0" wp14:anchorId="62B5D92F" wp14:editId="7559D602">
                  <wp:extent cx="3100206" cy="202335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05177" cy="2026599"/>
                          </a:xfrm>
                          <a:prstGeom prst="rect">
                            <a:avLst/>
                          </a:prstGeom>
                          <a:noFill/>
                        </pic:spPr>
                      </pic:pic>
                    </a:graphicData>
                  </a:graphic>
                </wp:inline>
              </w:drawing>
            </w:r>
          </w:p>
        </w:tc>
        <w:tc>
          <w:tcPr>
            <w:tcW w:w="4519" w:type="dxa"/>
          </w:tcPr>
          <w:p w14:paraId="64E2110A" w14:textId="77777777" w:rsidR="0042393D" w:rsidRPr="0042393D" w:rsidRDefault="0042393D" w:rsidP="0042393D">
            <w:pPr>
              <w:spacing w:before="120" w:after="0" w:line="240" w:lineRule="auto"/>
              <w:ind w:left="-108"/>
              <w:rPr>
                <w:rFonts w:ascii="Trebuchet MS" w:eastAsia="MS Mincho" w:hAnsi="Trebuchet MS" w:cs="Times New Roman"/>
                <w:b/>
                <w:bCs/>
                <w:color w:val="000000"/>
                <w:sz w:val="20"/>
                <w:szCs w:val="20"/>
                <w:highlight w:val="yellow"/>
              </w:rPr>
            </w:pPr>
          </w:p>
        </w:tc>
      </w:tr>
      <w:tr w:rsidR="0042393D" w:rsidRPr="00142070" w14:paraId="28CF273A" w14:textId="77777777" w:rsidTr="004F3A4E">
        <w:trPr>
          <w:trHeight w:val="426"/>
        </w:trPr>
        <w:tc>
          <w:tcPr>
            <w:tcW w:w="4661" w:type="dxa"/>
          </w:tcPr>
          <w:p w14:paraId="5CA8B557"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c>
          <w:tcPr>
            <w:tcW w:w="4519" w:type="dxa"/>
          </w:tcPr>
          <w:p w14:paraId="4F41C27D"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r>
    </w:tbl>
    <w:p w14:paraId="2E20B28A" w14:textId="77777777" w:rsidR="0042393D" w:rsidRPr="00142070" w:rsidRDefault="0042393D" w:rsidP="0042393D">
      <w:pPr>
        <w:spacing w:after="120" w:line="340" w:lineRule="exact"/>
        <w:jc w:val="both"/>
        <w:rPr>
          <w:rFonts w:ascii="Times New Roman" w:eastAsia="MS Mincho" w:hAnsi="Times New Roman" w:cs="Times New Roman"/>
          <w:color w:val="463232"/>
          <w:sz w:val="28"/>
          <w:szCs w:val="28"/>
        </w:rPr>
      </w:pPr>
      <w:r w:rsidRPr="00142070">
        <w:rPr>
          <w:rFonts w:ascii="Times New Roman" w:eastAsia="MS Mincho" w:hAnsi="Times New Roman" w:cs="Times New Roman"/>
          <w:color w:val="463232"/>
          <w:sz w:val="28"/>
          <w:szCs w:val="28"/>
        </w:rPr>
        <w:t>Наиболее сильное влияние конкуренции испытывает бизнес в таких секторах, как: услуги в области культуры, спорта, организации досуга и развлечений (78%), текстильная промышленность (71%), пищевая промышленность (71%), производство неметаллических изделий (70%). На слабую конкуренцию указали представители компаний, осуществляющих деятельность в сфере здравоохранения и социальных услуг (33%), в топливно-энергетическом комплексе (30%). При этом 50% участников отметили, что хотя бы иногда сталкиваются с давлением со стороны доминирующих участников рынка.</w:t>
      </w:r>
    </w:p>
    <w:p w14:paraId="376E2323" w14:textId="77777777" w:rsidR="0042393D" w:rsidRPr="00142070" w:rsidRDefault="0042393D" w:rsidP="0042393D">
      <w:pPr>
        <w:spacing w:after="120" w:line="340" w:lineRule="exact"/>
        <w:jc w:val="both"/>
        <w:rPr>
          <w:rFonts w:ascii="Times New Roman" w:eastAsia="MS Mincho" w:hAnsi="Times New Roman" w:cs="Times New Roman"/>
          <w:color w:val="463232"/>
          <w:sz w:val="28"/>
          <w:szCs w:val="28"/>
        </w:rPr>
      </w:pPr>
      <w:r w:rsidRPr="00142070">
        <w:rPr>
          <w:rFonts w:ascii="Times New Roman" w:eastAsia="MS Mincho" w:hAnsi="Times New Roman" w:cs="Times New Roman"/>
          <w:color w:val="463232"/>
          <w:sz w:val="28"/>
          <w:szCs w:val="28"/>
        </w:rPr>
        <w:t>В пользу повышения уровня конкуренции свидетельствует продолжающийся рост эластичности спроса</w:t>
      </w:r>
      <w:r w:rsidRPr="00142070">
        <w:rPr>
          <w:rFonts w:ascii="Times New Roman" w:eastAsia="MS Mincho" w:hAnsi="Times New Roman" w:cs="Times New Roman"/>
          <w:color w:val="463232"/>
          <w:sz w:val="28"/>
          <w:szCs w:val="28"/>
          <w:vertAlign w:val="superscript"/>
        </w:rPr>
        <w:footnoteReference w:id="25"/>
      </w:r>
      <w:r w:rsidRPr="00142070">
        <w:rPr>
          <w:rFonts w:ascii="Times New Roman" w:eastAsia="MS Mincho" w:hAnsi="Times New Roman" w:cs="Times New Roman"/>
          <w:color w:val="463232"/>
          <w:sz w:val="28"/>
          <w:szCs w:val="28"/>
        </w:rPr>
        <w:t xml:space="preserve"> на продукцию, производимую и реализуемую российскими предприятиями. О высокой эластичности спроса на продукцию представляемого бизнеса (при росте цены продукции на 15% объем спроса на нее упадет более чем на 15%) заявил 61% респондентов, что несколько превышает значения 2018 года (60%) и 2017 года (58%).</w:t>
      </w:r>
    </w:p>
    <w:p w14:paraId="1746C8BD" w14:textId="77777777" w:rsidR="0042393D" w:rsidRPr="00142070" w:rsidRDefault="0042393D" w:rsidP="0042393D">
      <w:pPr>
        <w:spacing w:after="120" w:line="340" w:lineRule="exact"/>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Низкая цена по-прежнему является основным фактором конкурентоспособности продукции российских компаний: на это указали 39% респондентов (39% в 2018 году, 41% в 2017 году). Несколько выросла по сравнению с результатами предыдущего опроса доля респондентов, отметивших, что для бизнеса, который они представляют, ключевую роль играют доверительные отношения с клиентами: 21% в 2019 году по сравнению с 16% в 2018 году. Только для 20% опрошенных важнейшим критерием конкурентоспособности продукции является ее высокое качество, что сопоставимо с результатами 2018 года (22%).</w:t>
      </w:r>
    </w:p>
    <w:p w14:paraId="118FB808" w14:textId="77777777" w:rsidR="0042393D" w:rsidRPr="00142070" w:rsidRDefault="0042393D" w:rsidP="0042393D">
      <w:pPr>
        <w:spacing w:after="120" w:line="340" w:lineRule="exact"/>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47% респондентов указали на увеличение числа конкурентов представляемого ими бизнеса на основном для него рынке товаров и услуг за последние 3 года, что ниже оценки 2018 года (48%) и является минимальным результатом за последние пять лет. 22,9% участников опроса отмечают незначительное изменение числа конкурентов представляемого бизнеса на основном для него рынке (в 2017 году этот показатель составил 23,1%, в 2018 году – 22,5%).</w:t>
      </w:r>
    </w:p>
    <w:p w14:paraId="5193B551" w14:textId="77777777" w:rsidR="0042393D" w:rsidRPr="00142070" w:rsidRDefault="0042393D" w:rsidP="0042393D">
      <w:pPr>
        <w:spacing w:after="120" w:line="340" w:lineRule="exact"/>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 xml:space="preserve">Как правило, рост количества конкурентов респонденты связывают с появлением на рынке новых российских организаций (на это в 2019 году указали 69% участников опроса, отметивших рост количества конкурентов, что сопоставимо с результатами предыдущих опросов: 67% в 2018 году, 68% </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 xml:space="preserve"> в 2017 году).</w:t>
      </w:r>
    </w:p>
    <w:p w14:paraId="2A9FB6EC" w14:textId="77777777" w:rsidR="0042393D" w:rsidRPr="00142070" w:rsidRDefault="0042393D" w:rsidP="0042393D">
      <w:pPr>
        <w:spacing w:after="120" w:line="340" w:lineRule="exact"/>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По мнению участников опроса, снижение числа конкурентов объясняется следующими основными факторами: антиконкурентными действиями органов власти (на это указали 46% респондентов, отметивших сокращение числа конкурентов), изменениями нормативно-правовой базы, регулирующей деятельность предпринимателей (40%), и уходом российских конкурентов с рынка (43%). Указанные причины снижения числа конкурентов преобладали также в 2018 году – их отмечали 49%, 42% и 28% респондентов соответственно, однако доля фактора ухода российских конкурентов с рынка резко возросла.</w:t>
      </w:r>
    </w:p>
    <w:p w14:paraId="4C39550C" w14:textId="77777777" w:rsidR="0042393D" w:rsidRPr="00142070" w:rsidRDefault="0042393D" w:rsidP="00870F68">
      <w:pPr>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Анализ динамики состояния конкурентной среды</w:t>
      </w:r>
    </w:p>
    <w:p w14:paraId="4E809AFB" w14:textId="77777777" w:rsidR="0042393D" w:rsidRPr="00142070" w:rsidRDefault="0042393D" w:rsidP="0042393D">
      <w:pPr>
        <w:spacing w:after="120" w:line="340" w:lineRule="exact"/>
        <w:jc w:val="both"/>
        <w:rPr>
          <w:rFonts w:ascii="Times New Roman" w:eastAsia="MS Mincho" w:hAnsi="Times New Roman" w:cs="Times New Roman"/>
          <w:spacing w:val="-2"/>
          <w:kern w:val="24"/>
          <w:sz w:val="28"/>
          <w:szCs w:val="28"/>
        </w:rPr>
      </w:pPr>
      <w:r w:rsidRPr="00142070">
        <w:rPr>
          <w:rFonts w:ascii="Times New Roman" w:eastAsia="MS Mincho" w:hAnsi="Times New Roman" w:cs="Times New Roman"/>
          <w:spacing w:val="-2"/>
          <w:kern w:val="24"/>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с 27% до 22% снизилась доля тех, кто ощущает слабую конкуренцию или ее отсутствие. Соответствующие изменения наиболее сильно выражаются в производстве неметаллических изделий, в металлургии, машиностроении и в сфере финансовых услуг.</w:t>
      </w:r>
    </w:p>
    <w:p w14:paraId="36C65F0F" w14:textId="77777777" w:rsidR="0042393D" w:rsidRPr="00142070" w:rsidRDefault="0042393D" w:rsidP="0042393D">
      <w:pPr>
        <w:spacing w:before="240" w:after="120" w:line="340" w:lineRule="exact"/>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то же время анализ результатов опросов «Оценка состояния конкурентной среды», проводимых в 2015</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2019 годах, позволяет увидеть, что доля респондентов, считающих спрос на продукцию своего бизнеса эластичным, непрерывно растет (график 4). В целом это свидетельствует в пользу повышения конкуренции.</w:t>
      </w:r>
    </w:p>
    <w:p w14:paraId="73398E0D" w14:textId="77777777" w:rsidR="0042393D" w:rsidRPr="00142070" w:rsidRDefault="0042393D" w:rsidP="0042393D">
      <w:pPr>
        <w:spacing w:before="120" w:after="0" w:line="240" w:lineRule="auto"/>
        <w:rPr>
          <w:rFonts w:ascii="Times New Roman" w:eastAsia="MS Mincho" w:hAnsi="Times New Roman" w:cs="Times New Roman"/>
          <w:smallCaps/>
          <w:spacing w:val="5"/>
          <w:sz w:val="28"/>
          <w:szCs w:val="28"/>
          <w:u w:val="single"/>
        </w:rPr>
      </w:pPr>
      <w:r w:rsidRPr="00142070">
        <w:rPr>
          <w:rFonts w:ascii="Times New Roman" w:eastAsia="MS Mincho" w:hAnsi="Times New Roman" w:cs="Times New Roman"/>
          <w:smallCaps/>
          <w:spacing w:val="5"/>
          <w:sz w:val="28"/>
          <w:szCs w:val="28"/>
          <w:u w:val="single"/>
        </w:rPr>
        <w:t xml:space="preserve">График </w:t>
      </w:r>
      <w:r w:rsidRPr="00142070">
        <w:rPr>
          <w:rFonts w:ascii="Times New Roman" w:eastAsia="MS Mincho" w:hAnsi="Times New Roman" w:cs="Times New Roman"/>
          <w:smallCaps/>
          <w:spacing w:val="5"/>
          <w:sz w:val="28"/>
          <w:szCs w:val="28"/>
          <w:u w:val="single"/>
        </w:rPr>
        <w:fldChar w:fldCharType="begin"/>
      </w:r>
      <w:r w:rsidRPr="00142070">
        <w:rPr>
          <w:rFonts w:ascii="Times New Roman" w:eastAsia="MS Mincho" w:hAnsi="Times New Roman" w:cs="Times New Roman"/>
          <w:smallCaps/>
          <w:spacing w:val="5"/>
          <w:sz w:val="28"/>
          <w:szCs w:val="28"/>
          <w:u w:val="single"/>
        </w:rPr>
        <w:instrText xml:space="preserve"> SEQ График \* ARABIC </w:instrText>
      </w:r>
      <w:r w:rsidRPr="00142070">
        <w:rPr>
          <w:rFonts w:ascii="Times New Roman" w:eastAsia="MS Mincho" w:hAnsi="Times New Roman" w:cs="Times New Roman"/>
          <w:smallCaps/>
          <w:spacing w:val="5"/>
          <w:sz w:val="28"/>
          <w:szCs w:val="28"/>
          <w:u w:val="single"/>
        </w:rPr>
        <w:fldChar w:fldCharType="separate"/>
      </w:r>
      <w:r w:rsidR="00E07DAD" w:rsidRPr="00142070">
        <w:rPr>
          <w:rFonts w:ascii="Times New Roman" w:eastAsia="MS Mincho" w:hAnsi="Times New Roman" w:cs="Times New Roman"/>
          <w:smallCaps/>
          <w:noProof/>
          <w:spacing w:val="5"/>
          <w:sz w:val="28"/>
          <w:szCs w:val="28"/>
          <w:u w:val="single"/>
        </w:rPr>
        <w:t>4</w:t>
      </w:r>
      <w:r w:rsidRPr="00142070">
        <w:rPr>
          <w:rFonts w:ascii="Times New Roman" w:eastAsia="MS Mincho" w:hAnsi="Times New Roman" w:cs="Times New Roman"/>
          <w:smallCaps/>
          <w:spacing w:val="5"/>
          <w:sz w:val="28"/>
          <w:szCs w:val="28"/>
          <w:u w:val="single"/>
        </w:rPr>
        <w:fldChar w:fldCharType="end"/>
      </w:r>
    </w:p>
    <w:p w14:paraId="020B6D21" w14:textId="77777777" w:rsidR="0042393D" w:rsidRPr="0042393D" w:rsidRDefault="0042393D" w:rsidP="0042393D">
      <w:pPr>
        <w:spacing w:before="120" w:after="0" w:line="240" w:lineRule="auto"/>
        <w:rPr>
          <w:rFonts w:ascii="Times New Roman" w:eastAsia="MS Mincho" w:hAnsi="Times New Roman" w:cs="Times New Roman"/>
          <w:b/>
          <w:bCs/>
          <w:i/>
          <w:iCs/>
          <w:szCs w:val="24"/>
        </w:rPr>
      </w:pPr>
      <w:r w:rsidRPr="00142070">
        <w:rPr>
          <w:rFonts w:ascii="Times New Roman" w:eastAsia="MS Mincho" w:hAnsi="Times New Roman" w:cs="Times New Roman"/>
          <w:b/>
          <w:bCs/>
          <w:i/>
          <w:iCs/>
          <w:sz w:val="28"/>
          <w:szCs w:val="28"/>
        </w:rPr>
        <w:t>Динамика оценок бизнесом состояния конкуренции, в %</w:t>
      </w:r>
    </w:p>
    <w:p w14:paraId="0B664DC1" w14:textId="77777777" w:rsidR="0042393D" w:rsidRPr="0042393D" w:rsidRDefault="0042393D" w:rsidP="0042393D">
      <w:pPr>
        <w:spacing w:before="120" w:after="360" w:line="240" w:lineRule="auto"/>
        <w:rPr>
          <w:rFonts w:ascii="Times New Roman" w:eastAsia="MS Mincho" w:hAnsi="Times New Roman" w:cs="Times New Roman"/>
          <w:sz w:val="20"/>
          <w:szCs w:val="24"/>
        </w:rPr>
      </w:pPr>
      <w:r w:rsidRPr="0042393D">
        <w:rPr>
          <w:rFonts w:ascii="Trebuchet MS" w:eastAsia="MS Mincho" w:hAnsi="Trebuchet MS" w:cs="Times New Roman"/>
          <w:i/>
          <w:iCs/>
          <w:noProof/>
          <w:color w:val="E6AA5A"/>
          <w:sz w:val="20"/>
          <w:szCs w:val="20"/>
          <w:lang w:eastAsia="ru-RU"/>
        </w:rPr>
        <w:drawing>
          <wp:inline distT="0" distB="0" distL="0" distR="0" wp14:anchorId="12740730" wp14:editId="084464AD">
            <wp:extent cx="5153025" cy="3364578"/>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69513" cy="3375344"/>
                    </a:xfrm>
                    <a:prstGeom prst="rect">
                      <a:avLst/>
                    </a:prstGeom>
                    <a:noFill/>
                  </pic:spPr>
                </pic:pic>
              </a:graphicData>
            </a:graphic>
          </wp:inline>
        </w:drawing>
      </w:r>
    </w:p>
    <w:p w14:paraId="6EC19285" w14:textId="77777777" w:rsidR="0042393D" w:rsidRPr="00F754F7" w:rsidRDefault="0042393D" w:rsidP="0042393D">
      <w:pPr>
        <w:spacing w:before="120" w:after="360" w:line="240" w:lineRule="auto"/>
        <w:rPr>
          <w:rFonts w:ascii="Times New Roman" w:eastAsia="MS Mincho" w:hAnsi="Times New Roman" w:cs="Times New Roman"/>
          <w:sz w:val="28"/>
          <w:szCs w:val="28"/>
        </w:rPr>
      </w:pPr>
      <w:r w:rsidRPr="00F754F7">
        <w:rPr>
          <w:rFonts w:ascii="Times New Roman" w:eastAsia="MS Mincho" w:hAnsi="Times New Roman" w:cs="Times New Roman"/>
          <w:sz w:val="28"/>
          <w:szCs w:val="28"/>
        </w:rPr>
        <w:t>Источник: Аналитический центр</w:t>
      </w:r>
    </w:p>
    <w:p w14:paraId="131EEC00" w14:textId="7E647A1C" w:rsidR="0042393D" w:rsidRPr="00F754F7" w:rsidRDefault="0042393D" w:rsidP="0042393D">
      <w:pPr>
        <w:spacing w:after="120" w:line="340" w:lineRule="exact"/>
        <w:jc w:val="both"/>
        <w:rPr>
          <w:rFonts w:ascii="Times New Roman" w:eastAsia="MS Mincho" w:hAnsi="Times New Roman" w:cs="Times New Roman"/>
          <w:color w:val="463232"/>
          <w:sz w:val="28"/>
          <w:szCs w:val="28"/>
        </w:rPr>
      </w:pPr>
      <w:r w:rsidRPr="00F754F7">
        <w:rPr>
          <w:rFonts w:ascii="Times New Roman" w:eastAsia="MS Mincho" w:hAnsi="Times New Roman" w:cs="Times New Roman"/>
          <w:color w:val="463232"/>
          <w:sz w:val="28"/>
          <w:szCs w:val="28"/>
        </w:rPr>
        <w:t>Доля участников опроса, отметивших снижение числа конкурентов у представляемого ими бизнеса, остается стабильно высокой (</w:t>
      </w:r>
      <w:r w:rsidRPr="00F754F7">
        <w:rPr>
          <w:rFonts w:ascii="Times New Roman" w:eastAsia="MS Mincho" w:hAnsi="Times New Roman" w:cs="Times New Roman"/>
          <w:color w:val="463232"/>
          <w:sz w:val="28"/>
          <w:szCs w:val="28"/>
        </w:rPr>
        <w:fldChar w:fldCharType="begin"/>
      </w:r>
      <w:r w:rsidRPr="00F754F7">
        <w:rPr>
          <w:rFonts w:ascii="Times New Roman" w:eastAsia="MS Mincho" w:hAnsi="Times New Roman" w:cs="Times New Roman"/>
          <w:color w:val="463232"/>
          <w:sz w:val="28"/>
          <w:szCs w:val="28"/>
        </w:rPr>
        <w:instrText xml:space="preserve"> REF _Ref2629865 \h </w:instrText>
      </w:r>
      <w:r w:rsidR="00F754F7">
        <w:rPr>
          <w:rFonts w:ascii="Times New Roman" w:eastAsia="MS Mincho" w:hAnsi="Times New Roman" w:cs="Times New Roman"/>
          <w:color w:val="463232"/>
          <w:sz w:val="28"/>
          <w:szCs w:val="28"/>
        </w:rPr>
        <w:instrText xml:space="preserve"> \* MERGEFORMAT </w:instrText>
      </w:r>
      <w:r w:rsidRPr="00F754F7">
        <w:rPr>
          <w:rFonts w:ascii="Times New Roman" w:eastAsia="MS Mincho" w:hAnsi="Times New Roman" w:cs="Times New Roman"/>
          <w:color w:val="463232"/>
          <w:sz w:val="28"/>
          <w:szCs w:val="28"/>
        </w:rPr>
      </w:r>
      <w:r w:rsidRPr="00F754F7">
        <w:rPr>
          <w:rFonts w:ascii="Times New Roman" w:eastAsia="MS Mincho" w:hAnsi="Times New Roman" w:cs="Times New Roman"/>
          <w:color w:val="463232"/>
          <w:sz w:val="28"/>
          <w:szCs w:val="28"/>
        </w:rPr>
        <w:fldChar w:fldCharType="separate"/>
      </w:r>
      <w:r w:rsidR="00E07DAD" w:rsidRPr="00F754F7">
        <w:rPr>
          <w:rFonts w:ascii="Times New Roman" w:eastAsia="MS Mincho" w:hAnsi="Times New Roman" w:cs="Times New Roman"/>
          <w:smallCaps/>
          <w:spacing w:val="5"/>
          <w:sz w:val="28"/>
          <w:szCs w:val="28"/>
          <w:u w:val="single"/>
        </w:rPr>
        <w:t xml:space="preserve">График </w:t>
      </w:r>
      <w:r w:rsidR="00E07DAD" w:rsidRPr="00F754F7">
        <w:rPr>
          <w:rFonts w:ascii="Times New Roman" w:eastAsia="MS Mincho" w:hAnsi="Times New Roman" w:cs="Times New Roman"/>
          <w:smallCaps/>
          <w:noProof/>
          <w:spacing w:val="5"/>
          <w:sz w:val="28"/>
          <w:szCs w:val="28"/>
          <w:u w:val="single"/>
        </w:rPr>
        <w:t>5</w:t>
      </w:r>
      <w:r w:rsidRPr="00F754F7">
        <w:rPr>
          <w:rFonts w:ascii="Times New Roman" w:eastAsia="MS Mincho" w:hAnsi="Times New Roman" w:cs="Times New Roman"/>
          <w:color w:val="463232"/>
          <w:sz w:val="28"/>
          <w:szCs w:val="28"/>
        </w:rPr>
        <w:fldChar w:fldCharType="end"/>
      </w:r>
      <w:r w:rsidRPr="00F754F7">
        <w:rPr>
          <w:rFonts w:ascii="Times New Roman" w:eastAsia="MS Mincho" w:hAnsi="Times New Roman" w:cs="Times New Roman"/>
          <w:color w:val="463232"/>
          <w:sz w:val="28"/>
          <w:szCs w:val="28"/>
        </w:rPr>
        <w:t>). В течение последних четырех лет она находится на уровне 22</w:t>
      </w:r>
      <w:r w:rsidRPr="00F754F7">
        <w:rPr>
          <w:rFonts w:ascii="Times New Roman" w:eastAsia="MS Mincho" w:hAnsi="Times New Roman" w:cs="Times New Roman"/>
          <w:color w:val="463232"/>
          <w:sz w:val="28"/>
          <w:szCs w:val="28"/>
        </w:rPr>
        <w:sym w:font="Symbol" w:char="F02D"/>
      </w:r>
      <w:r w:rsidRPr="00F754F7">
        <w:rPr>
          <w:rFonts w:ascii="Times New Roman" w:eastAsia="MS Mincho" w:hAnsi="Times New Roman" w:cs="Times New Roman"/>
          <w:color w:val="463232"/>
          <w:sz w:val="28"/>
          <w:szCs w:val="28"/>
        </w:rPr>
        <w:t>24%. Одновременно постепенно сокращается количество респондентов, указывающих на большое число конкурентов (более 4): с 87,4% в 2016 году до 86,1% в 2019 году. В то же время бизнес сохраняет позитивное отношение к конкуренции: доля респондентов, считающих конкуренцию стимулом для расширения и развития, выросла с 32% в 2018 году до 36% в 2019 году.</w:t>
      </w:r>
    </w:p>
    <w:p w14:paraId="245071BA" w14:textId="77777777" w:rsidR="0042393D" w:rsidRPr="00F754F7" w:rsidRDefault="0042393D" w:rsidP="0042393D">
      <w:pPr>
        <w:spacing w:before="120" w:after="0" w:line="240" w:lineRule="auto"/>
        <w:rPr>
          <w:rFonts w:ascii="Times New Roman" w:eastAsia="MS Mincho" w:hAnsi="Times New Roman" w:cs="Times New Roman"/>
          <w:smallCaps/>
          <w:spacing w:val="5"/>
          <w:sz w:val="28"/>
          <w:szCs w:val="28"/>
          <w:u w:val="single"/>
        </w:rPr>
      </w:pPr>
      <w:bookmarkStart w:id="2061" w:name="_Ref2629865"/>
      <w:r w:rsidRPr="00F754F7">
        <w:rPr>
          <w:rFonts w:ascii="Times New Roman" w:eastAsia="MS Mincho" w:hAnsi="Times New Roman" w:cs="Times New Roman"/>
          <w:smallCaps/>
          <w:spacing w:val="5"/>
          <w:sz w:val="28"/>
          <w:szCs w:val="28"/>
          <w:u w:val="single"/>
        </w:rPr>
        <w:t xml:space="preserve">График </w:t>
      </w:r>
      <w:r w:rsidRPr="00F754F7">
        <w:rPr>
          <w:rFonts w:ascii="Times New Roman" w:eastAsia="MS Mincho" w:hAnsi="Times New Roman" w:cs="Times New Roman"/>
          <w:smallCaps/>
          <w:spacing w:val="5"/>
          <w:sz w:val="28"/>
          <w:szCs w:val="28"/>
          <w:u w:val="single"/>
        </w:rPr>
        <w:fldChar w:fldCharType="begin"/>
      </w:r>
      <w:r w:rsidRPr="00F754F7">
        <w:rPr>
          <w:rFonts w:ascii="Times New Roman" w:eastAsia="MS Mincho" w:hAnsi="Times New Roman" w:cs="Times New Roman"/>
          <w:smallCaps/>
          <w:spacing w:val="5"/>
          <w:sz w:val="28"/>
          <w:szCs w:val="28"/>
          <w:u w:val="single"/>
        </w:rPr>
        <w:instrText xml:space="preserve"> SEQ График \* ARABIC </w:instrText>
      </w:r>
      <w:r w:rsidRPr="00F754F7">
        <w:rPr>
          <w:rFonts w:ascii="Times New Roman" w:eastAsia="MS Mincho" w:hAnsi="Times New Roman" w:cs="Times New Roman"/>
          <w:smallCaps/>
          <w:spacing w:val="5"/>
          <w:sz w:val="28"/>
          <w:szCs w:val="28"/>
          <w:u w:val="single"/>
        </w:rPr>
        <w:fldChar w:fldCharType="separate"/>
      </w:r>
      <w:r w:rsidR="00E07DAD" w:rsidRPr="00F754F7">
        <w:rPr>
          <w:rFonts w:ascii="Times New Roman" w:eastAsia="MS Mincho" w:hAnsi="Times New Roman" w:cs="Times New Roman"/>
          <w:smallCaps/>
          <w:noProof/>
          <w:spacing w:val="5"/>
          <w:sz w:val="28"/>
          <w:szCs w:val="28"/>
          <w:u w:val="single"/>
        </w:rPr>
        <w:t>5</w:t>
      </w:r>
      <w:r w:rsidRPr="00F754F7">
        <w:rPr>
          <w:rFonts w:ascii="Times New Roman" w:eastAsia="MS Mincho" w:hAnsi="Times New Roman" w:cs="Times New Roman"/>
          <w:smallCaps/>
          <w:spacing w:val="5"/>
          <w:sz w:val="28"/>
          <w:szCs w:val="28"/>
          <w:u w:val="single"/>
        </w:rPr>
        <w:fldChar w:fldCharType="end"/>
      </w:r>
      <w:bookmarkEnd w:id="2061"/>
    </w:p>
    <w:p w14:paraId="3D27A91D" w14:textId="77777777" w:rsidR="0042393D" w:rsidRPr="00F754F7" w:rsidRDefault="0042393D" w:rsidP="0042393D">
      <w:pPr>
        <w:spacing w:before="120" w:after="0" w:line="240" w:lineRule="auto"/>
        <w:rPr>
          <w:rFonts w:ascii="Times New Roman" w:eastAsia="MS Mincho" w:hAnsi="Times New Roman" w:cs="Times New Roman"/>
          <w:b/>
          <w:bCs/>
          <w:i/>
          <w:iCs/>
          <w:sz w:val="28"/>
          <w:szCs w:val="28"/>
        </w:rPr>
      </w:pPr>
      <w:r w:rsidRPr="00F754F7">
        <w:rPr>
          <w:rFonts w:ascii="Times New Roman" w:eastAsia="MS Mincho" w:hAnsi="Times New Roman" w:cs="Times New Roman"/>
          <w:b/>
          <w:bCs/>
          <w:i/>
          <w:iCs/>
          <w:sz w:val="28"/>
          <w:szCs w:val="28"/>
        </w:rPr>
        <w:t>Динамика оценок бизнесом количества конкурентов на основном рынке, в %</w:t>
      </w:r>
    </w:p>
    <w:p w14:paraId="358F8E62" w14:textId="77777777" w:rsidR="0042393D" w:rsidRDefault="0042393D" w:rsidP="0042393D">
      <w:r w:rsidRPr="0042393D">
        <w:rPr>
          <w:rFonts w:ascii="Times New Roman" w:eastAsia="MS Mincho" w:hAnsi="Times New Roman" w:cs="Times New Roman"/>
          <w:noProof/>
          <w:color w:val="463232"/>
          <w:sz w:val="24"/>
          <w:szCs w:val="24"/>
          <w:lang w:eastAsia="ru-RU"/>
        </w:rPr>
        <w:drawing>
          <wp:inline distT="0" distB="0" distL="0" distR="0" wp14:anchorId="42D70914" wp14:editId="4E842200">
            <wp:extent cx="5553075" cy="362626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53075" cy="3626266"/>
                    </a:xfrm>
                    <a:prstGeom prst="rect">
                      <a:avLst/>
                    </a:prstGeom>
                    <a:noFill/>
                  </pic:spPr>
                </pic:pic>
              </a:graphicData>
            </a:graphic>
          </wp:inline>
        </w:drawing>
      </w:r>
    </w:p>
    <w:p w14:paraId="5F561F10" w14:textId="77777777" w:rsidR="0042393D" w:rsidRDefault="0042393D" w:rsidP="00FF3F29">
      <w:pPr>
        <w:rPr>
          <w:rFonts w:ascii="Times New Roman" w:eastAsia="Times New Roman" w:hAnsi="Times New Roman" w:cs="Times New Roman"/>
          <w:b/>
          <w:sz w:val="28"/>
          <w:szCs w:val="28"/>
          <w:lang w:eastAsia="ru-RU"/>
        </w:rPr>
      </w:pPr>
      <w:r w:rsidRPr="0042393D">
        <w:rPr>
          <w:rFonts w:ascii="Times New Roman" w:eastAsia="MS Mincho" w:hAnsi="Times New Roman" w:cs="Times New Roman"/>
          <w:i/>
          <w:iCs/>
          <w:sz w:val="24"/>
          <w:szCs w:val="24"/>
        </w:rPr>
        <w:t>Источник: Аналитический центр</w:t>
      </w:r>
    </w:p>
    <w:p w14:paraId="05F2A460" w14:textId="77777777" w:rsidR="0042393D" w:rsidRDefault="0042393D" w:rsidP="00FF3F29">
      <w:pPr>
        <w:rPr>
          <w:rFonts w:ascii="Times New Roman" w:eastAsia="Times New Roman" w:hAnsi="Times New Roman" w:cs="Times New Roman"/>
          <w:b/>
          <w:sz w:val="28"/>
          <w:szCs w:val="28"/>
          <w:lang w:eastAsia="ru-RU"/>
        </w:rPr>
      </w:pPr>
    </w:p>
    <w:p w14:paraId="48989825" w14:textId="6DFE3408" w:rsidR="00481A29" w:rsidRPr="00395A53" w:rsidRDefault="00481A29" w:rsidP="00EF64DA">
      <w:pPr>
        <w:pStyle w:val="2"/>
        <w:numPr>
          <w:ilvl w:val="1"/>
          <w:numId w:val="67"/>
        </w:numPr>
      </w:pPr>
      <w:bookmarkStart w:id="2062" w:name="_Toc7448054"/>
      <w:r w:rsidRPr="00395A53">
        <w:t>Некоммерческое партнерство «Объединение корпоративных юристов России»</w:t>
      </w:r>
      <w:bookmarkEnd w:id="2062"/>
    </w:p>
    <w:p w14:paraId="21118FCC" w14:textId="77777777" w:rsidR="00481A29" w:rsidRPr="00B84ADD" w:rsidRDefault="00481A29" w:rsidP="00FF3F29">
      <w:pPr>
        <w:rPr>
          <w:rFonts w:ascii="Times New Roman" w:hAnsi="Times New Roman" w:cs="Times New Roman"/>
          <w:sz w:val="28"/>
          <w:szCs w:val="28"/>
        </w:rPr>
      </w:pPr>
      <w:r w:rsidRPr="00B84ADD">
        <w:rPr>
          <w:rFonts w:ascii="Times New Roman" w:hAnsi="Times New Roman" w:cs="Times New Roman"/>
          <w:sz w:val="28"/>
          <w:szCs w:val="28"/>
        </w:rPr>
        <w:t>Члены ОКЮР приветствуют:</w:t>
      </w:r>
    </w:p>
    <w:p w14:paraId="39C63C1C" w14:textId="77777777" w:rsidR="00481A29" w:rsidRPr="00C63A1D" w:rsidRDefault="00481A29" w:rsidP="00BE213D">
      <w:pPr>
        <w:keepNext/>
        <w:widowControl w:val="0"/>
        <w:numPr>
          <w:ilvl w:val="0"/>
          <w:numId w:val="19"/>
        </w:numPr>
        <w:spacing w:before="120" w:after="0" w:line="276"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Оценивая состояние конкуренции за 2018 год, необходимо отметить целый ряд позитивных изменений, связанных с совершенствованием действующего законодательства и правоприменительной практики, в том числе, практическую  реализацию мер по внедрению риск-ориентированного подхода при осуществлении контрольно-надзорной деятельности, разъяснение подходов к коллективному доминированию на рынке, квалификации соглашений между участниками торгов,  появление правила о необходимости внесения в единый реестр проверок информации о плановых и внеплановых проверках, проводимых антимонопольным органом, об их результатах и о принятых мерах по пресечению и (или) устранению</w:t>
      </w:r>
      <w:r w:rsidR="00C63A1D" w:rsidRPr="00C63A1D">
        <w:rPr>
          <w:rFonts w:ascii="Times New Roman" w:hAnsi="Times New Roman" w:cs="Times New Roman"/>
          <w:sz w:val="28"/>
          <w:szCs w:val="28"/>
        </w:rPr>
        <w:t xml:space="preserve"> </w:t>
      </w:r>
      <w:r w:rsidRPr="00C63A1D">
        <w:rPr>
          <w:rFonts w:ascii="Times New Roman" w:hAnsi="Times New Roman" w:cs="Times New Roman"/>
          <w:sz w:val="28"/>
          <w:szCs w:val="28"/>
        </w:rPr>
        <w:t>последствий выявленных нарушений.</w:t>
      </w:r>
    </w:p>
    <w:p w14:paraId="04FCBE17" w14:textId="77777777" w:rsidR="00481A29" w:rsidRPr="00C63A1D" w:rsidRDefault="00481A29" w:rsidP="00BE213D">
      <w:pPr>
        <w:keepNext/>
        <w:widowControl w:val="0"/>
        <w:numPr>
          <w:ilvl w:val="0"/>
          <w:numId w:val="19"/>
        </w:numPr>
        <w:spacing w:before="120" w:after="0" w:line="276"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2018 году большая работа была проделана ФАС России по подготовке Разъяснений об отдельных вопросах анализа состояния конкуренции. Члены ОКЮР принимали активное участие в разработке разъяснений и считают принятие данного акта крайне важным для развития антимонопольного регулирования в России и обеспечения единообразной практики правоприменения. Прошедший год также запомнился сложными дискуссиями между антимонопольным ведомством и бизнесом по «пятому антимонопольному» пакету, который направлен на адаптацию антимонопольного регулирования к цифровой экономике. В ходе обсуждения поправок в Закон о защите конкуренции и КоАП РФ были достигнуты важные компромиссы. ОКЮР одобряет и поддерживает конструктивную позицию ФАС России и выражает надежу, что экспертная позиция членов ОКЮР будет учтена также и на финальном этапе обсуждения «пятого антимонопольного» пакета в 2019 году.</w:t>
      </w:r>
    </w:p>
    <w:p w14:paraId="6F152982" w14:textId="77777777" w:rsidR="00481A29" w:rsidRPr="00C63A1D" w:rsidRDefault="00481A29" w:rsidP="00BE213D">
      <w:pPr>
        <w:keepNext/>
        <w:widowControl w:val="0"/>
        <w:numPr>
          <w:ilvl w:val="0"/>
          <w:numId w:val="19"/>
        </w:numPr>
        <w:spacing w:before="120" w:after="0" w:line="276"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практической деятельности одной из наиболее общих проблем остается отсутствие единообразия в практике применения законодательства о защите конкуренции, а также законодательства о закупках продукции, товаров и услуг для государственных и муниципальных нужд, в различных регионах страны. В этом отношении важно подчеркнуть усилия ФАС России по совершенствованию механизмов обобщения практики применения норм антимонопольного законодательства.  Принятие и обобщение решений коллегиальных органов ФАС России должно быть направлено на формирование единообразной практики применения антимонопольными органами норм конкурентного права, законодательства о рекламе, о закупках.</w:t>
      </w:r>
    </w:p>
    <w:p w14:paraId="19E64010" w14:textId="77777777" w:rsidR="00481A29" w:rsidRPr="00FF3F29" w:rsidRDefault="00481A29" w:rsidP="00FF3F29">
      <w:pPr>
        <w:ind w:firstLine="709"/>
        <w:jc w:val="both"/>
        <w:rPr>
          <w:rFonts w:ascii="Times New Roman" w:hAnsi="Times New Roman" w:cs="Times New Roman"/>
          <w:b/>
          <w:bCs/>
          <w:sz w:val="28"/>
          <w:szCs w:val="28"/>
        </w:rPr>
      </w:pPr>
      <w:r w:rsidRPr="00FF3F29">
        <w:rPr>
          <w:rFonts w:ascii="Times New Roman" w:hAnsi="Times New Roman" w:cs="Times New Roman"/>
          <w:b/>
          <w:sz w:val="28"/>
          <w:szCs w:val="28"/>
        </w:rPr>
        <w:t>Состояние конкуренции на отдельных рынках и основные барьеры на пути развития конкуренции:</w:t>
      </w:r>
    </w:p>
    <w:p w14:paraId="31346594" w14:textId="77777777" w:rsidR="00481A29" w:rsidRPr="00C63A1D" w:rsidRDefault="00481A29" w:rsidP="00BE213D">
      <w:pPr>
        <w:keepNext/>
        <w:widowControl w:val="0"/>
        <w:numPr>
          <w:ilvl w:val="0"/>
          <w:numId w:val="13"/>
        </w:numPr>
        <w:spacing w:before="120" w:after="0" w:line="276"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Принимая Федеральный закон от 18.07.2011 N 223-ФЗ «О закупках товаров, работ, услуг отдельными видами юридических лиц» и Федеральный закон  от 05.04.2013 № 44-ФЗ «О контрактной системе в сфере закупок товаров, работ, услуг для обеспечения государственных и муниципальных нужд», государство планировало оптимизировать расходование денежных средств, развить добросовестную конкуренцию, а также обеспечить гласность и прозрачность закупок, предотвратить коррупцию и другие злоупотребления.  Достижению указанных целей препятствуют как внутренние, так и внешние факторы. Среди </w:t>
      </w:r>
      <w:r w:rsidRPr="00C63A1D">
        <w:rPr>
          <w:rFonts w:ascii="Times New Roman" w:hAnsi="Times New Roman" w:cs="Times New Roman"/>
          <w:b/>
          <w:bCs/>
          <w:i/>
          <w:sz w:val="28"/>
          <w:szCs w:val="28"/>
        </w:rPr>
        <w:t>внутренних факторов</w:t>
      </w:r>
      <w:r w:rsidRPr="00C63A1D">
        <w:rPr>
          <w:rFonts w:ascii="Times New Roman" w:hAnsi="Times New Roman" w:cs="Times New Roman"/>
          <w:bCs/>
          <w:i/>
          <w:sz w:val="28"/>
          <w:szCs w:val="28"/>
        </w:rPr>
        <w:t xml:space="preserve"> </w:t>
      </w:r>
      <w:r w:rsidRPr="00C63A1D">
        <w:rPr>
          <w:rFonts w:ascii="Times New Roman" w:hAnsi="Times New Roman" w:cs="Times New Roman"/>
          <w:bCs/>
          <w:sz w:val="28"/>
          <w:szCs w:val="28"/>
        </w:rPr>
        <w:t xml:space="preserve">можно выделить недобросовестных заказчиков, которые вступают в сговоры с теми или иными исполнителями, преследуя свои меркантильные интересы. Указанные сговоры приводят к нерациональному расходованию денежных средств. С каждым годом увеличивается число выявленных сговоров, этому способствует расширение доказательственной базы, используемой контролирующими органами, а также стремление государства обеспечить соблюдение указанных выше целей. Однако возникает риторический вопрос, что же было в предыдущие годы – хуже работали контролирующие органы или сговоров было меньше? Считаем, что для искоренения коррупционной составляющей необходимо более активно автоматизировать процессы, протекающие в сфере закупок – от формирования закупочной документации, до подведения итогов. Главным </w:t>
      </w:r>
      <w:r w:rsidRPr="00C63A1D">
        <w:rPr>
          <w:rFonts w:ascii="Times New Roman" w:hAnsi="Times New Roman" w:cs="Times New Roman"/>
          <w:b/>
          <w:bCs/>
          <w:i/>
          <w:sz w:val="28"/>
          <w:szCs w:val="28"/>
        </w:rPr>
        <w:t>внешним фактором</w:t>
      </w:r>
      <w:r w:rsidRPr="00C63A1D">
        <w:rPr>
          <w:rFonts w:ascii="Times New Roman" w:hAnsi="Times New Roman" w:cs="Times New Roman"/>
          <w:bCs/>
          <w:sz w:val="28"/>
          <w:szCs w:val="28"/>
        </w:rPr>
        <w:t>, влияющим на развитие конкуренции, можно назвать геополитическую ситуацию, связанную с введением экономических санкций, отсутствием стабильности в отношениях между странами. Указанные обстоятельства приводят к «закрытию» определенных закупок, проведение их на основании актов Правительства Российской Федерации и/или Президента Российской Федерации, и/или тех или иных силовых ведомств. Контракты, заключаемые на основании указанных актов, заключаются с крупными компаниями, что приводит к уменьшению доли СМП (субъектов малого предпринимательства) на рынке услуг. Также заключение таких контрактов не всегда приводит к рациональному и эффективному расходованию бюджетных денежных средств. Считаем, что данная проблема должна решаться путем дифференциации закупок на те, которые могут осуществляться на основании актов Правительства РФ и/или Президента РФ, и/или тех или иных силовых ведомств, и те, которые не могут.</w:t>
      </w:r>
    </w:p>
    <w:p w14:paraId="4229A858" w14:textId="77777777" w:rsidR="00481A29" w:rsidRPr="00C63A1D" w:rsidRDefault="00481A29" w:rsidP="00BE213D">
      <w:pPr>
        <w:keepNext/>
        <w:widowControl w:val="0"/>
        <w:numPr>
          <w:ilvl w:val="0"/>
          <w:numId w:val="13"/>
        </w:numPr>
        <w:spacing w:before="120" w:after="0" w:line="276" w:lineRule="auto"/>
        <w:ind w:left="0" w:firstLine="414"/>
        <w:jc w:val="both"/>
        <w:rPr>
          <w:rFonts w:ascii="Times New Roman" w:hAnsi="Times New Roman" w:cs="Times New Roman"/>
          <w:bCs/>
          <w:sz w:val="28"/>
          <w:szCs w:val="28"/>
        </w:rPr>
      </w:pPr>
      <w:r w:rsidRPr="00C63A1D">
        <w:rPr>
          <w:rFonts w:ascii="Times New Roman" w:hAnsi="Times New Roman" w:cs="Times New Roman"/>
          <w:b/>
          <w:bCs/>
          <w:i/>
          <w:sz w:val="28"/>
          <w:szCs w:val="28"/>
        </w:rPr>
        <w:t>Рынок телекоммуникаций</w:t>
      </w:r>
      <w:r w:rsidRPr="00C63A1D">
        <w:rPr>
          <w:rFonts w:ascii="Times New Roman" w:hAnsi="Times New Roman" w:cs="Times New Roman"/>
          <w:bCs/>
          <w:sz w:val="28"/>
          <w:szCs w:val="28"/>
        </w:rPr>
        <w:t xml:space="preserve"> остается, по-прежнему, наиболее прозрачным и конкурентным среди других отраслей. В то же время, до сих пор остаются нерешенными</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проблемы с доступом операторов связи в многоквартирные дома (злоупотребления управляющих компаний и ТСЖ), а также проблемы с доступом операторов связи к нежилой инфраструктуре.</w:t>
      </w:r>
    </w:p>
    <w:p w14:paraId="532C200B" w14:textId="77777777" w:rsidR="00481A29" w:rsidRPr="00C63A1D" w:rsidRDefault="00481A29" w:rsidP="00BE213D">
      <w:pPr>
        <w:keepNext/>
        <w:widowControl w:val="0"/>
        <w:numPr>
          <w:ilvl w:val="0"/>
          <w:numId w:val="13"/>
        </w:numPr>
        <w:spacing w:before="120" w:after="0" w:line="276"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В отношении </w:t>
      </w:r>
      <w:r w:rsidRPr="00C63A1D">
        <w:rPr>
          <w:rFonts w:ascii="Times New Roman" w:hAnsi="Times New Roman" w:cs="Times New Roman"/>
          <w:b/>
          <w:bCs/>
          <w:i/>
          <w:sz w:val="28"/>
          <w:szCs w:val="28"/>
        </w:rPr>
        <w:t>товарных рынков</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 xml:space="preserve">конкуренцию и конкурентную среду в 2018 году в целом следует оценить положительно. Так, на рынке реализации продовольственных товаров, связанных с производством и реализацией безалкогольных напитков, характерно развитое состояние конкуренции, в том числе, за счёт значительного количества производителей, дистрибьюторов, торговых сетей. Тем не менее, в 2018 году, как и ранее, наблюдается ряд практик и тенденций, которые негативно влияют или могут повлиять на дальнейшее развитие конкуренции и, в конечном итоге, снизить удовлетворенность потребителей. Сложившаяся правоприменительная практика показывает, что </w:t>
      </w:r>
      <w:r w:rsidRPr="00C63A1D">
        <w:rPr>
          <w:rFonts w:ascii="Times New Roman" w:hAnsi="Times New Roman" w:cs="Times New Roman"/>
          <w:b/>
          <w:bCs/>
          <w:i/>
          <w:sz w:val="28"/>
          <w:szCs w:val="28"/>
        </w:rPr>
        <w:t>в отрасли производства и реализации продовольственных товаров</w:t>
      </w:r>
      <w:r w:rsidRPr="00C63A1D">
        <w:rPr>
          <w:rFonts w:ascii="Times New Roman" w:hAnsi="Times New Roman" w:cs="Times New Roman"/>
          <w:bCs/>
          <w:sz w:val="28"/>
          <w:szCs w:val="28"/>
        </w:rPr>
        <w:t xml:space="preserve"> имеется ряд нерешенных проблем, которые не позволяют вывести состояние конкуренции на новый уровень:</w:t>
      </w:r>
    </w:p>
    <w:p w14:paraId="5ED62B4C" w14:textId="77777777" w:rsidR="00481A29" w:rsidRPr="00C63A1D" w:rsidRDefault="00481A29" w:rsidP="00C63A1D">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Торговые сети в настоящий момент, расширяя охват рынка, осуществляют реализацию товаров не только розничным потребителям, но и оптом (мелким оптом) другим юридическим лицам, что фактически дает торговым сетям возможность получения дополнительной маржи (за счет увеличения базы лиц, которыми осуществляется реализация товара, а также не трансляции на конечного потребителя временных (промо-) скидок, предоставляемых поставщиками). Тем самым нарушается баланс конкуренции, поскольку приводит к уменьшению количества мелких и средних игроков на рынке, за счет экспансии оптового канала крупными торговыми сетями. Для торговых сетей это также может создавать возможность обхода законодательного регулирования, закрепленного в ст. 14 Федерального закона от 28.12.2009 года № 381-ФЗ «Об основах государственного регулирования торговой деятельности в Российской Федерации».</w:t>
      </w:r>
    </w:p>
    <w:p w14:paraId="5947F2A0" w14:textId="77777777" w:rsidR="00481A29" w:rsidRPr="00C63A1D" w:rsidRDefault="00481A29" w:rsidP="00C63A1D">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В настоящий момент в Российской Федерации развивается новая конструкция отношений между торговыми сетями и поставщиками, которая не имеет законодательного закрепления, и может быть расценена, как нарушающая ряд антимонопольных норм, направленных на запрет картельных сговоров. Указанная практика, связанна с объединением мелких и средних, в основном региональных, торговых сетей в торгово-закупочные союзы, которые предлагают поставщикам унификацию бизнес моделей в рамках взаимодействия с нескольким торговыми сетями (единые цены, один логистический центр, единый подход к продвижению товара и иное), при этом, данная практика не находит своего отражения в правовом регулировании, и фактически может быть рассмотрена как картельный сговор, поскольку торговые сети согласовывают единые условия работы, что нарушает установленные ст.11 Федерального закона от 26.07.2006 № 135-ФЗ «О защите конкуренции» запреты.</w:t>
      </w:r>
    </w:p>
    <w:p w14:paraId="3833D32B" w14:textId="77777777" w:rsidR="00481A29" w:rsidRPr="00C63A1D" w:rsidRDefault="00481A29" w:rsidP="00C63A1D">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 Федеральный закон «Об основах государственного регулирования торговой деятельности в Российской Федерации» не делает различий между понятиями «торговая сеть», «дистрибьютор», «субъект осуществляющий торговую деятельность», что создает ситуацию, при которой дистрибьюторы, торговые сети и небольшие ритейлеры, имея разные бизнес модели последующей реализации приобретаемой у поставщиков продукции, подпадают под единое государственное регулирование (за исключением отдельных дополнительных ограничений для торговых сетей), в частности, в отношении ограничений выплат и допустимых видов услуг, что не позволяет обеспечивать эффективные условия реализации продукции конечному потребителю. Возможным решением данной проблемы будет являться выведение дистрибьюторов в рамки отдельного правового регулирования, в части допустимых соглашений между поставщиками и дистрибьюторами, а также размеров и видов допустимых вознаграждений и иного. </w:t>
      </w:r>
    </w:p>
    <w:p w14:paraId="3738F9CE" w14:textId="77777777" w:rsidR="00481A29" w:rsidRPr="00C63A1D" w:rsidRDefault="00481A29" w:rsidP="00BE213D">
      <w:pPr>
        <w:keepNext/>
        <w:widowControl w:val="0"/>
        <w:numPr>
          <w:ilvl w:val="0"/>
          <w:numId w:val="14"/>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Особого внимания со стороны ФАС России требует </w:t>
      </w:r>
      <w:r w:rsidRPr="00C63A1D">
        <w:rPr>
          <w:rFonts w:ascii="Times New Roman" w:hAnsi="Times New Roman" w:cs="Times New Roman"/>
          <w:b/>
          <w:bCs/>
          <w:i/>
          <w:sz w:val="28"/>
          <w:szCs w:val="28"/>
        </w:rPr>
        <w:t>рынок аэропортовых услуг</w:t>
      </w:r>
      <w:r w:rsidRPr="00C63A1D">
        <w:rPr>
          <w:rFonts w:ascii="Times New Roman" w:hAnsi="Times New Roman" w:cs="Times New Roman"/>
          <w:bCs/>
          <w:sz w:val="28"/>
          <w:szCs w:val="28"/>
        </w:rPr>
        <w:t xml:space="preserve">. </w:t>
      </w:r>
    </w:p>
    <w:p w14:paraId="1FD41DDE" w14:textId="77777777" w:rsidR="00481A29" w:rsidRPr="00C63A1D" w:rsidRDefault="00481A29" w:rsidP="00C63A1D">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Во-первых, можно констатировать отсутствие конкуренции на рынке услуг по наземному обслуживанию воздушных судов. В настоящее время существует злоупотребления субъектами естественных монополий своим доминирующим положением в части недопуска на указанный рынок компаний, оказывающих аналогичные услуги. Аэропорты используют свое монопольное положение для получения необоснованных доходов.</w:t>
      </w:r>
    </w:p>
    <w:p w14:paraId="278A92CF" w14:textId="77777777" w:rsidR="00481A29" w:rsidRPr="00C63A1D" w:rsidRDefault="00481A29" w:rsidP="00C63A1D">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 Во-вторых, серьезную обеспокоенность вызывает взимание субъектами естественных монополий (аэропортами) плат, сборов и тарифов, неустановленных законодательством. В соответствии с п. 1 ст. 64 Воздушного кодекса РФ оказание услуг в области гражданской авиации осуществляется на платной основе (тарифы, сборы), если иное не предусмотрено законодательством Российской Федерации. Согласно ст. 2 ст. 64 Воздушного кодекса РФ перечень тарифов на услуги в области гражданской авиации и сборов за данные услуги, правила формирования указанных тарифов и сборов, правила взимания рассчитанной на основе указанных тарифов и сборов платы за услуги в области гражданской авиации устанавливаются уполномоченным органом в области гражданской авиации. Перечень и правила формирования тарифов и сборов в аэропортах установлены приказом Минтранса России от 17.07.2012 N 241 «Об аэронавигационных и аэропортовых сборах, тарифах за обслуживание воздушных судов в аэропортах и воздушном пространстве Российской Федерации» (Приказ Минтранса № 241 от 17.07.2012). Указанным приказом Минтранса России установлены сборы и тарифы аэропортов в рамках оказания услуг естественных монополий: сбор за взлет – посадку, сбор за обеспечение авиационной безопасности, сбор за стоянку, сбор за предоставление аэровокзального комплекса, тариф за обслуживание пассажиров и др. Таким образом, уполномоченным органом установлен конкретный перечень услуг за обслуживание воздушных судов, а также порядок оплаты указанных услуг. В соответствии с указанным порядком перевозчики производят аэропортам оплату услуг за обслуживание воздушных судов. Вместе с тем, в настоящее время существует проблема установления аэропортами по собственной инициативе прейскурантов, не установленных уполномоченным органом.   В наименованиях прейскурантов указываются отдельные части технологических процессов услуг, указанных в Приказе Минтранса № 241 от 17.07.2012, которые в собственных интересах аэропортов интерпретируются в качестве новых услуг, не указанных в Приказе Минтранса № 241  от 17.07.2012. </w:t>
      </w:r>
    </w:p>
    <w:p w14:paraId="0A2EDBC8" w14:textId="77777777" w:rsidR="00481A29" w:rsidRPr="00C63A1D" w:rsidRDefault="00481A29" w:rsidP="00C63A1D">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Наконец, в-третьих, ФАС России следует обратить внимание и принять необходимые меры относительно факта установления аэропортами платного принципа использования объектов инфраструктуры аэропортов</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Аэропортами предлагается установить платный принцип использования объектов инфраструктуры аэропортов путем внесения соответствующих изменений в Постановление Правительства от 22.07.2009 г. N 599 «О порядке обеспечения доступа к услугам субъектов естественных монополий в аэропортах». Принятие указанного предложения недопустимо в силу ряда правовых причин. Прежде всего, в соответствии с п. 3 ст. 10 Федерального закона от 26.07.2006 N 135-ФЗ «О защите конкуренции», целью и задачами нормативных правовых актов, регулирующих деятельность субъектов естественных монополий, в частности, Постановления Правительства РФ № 599 от 22.07.2009, является предупреждение создания дискриминационных условий, установление правил недискриминационного доступа на товарные рынки и (или) к товарам, производимым или реализуемым субъектами естественных монополий. Постановлением Правительства РФ от 23.04.2008 N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утвержден следующий перечень услуг субъектов естественных монополий в аэропортах: - обеспечение взлета, посадки и стоянки воздушных судов;- предоставление аэровокзального комплекса;- обеспечение авиационной безопасности;- обслуживание пассажиров;- обеспечение заправки воздушных судов авиационным топливом;- хранение авиационного топлива. Соответственно, именно данный исчерпывающий перечень услуг естественных монополий является предметом постановления Правительства РФ № 599 от 22.07.2009.</w:t>
      </w:r>
    </w:p>
    <w:p w14:paraId="42B22D32" w14:textId="77777777" w:rsidR="00481A29" w:rsidRPr="00C63A1D" w:rsidRDefault="00481A29" w:rsidP="00C63A1D">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Включение в указанное постановление правил предоставления каких – либо иных услуг/составных частей услуг, не относящихся к перечню услуг субъектов естественных монополий, противоречит Федеральному закону от 26.07.2006 N 135-ФЗ «О защите конкуренции», а также не отвечает целям и задачам самого нормативного правового акта. Следует подчеркнуть, что</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поддержание, эксплуатация объектов аэропортовой инфраструктуры является прямой обязанностью аэропортов в силу осуществления деятельности, соответствующей сертификационным требованиям. Согласно п. 12 раздела 2 Федеральных авиационных правил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 утвержденных приказом Министерства транспорта Российской Федерации от 23.06.2003 N 150 (далее – сертификационные требования) обязывает юридическое лицо, осуществляющее аэропортовую деятельность по обеспечению обслуживания пассажиров, багажа, грузов и почты осуществлять свою деятельность в соответствии с требованиями законодательства Российской Федерации. Согласно п. 12 сертификационных требований организация имеет (на праве собственности или иных законных основаниях) необходимые здания и сооружения, спецтранспорт, средства механизации, автоматизации и иное технологическое оборудование. В соответствии с Приказом Минтранса РФ от 28.11.2005 N 142 «Об утверждении Федеральных авиационных правил «Требования авиационной безопасности к аэропортам», а также п. 12 Постановления Правительства РФ от 30.07.1994 N 897 «О Федеральной системе обеспечения защиты деятельности гражданской авиации от актов незаконного вмешательства» обеспечение мер авиационной безопасности на территории аэропорта является прямой обязанностью главного оператора аэропорта, и осуществляется за его счет. Следовательно, расходы на создание мер авиационной безопасности, включая поддержание действующего в аэропорту внутри объектового режима, предоставление инфраструктуры перрона сотрудникам и транспортным средствам сторонних организаций являются прямыми затратами и обязанностями аэропорта. Указанный вывод подтверждается сложившейся судебной практикой при рассмотрении споров по вопросу платного принципа использования объектов инфраструктуры (Постановление Девятого арбитражного апелляционного суда от 09.11.2018 по делу № 09АП-47562/2018). В этой связи, переложение на потребителей расходов по поддержанию и эксплуатации объектов инфраструктуры необоснованно, в том числе потому, что данные действия являются прямыми обязанностями аэропортов в рамках сертификационных требований. Более того, с целью компенсации расходов аэропортов по объектам инфраструктуры, в настоящее время применяются механизмы государственно-частного партнерства в соответствии с Федеральным законом от 13.07.2015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В этой связи, бремя несения расходов по поддержанию, эксплуатации, а также развития объектов инфраструктуры должно осуществляться силами аэропорта (главного оператора), с привлечением механизмов государственно-частного партнерства. Кроме того, предоставление услуг,</w:t>
      </w:r>
      <w:r w:rsidR="00A829E9">
        <w:rPr>
          <w:rFonts w:ascii="Times New Roman" w:hAnsi="Times New Roman" w:cs="Times New Roman"/>
          <w:bCs/>
          <w:sz w:val="28"/>
          <w:szCs w:val="28"/>
        </w:rPr>
        <w:t xml:space="preserve"> указанных в Приказе Минтранса № 241 от 17.07.2012, осуществляется напрямую </w:t>
      </w:r>
      <w:r w:rsidRPr="00C63A1D">
        <w:rPr>
          <w:rFonts w:ascii="Times New Roman" w:hAnsi="Times New Roman" w:cs="Times New Roman"/>
          <w:bCs/>
          <w:sz w:val="28"/>
          <w:szCs w:val="28"/>
        </w:rPr>
        <w:t>с использованием объектов инфраструктуры, в связи с чем, в тариф и сбор уже включены экономические составляющие по использованию объектов. Принятие предложений о платном использовании объектов инфраструктуры способно привести к удвоению оплаты, что будет свидетельствовать о признаках злоупотребления субъектом своим доминирующим положением.</w:t>
      </w:r>
    </w:p>
    <w:p w14:paraId="487CB114" w14:textId="77777777" w:rsidR="00481A29" w:rsidRPr="00C63A1D" w:rsidRDefault="00481A29" w:rsidP="00BE213D">
      <w:pPr>
        <w:keepNext/>
        <w:widowControl w:val="0"/>
        <w:numPr>
          <w:ilvl w:val="0"/>
          <w:numId w:val="14"/>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На российском</w:t>
      </w:r>
      <w:r w:rsidRPr="00C63A1D">
        <w:rPr>
          <w:rFonts w:ascii="Times New Roman" w:hAnsi="Times New Roman" w:cs="Times New Roman"/>
          <w:b/>
          <w:bCs/>
          <w:sz w:val="28"/>
          <w:szCs w:val="28"/>
        </w:rPr>
        <w:t xml:space="preserve"> рынке безалкогольных напитков</w:t>
      </w:r>
      <w:r w:rsidRPr="00C63A1D">
        <w:rPr>
          <w:rFonts w:ascii="Times New Roman" w:hAnsi="Times New Roman" w:cs="Times New Roman"/>
          <w:bCs/>
          <w:sz w:val="28"/>
          <w:szCs w:val="28"/>
        </w:rPr>
        <w:t xml:space="preserve"> отмечаются следующие барьеры, препятствующие развитию конкуренции:</w:t>
      </w:r>
    </w:p>
    <w:p w14:paraId="72A224E7" w14:textId="77777777" w:rsidR="00481A29" w:rsidRPr="00C63A1D" w:rsidRDefault="00481A29" w:rsidP="00C63A1D">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Региональные ограничения. В ряде регионов Российской Федерации наблюдается ситуация, которая может негативно повлиять на ведение хозяйствующими субъектами предпринимательской деятельности. Такие последствия возможны, в первую очередь, в результате проведенной региональными органами законодательной власти деятельности по введению мер запретительного и ограничительного характера в отношении реализации безалкогольных тонизирующих напитков (далее - БТН). В основном, запреты и ограничения касаются продажи БТН несовершеннолетним и (или) в детских, образовательных и медицинских учреждениях. В ряде регионов продажа безалкогольных тонизирующих напитков также запрещена посредством нестационарных торговых объектов и вендингового оборудования, на спортивных мероприятиях, в общественном транспорте и на его остановках, на расстоянии менее 300 метров от детских образовательных учреждений. Стоит отметить, что в значительном количестве случаев собственниками вендинговых аппаратов и объектов стационарной торговли являются субъекты малого и среднего предпринимательства. В то же время, такие запреты не касаются товаров-заменителей БТН, а именно чая и кофе, что может нести в себе признаки нарушения части 1 статьи 15 Федерального закона от 26.07.2006 № 135-ФЗ «О защите конкуренции». Стоит отметить, что представители ФАС России и предпринимательского сообщества выступали за отмену подобного рода ограничений</w:t>
      </w:r>
      <w:r w:rsidRPr="00C63A1D">
        <w:rPr>
          <w:rStyle w:val="af0"/>
          <w:rFonts w:ascii="Times New Roman" w:hAnsi="Times New Roman" w:cs="Times New Roman"/>
          <w:bCs/>
          <w:sz w:val="28"/>
          <w:szCs w:val="28"/>
        </w:rPr>
        <w:footnoteReference w:id="26"/>
      </w:r>
      <w:r w:rsidRPr="00C63A1D">
        <w:rPr>
          <w:rFonts w:ascii="Times New Roman" w:hAnsi="Times New Roman" w:cs="Times New Roman"/>
          <w:bCs/>
          <w:sz w:val="28"/>
          <w:szCs w:val="28"/>
        </w:rPr>
        <w:t xml:space="preserve">. Вместе с тем, уже сейчас можно констатировать, что в 2018 году ряд регионов (органы законодательной власти Челябинской области, Республик Алтай и Крым) провели работу по отмене введенных ими же соответствующих ограничений. Однако, в целях проведения политики по дальнейшему снижению региональных антиконкурентных практик, представляется целесообразной совместная проработка и реализация с Федеральной антимонопольной службой и Министерством юстиции Российской Федерации, а также их территориальными органами комплекса мер по отмене необоснованных ограничений при ведении предпринимательской деятельности, связанной с реализацией БТН. </w:t>
      </w:r>
    </w:p>
    <w:p w14:paraId="516EAD8D" w14:textId="77777777" w:rsidR="00481A29" w:rsidRPr="00C63A1D" w:rsidRDefault="00481A29" w:rsidP="00C63A1D">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w:t>
      </w:r>
      <w:r w:rsidRPr="00C63A1D">
        <w:rPr>
          <w:rFonts w:ascii="Times New Roman" w:hAnsi="Times New Roman" w:cs="Times New Roman"/>
          <w:bCs/>
          <w:sz w:val="28"/>
          <w:szCs w:val="28"/>
        </w:rPr>
        <w:t xml:space="preserve"> Введение избыточной налоговой нагрузки. Представляется возможным отметить, что текущее состояние конкуренции на товарных рынках безалкогольных напитков может ухудшиться вследствие реализации поддержанных Минздравом России законодательных инициатив по введению акциза на напитки с повышенным содержанием сахара</w:t>
      </w:r>
      <w:r w:rsidRPr="00C63A1D">
        <w:rPr>
          <w:rStyle w:val="af0"/>
          <w:rFonts w:ascii="Times New Roman" w:hAnsi="Times New Roman" w:cs="Times New Roman"/>
          <w:bCs/>
          <w:sz w:val="28"/>
          <w:szCs w:val="28"/>
        </w:rPr>
        <w:footnoteReference w:id="27"/>
      </w:r>
      <w:r w:rsidRPr="00C63A1D">
        <w:rPr>
          <w:rFonts w:ascii="Times New Roman" w:hAnsi="Times New Roman" w:cs="Times New Roman"/>
          <w:bCs/>
          <w:sz w:val="28"/>
          <w:szCs w:val="28"/>
        </w:rPr>
        <w:t>. Ранее аналогичная инициатива уже предлагались в 2016 году Минфином России</w:t>
      </w:r>
      <w:r w:rsidRPr="00C63A1D">
        <w:rPr>
          <w:rStyle w:val="af0"/>
          <w:rFonts w:ascii="Times New Roman" w:hAnsi="Times New Roman" w:cs="Times New Roman"/>
          <w:bCs/>
          <w:sz w:val="28"/>
          <w:szCs w:val="28"/>
        </w:rPr>
        <w:footnoteReference w:id="28"/>
      </w:r>
      <w:r w:rsidRPr="00C63A1D">
        <w:rPr>
          <w:rFonts w:ascii="Times New Roman" w:hAnsi="Times New Roman" w:cs="Times New Roman"/>
          <w:bCs/>
          <w:sz w:val="28"/>
          <w:szCs w:val="28"/>
        </w:rPr>
        <w:t>. Федеральная антимонопольная служба в 2016 году сообщила о «возможном росте цен на продукты и сокращении покупательской способности населения» вследствие введения акциза</w:t>
      </w:r>
      <w:r w:rsidRPr="00C63A1D">
        <w:rPr>
          <w:rStyle w:val="af0"/>
          <w:rFonts w:ascii="Times New Roman" w:hAnsi="Times New Roman" w:cs="Times New Roman"/>
          <w:bCs/>
          <w:sz w:val="28"/>
          <w:szCs w:val="28"/>
        </w:rPr>
        <w:footnoteReference w:id="29"/>
      </w:r>
      <w:r w:rsidRPr="00C63A1D">
        <w:rPr>
          <w:rFonts w:ascii="Times New Roman" w:hAnsi="Times New Roman" w:cs="Times New Roman"/>
          <w:bCs/>
          <w:sz w:val="28"/>
          <w:szCs w:val="28"/>
        </w:rPr>
        <w:t>, а в 2018 году отметила, что введение такого механизма косвенного налогообложения в отношении сладких напитков несет риски «ущемления прав производителей сладких безалкогольных напитков и необоснованного создания преимуществ их конкурентам», что, в конечном итоге, может негативно сказаться на ведении предпринимательской деятельности значительным количеством субъектов предпринимательской деятельности, занятых в цепочке производства и реализации сахаросодержащих напитков</w:t>
      </w:r>
      <w:r w:rsidRPr="00C63A1D">
        <w:rPr>
          <w:rStyle w:val="af0"/>
          <w:rFonts w:ascii="Times New Roman" w:hAnsi="Times New Roman" w:cs="Times New Roman"/>
          <w:bCs/>
          <w:sz w:val="28"/>
          <w:szCs w:val="28"/>
        </w:rPr>
        <w:footnoteReference w:id="30"/>
      </w:r>
      <w:r w:rsidRPr="00C63A1D">
        <w:rPr>
          <w:rFonts w:ascii="Times New Roman" w:hAnsi="Times New Roman" w:cs="Times New Roman"/>
          <w:bCs/>
          <w:sz w:val="28"/>
          <w:szCs w:val="28"/>
        </w:rPr>
        <w:t>. Таким образом, можно констатировать, что оценка целесообразности введения такого налога должна проводиться совместно предпринимательским сообществом, Минфином России и ФАС России.</w:t>
      </w:r>
    </w:p>
    <w:p w14:paraId="1E04C8FA" w14:textId="77777777" w:rsidR="00481A29" w:rsidRDefault="00481A29" w:rsidP="00C63A1D">
      <w:pPr>
        <w:keepNext/>
        <w:widowControl w:val="0"/>
        <w:spacing w:after="0" w:line="240" w:lineRule="auto"/>
        <w:ind w:firstLine="709"/>
        <w:jc w:val="both"/>
        <w:rPr>
          <w:bCs/>
          <w:sz w:val="24"/>
          <w:szCs w:val="24"/>
        </w:rPr>
      </w:pPr>
    </w:p>
    <w:p w14:paraId="389ECEA0" w14:textId="77777777" w:rsidR="00481A29" w:rsidRPr="009F5E91" w:rsidRDefault="00481A29" w:rsidP="004B6BE1">
      <w:pPr>
        <w:keepNext/>
        <w:widowControl w:val="0"/>
        <w:spacing w:after="0" w:line="240" w:lineRule="auto"/>
        <w:jc w:val="both"/>
        <w:rPr>
          <w:bCs/>
          <w:sz w:val="24"/>
          <w:szCs w:val="24"/>
        </w:rPr>
      </w:pPr>
    </w:p>
    <w:p w14:paraId="3F69A59E"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Предложения Ассоциации «НП «ОКЮР» по совершенствованию антимонопольного регулирования и защиты конкуренции</w:t>
      </w:r>
    </w:p>
    <w:p w14:paraId="530381E7" w14:textId="77777777" w:rsidR="00481A29" w:rsidRPr="0042393D" w:rsidRDefault="00481A29" w:rsidP="00C63A1D">
      <w:pPr>
        <w:keepNext/>
        <w:widowControl w:val="0"/>
        <w:spacing w:after="0" w:line="240" w:lineRule="auto"/>
        <w:ind w:firstLine="709"/>
        <w:jc w:val="both"/>
        <w:rPr>
          <w:rFonts w:ascii="Times New Roman" w:hAnsi="Times New Roman" w:cs="Times New Roman"/>
          <w:bCs/>
          <w:sz w:val="28"/>
          <w:szCs w:val="28"/>
        </w:rPr>
      </w:pPr>
    </w:p>
    <w:p w14:paraId="489B5D26" w14:textId="77777777" w:rsidR="00481A29" w:rsidRPr="004B6BE1" w:rsidRDefault="00481A29" w:rsidP="004B6BE1">
      <w:pPr>
        <w:ind w:firstLine="709"/>
        <w:rPr>
          <w:rFonts w:ascii="Times New Roman" w:hAnsi="Times New Roman" w:cs="Times New Roman"/>
          <w:b/>
          <w:sz w:val="28"/>
          <w:szCs w:val="28"/>
        </w:rPr>
      </w:pPr>
      <w:r w:rsidRPr="004B6BE1">
        <w:rPr>
          <w:rFonts w:ascii="Times New Roman" w:hAnsi="Times New Roman" w:cs="Times New Roman"/>
          <w:b/>
          <w:sz w:val="28"/>
          <w:szCs w:val="28"/>
        </w:rPr>
        <w:t xml:space="preserve">1. Совершенствование Федерального закона от 26 июля 2006 г. </w:t>
      </w:r>
      <w:r w:rsidR="004B6BE1">
        <w:rPr>
          <w:rFonts w:ascii="Times New Roman" w:hAnsi="Times New Roman" w:cs="Times New Roman"/>
          <w:b/>
          <w:sz w:val="28"/>
          <w:szCs w:val="28"/>
        </w:rPr>
        <w:t xml:space="preserve">               </w:t>
      </w:r>
      <w:r w:rsidRPr="004B6BE1">
        <w:rPr>
          <w:rFonts w:ascii="Times New Roman" w:hAnsi="Times New Roman" w:cs="Times New Roman"/>
          <w:b/>
          <w:sz w:val="28"/>
          <w:szCs w:val="28"/>
        </w:rPr>
        <w:t>№ 135-ФЗ «О защите конкуренции»</w:t>
      </w:r>
    </w:p>
    <w:p w14:paraId="0B5159AB" w14:textId="77777777" w:rsidR="00481A29" w:rsidRPr="0042393D" w:rsidRDefault="00481A29" w:rsidP="00BE213D">
      <w:pPr>
        <w:keepNext/>
        <w:widowControl w:val="0"/>
        <w:numPr>
          <w:ilvl w:val="0"/>
          <w:numId w:val="14"/>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  В настоящее время Федеральным законом от 26.07.2006 № 135-ФЗ «О защите конкуренции» </w:t>
      </w:r>
      <w:r w:rsidRPr="0042393D">
        <w:rPr>
          <w:rFonts w:ascii="Times New Roman" w:hAnsi="Times New Roman" w:cs="Times New Roman"/>
          <w:b/>
          <w:i/>
          <w:sz w:val="28"/>
          <w:szCs w:val="28"/>
        </w:rPr>
        <w:t>не урегулирована деятельность закупочных союзов</w:t>
      </w:r>
      <w:r w:rsidRPr="0042393D">
        <w:rPr>
          <w:rFonts w:ascii="Times New Roman" w:hAnsi="Times New Roman" w:cs="Times New Roman"/>
          <w:sz w:val="28"/>
          <w:szCs w:val="28"/>
        </w:rPr>
        <w:t>. Разработка соответствующих законодательных норм, регламентирующих деятельность торгово-закупочных союзов, а также порядок взаимодействия с ними поставщиков, принятие разъяснений по вопросу взаимодействия с торгово-закупочными союзами.</w:t>
      </w:r>
    </w:p>
    <w:p w14:paraId="4AE9A6F3" w14:textId="77777777" w:rsidR="00481A29" w:rsidRPr="0042393D" w:rsidRDefault="00481A29" w:rsidP="00BE213D">
      <w:pPr>
        <w:keepNext/>
        <w:widowControl w:val="0"/>
        <w:numPr>
          <w:ilvl w:val="0"/>
          <w:numId w:val="15"/>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6 Закона о защите конкуренции</w:t>
      </w:r>
      <w:r w:rsidRPr="0042393D">
        <w:rPr>
          <w:rFonts w:ascii="Times New Roman" w:hAnsi="Times New Roman" w:cs="Times New Roman"/>
          <w:sz w:val="28"/>
          <w:szCs w:val="28"/>
        </w:rPr>
        <w:t>. В ситуации, когда на товарном рынке обращаются два и более товара, которые являются взаимодополняемыми и не могут быть использованы по назначению по отдельности, потребитель, как правило, рассматривает указанные товары как единую систему, поскольку он заинтересован только в их совместном использовании и принимает решение о покупке, ориентируясь на их совокупную стоимость. Данный факт находит свое подтверждение в правоприменительной практике в иностранных юрисдикциях: например, в Решении Европейской Комиссии по делу No IV/E 2/36.431 Info-Lab/Ricoh о потенциальном злоупотреблении доминирующим положением со стороны компании-производителя офисного оборудования Ricoh  Европейская Комиссия отметила, что при приобретении офисного принтера потребитель, как правило, принимает решение о покупке, исходя из стоимости как принтеров (основных товаров), так и картриджей (вспомогательных товаров), поскольку стоимость одного листа печати (фактическая цель приобретения) складывается из стоимости и принтера, и картриджей. В подобной ситуации производитель (поставщик) может определять ценообразование на взаимодополняемые товары, исходя из собственных расходов на приобретение и реализацию обоих товаров в совокупности, ориентируясь на прибыль, которая будет получена им от реализации данных товаров в совокупности.  В таком случае, может возникнуть ситуация, при которой цена, установленная производителем (поставщиком) на один из таких товаров, может формально подпадать под критерии монопольно высокой или монопольно низкой, в то время, как совокупная цена таких товаров не будет выходить за рамки покрытия расходов и обеспечения разумного уровня прибыли, то есть, будет соответствовать цене, установленной в условиях конкуренции.</w:t>
      </w:r>
    </w:p>
    <w:p w14:paraId="00B68A1A"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 </w:t>
      </w: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дополнить ст. 6 частями 9, 10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высокой цена любого из таких товаров, реализуемого отдельно, при условии, что совокупные расходы и прибыль, связанные с производством и реализацией взаимодополняемых товаров, являются необходимыми для эффективного функционирования и развития их производства и реализации. 10. Под вспомогательным товаром в настоящей статье, а также в статье 7 настоящего Федерального закона понимаются расходные материалы, а также иные товары, необходимые и периодически потребляемые при использовании основного товара по целевому назначению». Дополнить ст. 7 частью 9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низкой цена любого из таких товаров, реализуемого отдельно, если реализация данных товаров в совокупности является прибыльной.»</w:t>
      </w:r>
    </w:p>
    <w:p w14:paraId="75DCC868" w14:textId="77777777" w:rsidR="00481A29" w:rsidRPr="0042393D" w:rsidRDefault="00481A29" w:rsidP="00BE213D">
      <w:pPr>
        <w:keepNext/>
        <w:widowControl w:val="0"/>
        <w:numPr>
          <w:ilvl w:val="0"/>
          <w:numId w:val="15"/>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пункту 2 части 1 статьи 8 Закона о защите конкуренции</w:t>
      </w:r>
      <w:r w:rsidRPr="0042393D">
        <w:rPr>
          <w:rFonts w:ascii="Times New Roman" w:hAnsi="Times New Roman" w:cs="Times New Roman"/>
          <w:sz w:val="28"/>
          <w:szCs w:val="28"/>
        </w:rPr>
        <w:t xml:space="preserve">. В действующей редакции пункта 2 части 1 статьи 8 Закона о защите конкуренции одним из признаков согласованных действий является публичное заявление одного из хозяйствующих субъектах о совершении таких действий. При этом понятие публичного заявления отсутствует. Так, нет полной ясности в отношении того, является ли публичным заявлением факт публикации текущих цен на сайте производителя или опубличивание текущих цен иным образом (например, размещение ценников на стелах заправок). В данном случае можно ориентироваться на подход, изложенный в разъяснениях ФАС России № 9 «О порядке Публикации международными морскими контейнерными перевозчиками стоимости перевозки», утв. протоколом Президиума ФАС России от 14.06.2017 № 12. В них одним из элементов запрещенных согласованных действий будет являться публикация о ценовой политике компаний в будущий период времени, т.е. раскрытие будущих цен. Таким образом, именно публичное заявление о будущих действиях хозяйствующего субъекта будет характеризировать согласованные действия. Публикуемая информация о текущей деятельности хозяйствующего субъекта, а также ценах на текущий момент не должна рассматриваться как публичное заявление в понимании статьи 8 Закона о защите конкуренции. </w:t>
      </w:r>
    </w:p>
    <w:p w14:paraId="32012A21"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 xml:space="preserve">Предлагаем </w:t>
      </w:r>
      <w:r w:rsidRPr="0042393D">
        <w:rPr>
          <w:rFonts w:ascii="Times New Roman" w:hAnsi="Times New Roman" w:cs="Times New Roman"/>
          <w:sz w:val="28"/>
          <w:szCs w:val="28"/>
        </w:rPr>
        <w:t>изменить пункт 2 части 1 статьи 8 Закона о защите конкуренции и изложить в следующей редакции: «2) действия заранее известны каждому из участвующих в них хозяйствующих субъектов в связи с публичным заявлением одного из них о совершении таких действий в будущем»</w:t>
      </w:r>
    </w:p>
    <w:p w14:paraId="71BA0C07" w14:textId="77777777" w:rsidR="00481A29" w:rsidRPr="0042393D" w:rsidRDefault="00481A29" w:rsidP="00BE213D">
      <w:pPr>
        <w:keepNext/>
        <w:widowControl w:val="0"/>
        <w:numPr>
          <w:ilvl w:val="0"/>
          <w:numId w:val="15"/>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17 Закона о защите конкуренции</w:t>
      </w:r>
      <w:r w:rsidRPr="0042393D">
        <w:rPr>
          <w:rFonts w:ascii="Times New Roman" w:hAnsi="Times New Roman" w:cs="Times New Roman"/>
          <w:sz w:val="28"/>
          <w:szCs w:val="28"/>
        </w:rPr>
        <w:t xml:space="preserve">. Исключение из сферы антимонопольного регулирования торгов, которые не являются обязательными в соответствии с требованиями законодательства. Описание проблемы. Торги, не являющиеся обязательными в соответствии с требованиями законодательства, проводятся хозяйствующими субъектами исключительно по собственной инициативе как один из способов выбора контрагента для заключения договора.  Вместе с тем, в последнее время антимонопольные органы проявляют интерес к действиям хозяйствующих субъектов, решившим право свободного выбора контрагента реализовать путем проведения торгов, и пытаются применять в таких ситуациях ст. 17 Закона о защите конкуренции. Таким образом, складывается тенденция рассматривать условия необязательных для хозяйствующих субъекта торгов с точки зрения ограничения конкуренции между его потенциальными контрагентами, т.е. свободный выбор контрагента фактически перестает таковым являться.  </w:t>
      </w:r>
    </w:p>
    <w:p w14:paraId="096C52CC"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принять разъяснение (внести изменение в ст. 17 Закона о защите конкуренции), уточняющее сферу применения данной нормы, а именно - только торги, проведение которых обязательно в соответствии с законодательством Российской Федерации (банкротство, исполнительное производство).</w:t>
      </w:r>
    </w:p>
    <w:p w14:paraId="1BB0FF1A" w14:textId="77777777" w:rsidR="00481A29" w:rsidRPr="0042393D" w:rsidRDefault="00481A29" w:rsidP="00BE213D">
      <w:pPr>
        <w:keepNext/>
        <w:widowControl w:val="0"/>
        <w:numPr>
          <w:ilvl w:val="0"/>
          <w:numId w:val="15"/>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части 17 статьи 18.1 Закона о защите конкуренции</w:t>
      </w:r>
      <w:r w:rsidRPr="0042393D">
        <w:rPr>
          <w:rFonts w:ascii="Times New Roman" w:hAnsi="Times New Roman" w:cs="Times New Roman"/>
          <w:sz w:val="28"/>
          <w:szCs w:val="28"/>
        </w:rPr>
        <w:t xml:space="preserve">. При рассмотрении дел о нарушении законодательства о закупках отдельными видами юридических лиц, ФАС России полагает возможным выходить за пределы доводов жалобы и по собственной инициативе устанавливать нарушения. </w:t>
      </w:r>
    </w:p>
    <w:p w14:paraId="70375B9D"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Частью 10 статьи 3 Закона о закупках установлено, что любой участник закупки вправе обжаловать в антимонопольном органе в порядке, установленном статьей 18.1 Закона о защите конкуренции, с учетом особенностей, установленных настоящей статьей,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 При этом, согласно ч. 13 ст. 3 Закона о закупках (в редакции Федерального закона от 31.12.2017 № 505-ФЗ) рассмотрение жалобы антимонопольным органом должно ограничиваться только доводами, составляющими предмет обжалования. Таким образом, антимонопольный орган не вправе выходить за пределы доводов жалобы, по собственной инициативе устанавливать иные нарушения в действиях (бездействии) заказчика при рассмотрении жалоб. Указанное толкование основано на сложившейся судебной практике: п. 17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 постановление Девятого арбитражного апелляционного суда от 11.10.2018 по делу № А40-81617/18, постановление Девятого арбитражного апелляционного суда от 18.10.2018 по делу № А40-61970/18, постановление Девятого арбитражного апелляционного суда от 09.11.2018 по делу № А40-78618/18, постановление Девятого арбитражного апелляционного суда от 15.11.2018 по делу № А40-128110/18, постановление Арбитражного суда Московского округа от 06.12.2018 по делу № А40-28357/18, постановление Девятого арбитражного апелляционного суда от 13.12.2018 по делу № А40-113344/18, постановление Арбитражного суда Московского округа от 23.01.2019 по делу № А40-81438/18. При этом, следует отметить, что действие части 17 статьи 18.1 Закона о защите конкуренции, устанавливающей, что,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не распространяются на случаи обжалования действий (бездействия) Заказчика при организации и проведении закупок в соответствии с Законом о закупках. Положения статьи 18.1 Закона о защите конкуренции, согласно правовой позиции Верховного суда Российской Федерации (Определение от 13 октября 2017 года № 305-КГ17-8138), не свидетельствуют о наделении антимонопольного органа дополнительными полномочиями. Данная норма в силу своего процедурного характера не может рассматриваться как расширяющая перечень оснований, в пределах которой антимонопольный орган обладает полномочиями по рассмотрению жалоб. Принимая во внимание правовые позиции, изложенные в п. 2.2 мотивировочной части Постановления Конституционного Суда РФ от 29.06.2004 № 13-П, необходимо отметить, что норма Закона о закупках (ч. 13 ст. 3) о пределах рассмотрения жалобы антимонопольными органами является специальной по отношению к аналогичной норме Закона о защите конкуренции (ч. 17 ст. 18.1), в связи с чем, применению подлежит ч. 13 ст. 3 Закона о закупках. При этом, расширение перечня случаев, установленного ч. 10 ст. 3 Закона о закупках (при поступлении в антимонопольный орган жалобы, содержащей информацию об осуществлении заказчиком закупки с нарушением требований Закона о закупках, иных нормативных правовых актов, указанная жалоба подлежит рассмотрению в порядке, установленном ст. 18.1 Закона о защите конкуренции), применительно к рассматриваемому делу не может иметь самостоятельного правового значения, поскольку не учитывает положения ч. 13 ст. 3 Закона о закупках. Таким образом, ФАС России не наделена полномочиями по установлению нарушений законодательства о закупках за пределами доводов, заявленных в рамках конкретной жалобы. </w:t>
      </w:r>
    </w:p>
    <w:p w14:paraId="16C287B4"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Подобный подход антимонопольных органов фактически лишает заказчиков права на защиту, на представление нормативного / экономического / технологического и иного обоснования своих подходов к формированию закупочной документации. Кроме того, даже при рассмотрении дела, ФАС России не информирует лиц, участвующих в деле, о действительном предмете проводимой проверки, за рамками доводов жалобы. О выявленных «нарушениях» лицо узнает лишь при получении полного текста решения антимонопольного органа. </w:t>
      </w:r>
    </w:p>
    <w:p w14:paraId="3FDCCCF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 целях исключения принятия неправомерных решений, выходящих за пределы компетенции антимонопольных органов, изложить второе предложение ч. 17 ст. 18.1 Закона о защите конкуренции в следующей редакции: «В случае,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(за исключением случаев рассмотрения жалобы на действия (бездействие) юридического лица, организатора торгов, оператора электронной площадки, конкурсной или аукционной комиссии при организации и проведении закупок в соответствии с Федеральным </w:t>
      </w:r>
      <w:hyperlink r:id="rId71" w:history="1">
        <w:r w:rsidRPr="00883A81">
          <w:rPr>
            <w:rStyle w:val="af1"/>
            <w:rFonts w:ascii="Times New Roman" w:hAnsi="Times New Roman" w:cs="Times New Roman"/>
            <w:sz w:val="28"/>
            <w:szCs w:val="28"/>
          </w:rPr>
          <w:t>законом</w:t>
        </w:r>
      </w:hyperlink>
      <w:r w:rsidRPr="00883A81">
        <w:rPr>
          <w:rFonts w:ascii="Times New Roman" w:hAnsi="Times New Roman" w:cs="Times New Roman"/>
          <w:sz w:val="28"/>
          <w:szCs w:val="28"/>
        </w:rPr>
        <w:t xml:space="preserve"> от 18 июля 2011 года N 223-ФЗ «О закупках товаров, работ, услуг отдельными видами юридических лиц»).</w:t>
      </w:r>
    </w:p>
    <w:p w14:paraId="14B12CDA" w14:textId="77777777" w:rsidR="00481A29" w:rsidRPr="00883A81" w:rsidRDefault="00481A29" w:rsidP="00BE213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33 Закона о защите конкуренции</w:t>
      </w:r>
      <w:r w:rsidRPr="00883A81">
        <w:rPr>
          <w:rFonts w:ascii="Times New Roman" w:hAnsi="Times New Roman" w:cs="Times New Roman"/>
          <w:sz w:val="28"/>
          <w:szCs w:val="28"/>
        </w:rPr>
        <w:t xml:space="preserve">. 30-дневный срок рассмотрения ходатайства может быть продлен не более чем на два месяца. В сложных и комплексных делах, в особенности, когда есть необходимость сбора обширного объема информации / учета мнений иных государственных органов, вышеуказанный максимальный трехмесячный срок недостаточен, и антимонопольный орган порой вынужден отказывать в удовлетворении ходатайства. </w:t>
      </w:r>
    </w:p>
    <w:p w14:paraId="6C127558"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увеличить возможность продления срока рассмотрения ходатайства в общей сложности до 12 месяцев в исключительных случаях. Установить критерии исключительности.</w:t>
      </w:r>
    </w:p>
    <w:p w14:paraId="1B2C9C1E" w14:textId="77777777" w:rsidR="00481A29" w:rsidRPr="00883A81" w:rsidRDefault="00481A29" w:rsidP="00BE213D">
      <w:pPr>
        <w:keepNext/>
        <w:widowControl w:val="0"/>
        <w:numPr>
          <w:ilvl w:val="0"/>
          <w:numId w:val="15"/>
        </w:numPr>
        <w:spacing w:after="0" w:line="240" w:lineRule="auto"/>
        <w:ind w:left="0" w:firstLine="709"/>
        <w:jc w:val="both"/>
        <w:rPr>
          <w:rFonts w:ascii="Times New Roman" w:hAnsi="Times New Roman" w:cs="Times New Roman"/>
          <w:b/>
          <w:i/>
          <w:sz w:val="28"/>
          <w:szCs w:val="28"/>
        </w:rPr>
      </w:pPr>
      <w:r w:rsidRPr="00883A81">
        <w:rPr>
          <w:rFonts w:ascii="Times New Roman" w:hAnsi="Times New Roman" w:cs="Times New Roman"/>
          <w:b/>
          <w:i/>
          <w:sz w:val="28"/>
          <w:szCs w:val="28"/>
        </w:rPr>
        <w:t>По части 2 статьи 39.1 Закона о защите конкуренции</w:t>
      </w:r>
      <w:r w:rsidRPr="00883A81">
        <w:rPr>
          <w:rFonts w:ascii="Times New Roman" w:hAnsi="Times New Roman" w:cs="Times New Roman"/>
          <w:sz w:val="28"/>
          <w:szCs w:val="28"/>
        </w:rPr>
        <w:t xml:space="preserve">. Сфера антимонопольного регулирования в Российской Федерации достигла уровня, при котором хозяйствующие субъекты должны иметь реальный стимул участия в развитии конкуренции и превенции правонарушений. В российском законодательстве сложилась необходимая база для того, чтобы побудить хозяйствующих субъектов внедрять в свою деятельность антимонопольный комплаенс. Наличие действующего антимонопольного комплаенса является гарантией добросовестности хозяйствующего субъекта. При этом, в текущей редакции Закона о защите конкуренции предусмотрен механизм предупреждения, который обязательно должен предшествовать возбуждению дел о нарушении антимонопольного законодательства по отдельным составам. В отношении остальных составов антимонопольных нарушений (т.е. тех, по которым сейчас не предусмотрено предупреждений) также ввести механизм предупреждений, если у компании внедрена надлежащая программа комплаенса. В такой ситуации отклонение от требований антимонопольного законодательства, скорей всего, будет вызвано игнорированием таких требований отдельными сотрудниками компании, а не общей антиконкурентной направленностью действий самой компании. Поэтому механизм предупреждения позволит оперативно исправить нарушение, опираясь на внутреннюю систему комплаенса самой компании. </w:t>
      </w:r>
    </w:p>
    <w:p w14:paraId="196DFB2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дополнить ч.2 ст. 39.1 абзацем 2 следующего содержания: «Предупреждение выдается лицам, указанным в части 1 настоящей статьи, в случае выявления признаков нарушения ч.1 ст. 10, ч. 1-5 ст. 11, статей 14.1, 14.2, 14.3, 14.4, 14.5, 14.6, 14.7, 14.8 настоящего Федерального закона, при наличии у них системы антимонопольного комплаенса, действующей в порядке, установленном федеральным антимонопольным органом.  Принятие антимонопольным органом решения о возбуждении дела о нарушении ч.1 ст. 10, ч. 1-5 ст. 11, статей 14.1, 14.2, 14.3, 14.4, 14.5, 14.6, 14.7, 14.8 настоящего Федерального закона вынесения предупреждения и до завершения срока его выполнения не допускается».</w:t>
      </w:r>
    </w:p>
    <w:p w14:paraId="2B48A8E3" w14:textId="77777777" w:rsidR="00481A29" w:rsidRPr="00883A81" w:rsidRDefault="00481A29" w:rsidP="00BE213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части 7 статьи 44 Закона о защите конкуренции</w:t>
      </w:r>
      <w:r w:rsidRPr="00883A81">
        <w:rPr>
          <w:rFonts w:ascii="Times New Roman" w:hAnsi="Times New Roman" w:cs="Times New Roman"/>
          <w:sz w:val="28"/>
          <w:szCs w:val="28"/>
        </w:rPr>
        <w:t xml:space="preserve">. Согласно действующей редакции части 7 статьи 44 Закона о защите конкуренции при рассмотрении заявления, материалов, указывающих на наличие признаков нарушения статьи 10 Закона о защите конкуренции, антимонопольный орган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статьи 44 Закона о защите конкуренции. Представляется, что установление доминирующего положения хозяйствующего субъекта, в отношении которого поданы эти заявления, материалы, невозможно без проведения соответствующего анализа состояния конкуренции на товарном рынке. Однако, в законе нет соответствующего требования. В Административном регламенте ФАС России по исполнению государственной функции по установлению доминирующего положения хозяйствующего субъекта также прямо не предусмотрено, что перед возбуждением дела по признакам злоупотребления доминирующим положением анализ рынка должен быть проведен. </w:t>
      </w:r>
    </w:p>
    <w:p w14:paraId="1D83DC44"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7 статьи 44 Закона о защите конкуренции и изложить в следующей редакции: «7. При рассмотрении заявления, материалов, указывающих на наличие признаков нарушения статьи 10 настоящего Федерального закона, антимонопольный орган проводит анализ состояния конкуренции на товарном рынке и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настоящей статьи».</w:t>
      </w:r>
    </w:p>
    <w:p w14:paraId="66A5E156" w14:textId="77777777" w:rsidR="00481A29" w:rsidRPr="00883A81" w:rsidRDefault="00481A29" w:rsidP="00BE213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По части 4 статьи 48.1 Закона о защите конкуренции. </w:t>
      </w:r>
      <w:r w:rsidRPr="00883A81">
        <w:rPr>
          <w:rFonts w:ascii="Times New Roman" w:hAnsi="Times New Roman" w:cs="Times New Roman"/>
          <w:sz w:val="28"/>
          <w:szCs w:val="28"/>
        </w:rPr>
        <w:t xml:space="preserve">Увеличение периода между датой направления в адрес хозяйствующего субъекта заключения об обстоятельствах дела и датой проведения очередного заседания комиссии по делу о нарушении антимонопольного законодательства. Описание проблемы. Практика применения ст. 48.1  Закона о защите конкуренции в части принятия в рамках каждого дела о нарушения антимонопольного законодательства заключения об обстоятельствах дела показала, что определенный законом порядок назначения очередной даты заседания комиссии по делу после принятия указанного заключения не обеспечивает реализацию законных прав хозяйствующих субъектов, участвующих в деле, в т.ч. препятствует качественной и своевременной подготовке ими  в письменной форме доводов в отношении обстоятельств, изложенных в заключении.  Такая ситуация обусловлена тем, что минимальный срок назначения следующего (финального) заседания по делу отсчитывается от дня направления заключения в адрес хозяйствующего субъекта, т.е. от события, которое не зависит от хозяйствующего субъекта. Кроме того, такой минимальный срок составляет лишь 5 дней. Таким образом, при определении даты очередного заседания комиссии по делу не учитывается факт получения или неполучения хозяйствующим субъектом заключения об обстоятельствах дела, т.е. документа, на который он должен представить возражения именно на это заседание комиссии. В случае, если комиссия по делу одновременно с заключением об обстоятельствах дела принимает также и аналитический отчет, то ситуация доходит до критической. Хозяйствующий субъект фактически лишен возможности возражать относительно вменяемого нарушения.  </w:t>
      </w:r>
    </w:p>
    <w:p w14:paraId="04C288C5" w14:textId="09CA9030"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ст. 48.1 Закона о защите конкуренции, увеличив минимальный срок до следующего заседания комиссии, и/или зам</w:t>
      </w:r>
      <w:r w:rsidR="00E03C04">
        <w:rPr>
          <w:rFonts w:ascii="Times New Roman" w:hAnsi="Times New Roman" w:cs="Times New Roman"/>
          <w:sz w:val="28"/>
          <w:szCs w:val="28"/>
        </w:rPr>
        <w:t xml:space="preserve">енить дату </w:t>
      </w:r>
      <w:r w:rsidRPr="00883A81">
        <w:rPr>
          <w:rFonts w:ascii="Times New Roman" w:hAnsi="Times New Roman" w:cs="Times New Roman"/>
          <w:sz w:val="28"/>
          <w:szCs w:val="28"/>
        </w:rPr>
        <w:t>отсчета этого срока с даты направления на дату получения хозяйствующим субъектом заключения об обстоятельствах дела.</w:t>
      </w:r>
    </w:p>
    <w:p w14:paraId="3605AFF4" w14:textId="77777777" w:rsidR="00481A29" w:rsidRPr="00883A81" w:rsidRDefault="00481A29" w:rsidP="00BE213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главе 9 Закона о защите конкуренции («Рассмотрение дел о нарушении антимонопольного законодательства»)</w:t>
      </w:r>
      <w:r w:rsidRPr="00883A81">
        <w:rPr>
          <w:rFonts w:ascii="Times New Roman" w:hAnsi="Times New Roman" w:cs="Times New Roman"/>
          <w:sz w:val="28"/>
          <w:szCs w:val="28"/>
        </w:rPr>
        <w:t xml:space="preserve">. Основанием для возбуждения и рассмотрения антимонопольным органом дела о нарушении антимонопольного законодательства является, в т.ч. заявление юридического или физического лица («Заявитель»), указывающее на признаки нарушения антимонопольного законодательства («Заявление»).  Получив Заявление, антимонопольный орган имеет право запросить у лица, в отношении которого рассматривается вопрос о возбуждении дела («Ответчик по делу»), необходимую информацию и документы, а Ответчик по делу обязан их предоставить. При этом, антимонопольный орган не имеет права передавать копию Заявления и приложенных к ней материалов Ответчику по делу. Ответчик по делу не может с ними знакомится до возбуждения дела. В случае, если по результатам рассмотрения Заявления и представленных Ответчиком по делу пояснений и материалов дело не возбуждается, антимонопольный орган информирует только Заявителя, а Ответчик по делу остается неосведомленным о результатах. </w:t>
      </w:r>
    </w:p>
    <w:p w14:paraId="133BFAE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Таким образом, основная проблема состоит в следующем. У Ответчика по делу отсутствует возможность представления наиболее полных пояснений без ознакомления с Заявлением/всех материалов, описывающих предполагаемое нарушение; Ответчик по делу предоставляет пояснения и большой объем документов и информации по запросу антимонопольного органа до возбуждения дела. В случае, если позиция Ответчика по делу правомерна и дело не возбуждено, Ответчик по делу не имеет информации о решении не возбуждать дело, и об основаниях этого решения.</w:t>
      </w:r>
    </w:p>
    <w:p w14:paraId="7F166DC0"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Предлагаем </w:t>
      </w:r>
      <w:r w:rsidRPr="00883A81">
        <w:rPr>
          <w:rFonts w:ascii="Times New Roman" w:hAnsi="Times New Roman" w:cs="Times New Roman"/>
          <w:sz w:val="28"/>
          <w:szCs w:val="28"/>
        </w:rPr>
        <w:t>наделить ответчика по делу об отказе в возбуждении дела и причинах такого отказа правом ознакомления со всеми материалами Заявителя/антимонопольного органа в этой связи.</w:t>
      </w:r>
    </w:p>
    <w:p w14:paraId="1A7D512B" w14:textId="77777777" w:rsidR="00481A29" w:rsidRPr="00883A81" w:rsidRDefault="00481A29" w:rsidP="00BE213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У членов ОКЮР также есть предложения по корректировке ряда положений </w:t>
      </w:r>
      <w:r w:rsidRPr="00883A81">
        <w:rPr>
          <w:rFonts w:ascii="Times New Roman" w:hAnsi="Times New Roman" w:cs="Times New Roman"/>
          <w:b/>
          <w:sz w:val="28"/>
          <w:szCs w:val="28"/>
        </w:rPr>
        <w:t>приказа ФАС России от 28.04.2010 № 220 «Об утверждении Порядка проведения анализа состояния конкуренции на товарном рынке»</w:t>
      </w:r>
      <w:r w:rsidRPr="00883A81">
        <w:rPr>
          <w:rFonts w:ascii="Times New Roman" w:hAnsi="Times New Roman" w:cs="Times New Roman"/>
          <w:sz w:val="28"/>
          <w:szCs w:val="28"/>
        </w:rPr>
        <w:t>:</w:t>
      </w:r>
    </w:p>
    <w:p w14:paraId="549FA02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(1) </w:t>
      </w:r>
      <w:r w:rsidRPr="00883A81">
        <w:rPr>
          <w:rFonts w:ascii="Times New Roman" w:hAnsi="Times New Roman" w:cs="Times New Roman"/>
          <w:sz w:val="28"/>
          <w:szCs w:val="28"/>
        </w:rPr>
        <w:t xml:space="preserve">Приказ ФАС России № 220 устанавливает </w:t>
      </w:r>
      <w:r w:rsidRPr="00883A81">
        <w:rPr>
          <w:rFonts w:ascii="Times New Roman" w:hAnsi="Times New Roman" w:cs="Times New Roman"/>
          <w:b/>
          <w:i/>
          <w:sz w:val="28"/>
          <w:szCs w:val="28"/>
        </w:rPr>
        <w:t>исключительно общие принципы</w:t>
      </w:r>
      <w:r w:rsidRPr="00883A81">
        <w:rPr>
          <w:rFonts w:ascii="Times New Roman" w:hAnsi="Times New Roman" w:cs="Times New Roman"/>
          <w:sz w:val="28"/>
          <w:szCs w:val="28"/>
        </w:rPr>
        <w:t xml:space="preserve"> определения товарных рынков, их географических и продуктовых границ, состава хозяйствующих субъектов, действующих на рынках. Вместе с тем, деятельность по перевозке пассажиров и грузов воздушного транспорта сопряжена со спецификой данного вида деятельности, в том числе, в части формирования тарифов на авиаперевозку, не зависящую от себестоимости перевозки.  Применение общих принципов определения товарных рынков к авиаперевозкам сопряжено с тем, что ряд существенных и имеющих основополагающее значение условий при установлении признаков нарушений законодательства не учитываются. Указанное приводит к возбуждению антимонопольными органами заведомо необоснованных дел, на основании общих положений, не учитывающих специфику авиаперевозок. </w:t>
      </w:r>
    </w:p>
    <w:p w14:paraId="0AD10272"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внести изменения в Приказ ФАС России от 28.04.2010 N 220 «Об утверждении Порядка проведения анализа состояния конкуренции на товарном рынке», устанавливающие: </w:t>
      </w:r>
    </w:p>
    <w:p w14:paraId="0F577AF3"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для анализа рынка воздушной перевозки пассажиров и грузов, учитывающих специфику формирования тарифов на авиаперевозку, не зависящую от себестоимости перевозки;</w:t>
      </w:r>
    </w:p>
    <w:p w14:paraId="2A14843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географических границ товарных рынков, с учетом специфики субъектов хозяйственной деятельности в области авиаперевозок; </w:t>
      </w:r>
    </w:p>
    <w:p w14:paraId="7020CD7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обязательность учета специфики перевозок в части анализа полного технологического цикла наземного обслуживания грузовых перевозок в базовом аэропорту.</w:t>
      </w:r>
    </w:p>
    <w:p w14:paraId="3577B490" w14:textId="77777777" w:rsidR="00481A29" w:rsidRPr="00883A81" w:rsidRDefault="00481A29" w:rsidP="00BE213D">
      <w:pPr>
        <w:keepNext/>
        <w:widowControl w:val="0"/>
        <w:numPr>
          <w:ilvl w:val="0"/>
          <w:numId w:val="22"/>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По пункту 3.3 Приказа № 220</w:t>
      </w:r>
      <w:r w:rsidRPr="00883A81">
        <w:rPr>
          <w:rFonts w:ascii="Times New Roman" w:hAnsi="Times New Roman" w:cs="Times New Roman"/>
          <w:sz w:val="28"/>
          <w:szCs w:val="28"/>
        </w:rPr>
        <w:t xml:space="preserve">. На практике в случаях, когда хозяйствующие субъекты осуществляют продажи товаров посредством различных каналов (например, онлайн- и офлайн-продажи), каждый из таких каналов может быть рассмотрен как отдельный рынок, так и как сегмент одного и того же рынка. В настоящее время отсутствуют базовые правила анализа такой ситуации и их необходимо включить в Приказ ФАС России № 220. </w:t>
      </w:r>
    </w:p>
    <w:p w14:paraId="4C56B9E0"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дополнить п.3.3. Приказа ФАС России № 220 абзацем 10 следующего содержания: «Рассматриваемый товар может реализовываться посредством различных каналов продаж. Такие каналы продаж следует анализировать на предмет возможности выделения их в отдельные товарные рынки с учетом объемов реализации товаров через каждый из таких каналов, степени доступности для потребителей каждого из каналов, различий продукции, реализуемых в каждом канале и иных факторов».</w:t>
      </w:r>
    </w:p>
    <w:p w14:paraId="36259DBE"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5C2153EB"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 xml:space="preserve">2. Совершенствование Федерального закона от 18.07.2011 </w:t>
      </w:r>
      <w:r w:rsidR="004B6BE1">
        <w:rPr>
          <w:rFonts w:ascii="Times New Roman" w:hAnsi="Times New Roman" w:cs="Times New Roman"/>
          <w:b/>
          <w:sz w:val="28"/>
          <w:szCs w:val="28"/>
        </w:rPr>
        <w:t>№</w:t>
      </w:r>
      <w:r w:rsidRPr="004B6BE1">
        <w:rPr>
          <w:rFonts w:ascii="Times New Roman" w:hAnsi="Times New Roman" w:cs="Times New Roman"/>
          <w:b/>
          <w:sz w:val="28"/>
          <w:szCs w:val="28"/>
        </w:rPr>
        <w:t xml:space="preserve">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059D4CAB" w14:textId="77777777" w:rsidR="00481A29" w:rsidRPr="00883A81" w:rsidRDefault="00481A29" w:rsidP="00BE213D">
      <w:pPr>
        <w:keepNext/>
        <w:widowControl w:val="0"/>
        <w:numPr>
          <w:ilvl w:val="0"/>
          <w:numId w:val="16"/>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Правоприменительная практика ФАС России исходит из недопустимости включения в закупочную документацию условий о запрете на привлечение субподрядчиков / ограничении объема работ, который может быть передан на субподряд</w:t>
      </w:r>
      <w:r w:rsidRPr="00883A81">
        <w:rPr>
          <w:rStyle w:val="af0"/>
          <w:rFonts w:ascii="Times New Roman" w:hAnsi="Times New Roman" w:cs="Times New Roman"/>
          <w:i/>
          <w:sz w:val="28"/>
          <w:szCs w:val="28"/>
        </w:rPr>
        <w:footnoteReference w:id="31"/>
      </w:r>
      <w:r w:rsidRPr="00883A81">
        <w:rPr>
          <w:rFonts w:ascii="Times New Roman" w:hAnsi="Times New Roman" w:cs="Times New Roman"/>
          <w:sz w:val="28"/>
          <w:szCs w:val="28"/>
        </w:rPr>
        <w:t xml:space="preserve">. </w:t>
      </w:r>
    </w:p>
    <w:p w14:paraId="7E92FDFB"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В соответствии с пунктом 2 части 1 статьи 3 Федерального закона от 18.07.2011 №223-ФЗ «О закупках товаров, работ, услуг отдельными видами юридических лиц»</w:t>
      </w:r>
      <w:r w:rsidRPr="00883A81">
        <w:rPr>
          <w:rFonts w:ascii="Times New Roman" w:hAnsi="Times New Roman" w:cs="Times New Roman"/>
          <w:b/>
          <w:sz w:val="28"/>
          <w:szCs w:val="28"/>
        </w:rPr>
        <w:t xml:space="preserve"> </w:t>
      </w:r>
      <w:r w:rsidRPr="00883A81">
        <w:rPr>
          <w:rFonts w:ascii="Times New Roman" w:hAnsi="Times New Roman" w:cs="Times New Roman"/>
          <w:sz w:val="28"/>
          <w:szCs w:val="28"/>
        </w:rPr>
        <w:t xml:space="preserve">при закупке товаров, работ, услуг заказчики руководствуются следующими принципами: равноправие, справедливость, отсутствие дискриминации и необоснованных ограничений конкуренции по отношению к участникам закупки. Полагаем, что установление в документации о закупке и договоре на выполнение работ о личном исполнении подрядчиком обязанностей по договору не противоречит действующему законодательству о закупках и не может рассматриваться как незаконное ограничение конкуренции. </w:t>
      </w:r>
    </w:p>
    <w:p w14:paraId="6826796C" w14:textId="77777777" w:rsidR="00481A29" w:rsidRPr="00883A81" w:rsidRDefault="000C4795" w:rsidP="00C63A1D">
      <w:pPr>
        <w:keepNext/>
        <w:widowControl w:val="0"/>
        <w:spacing w:after="0" w:line="240" w:lineRule="auto"/>
        <w:ind w:firstLine="709"/>
        <w:jc w:val="both"/>
        <w:rPr>
          <w:rFonts w:ascii="Times New Roman" w:hAnsi="Times New Roman" w:cs="Times New Roman"/>
          <w:sz w:val="28"/>
          <w:szCs w:val="28"/>
        </w:rPr>
      </w:pPr>
      <w:hyperlink r:id="rId72" w:history="1">
        <w:r w:rsidR="00481A29" w:rsidRPr="00883A81">
          <w:rPr>
            <w:rFonts w:ascii="Times New Roman" w:hAnsi="Times New Roman" w:cs="Times New Roman"/>
            <w:sz w:val="28"/>
            <w:szCs w:val="28"/>
          </w:rPr>
          <w:t>Закон</w:t>
        </w:r>
      </w:hyperlink>
      <w:r w:rsidR="00481A29" w:rsidRPr="00883A81">
        <w:rPr>
          <w:rFonts w:ascii="Times New Roman" w:hAnsi="Times New Roman" w:cs="Times New Roman"/>
          <w:sz w:val="28"/>
          <w:szCs w:val="28"/>
        </w:rPr>
        <w:t xml:space="preserve"> о закупках направлен не на то, чтобы обеспечить максимально возможный круг участников закупки, а на выявление в результате торгов лиц, которые будут способны своевременно и полно удовлетворить потребности заказчиков в товарах, работах, услугах с необходимыми показателями цены, качества и надежности. Установление в закупочной документации требований к участникам закупки и к самому предмету закупки (товарам, работам, услугам) естественным образом ограничивает количество участников закупки, поскольку не все организации или физические лица способны своевременно и полно удовлетворить потребности заказчиков в товарах, работах, услугах с необходимыми показателями цены, качества и надежности, однако, указанное ограничение не может считаться незаконным ограничением конкуренции. При этом, условие Документации о закупке, устанавливающее запрет на привлечение участником закупки для исполнения договора, заключенного по результатам закупочных процедур, субподрядчиков или соисполнителей, не является требованием, предъявляемым к участнику закупки, а относится к способу и порядку исполнения договора и соответствует положениям </w:t>
      </w:r>
      <w:hyperlink r:id="rId73" w:history="1">
        <w:r w:rsidR="00481A29" w:rsidRPr="00883A81">
          <w:rPr>
            <w:rFonts w:ascii="Times New Roman" w:hAnsi="Times New Roman" w:cs="Times New Roman"/>
            <w:sz w:val="28"/>
            <w:szCs w:val="28"/>
          </w:rPr>
          <w:t>статей 706</w:t>
        </w:r>
      </w:hyperlink>
      <w:r w:rsidR="00481A29" w:rsidRPr="00883A81">
        <w:rPr>
          <w:rFonts w:ascii="Times New Roman" w:hAnsi="Times New Roman" w:cs="Times New Roman"/>
          <w:sz w:val="28"/>
          <w:szCs w:val="28"/>
        </w:rPr>
        <w:t xml:space="preserve"> и </w:t>
      </w:r>
      <w:hyperlink r:id="rId74" w:history="1">
        <w:r w:rsidR="00481A29" w:rsidRPr="00883A81">
          <w:rPr>
            <w:rFonts w:ascii="Times New Roman" w:hAnsi="Times New Roman" w:cs="Times New Roman"/>
            <w:sz w:val="28"/>
            <w:szCs w:val="28"/>
          </w:rPr>
          <w:t>780</w:t>
        </w:r>
      </w:hyperlink>
      <w:r w:rsidR="00481A29" w:rsidRPr="00883A81">
        <w:rPr>
          <w:rFonts w:ascii="Times New Roman" w:hAnsi="Times New Roman" w:cs="Times New Roman"/>
          <w:sz w:val="28"/>
          <w:szCs w:val="28"/>
        </w:rPr>
        <w:t xml:space="preserve"> Гражданского кодекса Российской Федерации, предоставляющим возможность включения в договор условия о личном выполнении подрядчиком работ (оказании услуг).  </w:t>
      </w:r>
    </w:p>
    <w:p w14:paraId="270D0C29"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Включение в документацию о закупках спорного условия также не противоречит Закону о закупках и Закону о защите конкуренции, поскольку при проведении закупочных процедур заказчик не ограничен в вопросах формирования системы закупок, позволяющей выявить участника закупки, способного своевременно и качественно удовлетворить потребности заказчика в товарах, работах, услугах с необходимыми показателями цены, качества и надежности. Условие о выполнении работ, являющихся предметом закупки, собственными силами может рассматриваться как нарушающее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Антимонопольному органу необходимо установить, что условие о недопустимости привлечения исполнителем субподрядчиков или соисполнителей было включено для того, чтобы обеспечить победу в запросе предложений конкретного хозяйствующего субъекта, либо иным способом ограничить доступ хозяйствующим субъектам к участию в запросе предложений. </w:t>
      </w:r>
    </w:p>
    <w:p w14:paraId="3A985843"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Приведенный подход полностью соотносится с правовыми позициями Верховного Суда Российской Федерации и суда кассационной инстанции (п. 29 Обзора судебной практики Верховного Суда Российской Федерации № 5 (2017)</w:t>
      </w:r>
      <w:r w:rsidRPr="00883A81">
        <w:rPr>
          <w:rFonts w:ascii="Times New Roman" w:hAnsi="Times New Roman" w:cs="Times New Roman"/>
          <w:sz w:val="28"/>
          <w:szCs w:val="28"/>
        </w:rPr>
        <w:footnoteReference w:id="32"/>
      </w:r>
      <w:r w:rsidRPr="00883A81">
        <w:rPr>
          <w:rFonts w:ascii="Times New Roman" w:hAnsi="Times New Roman" w:cs="Times New Roman"/>
          <w:sz w:val="28"/>
          <w:szCs w:val="28"/>
        </w:rPr>
        <w:t xml:space="preserve">, </w:t>
      </w:r>
      <w:hyperlink r:id="rId75" w:history="1">
        <w:r w:rsidRPr="00883A81">
          <w:rPr>
            <w:rFonts w:ascii="Times New Roman" w:hAnsi="Times New Roman" w:cs="Times New Roman"/>
            <w:sz w:val="28"/>
            <w:szCs w:val="28"/>
          </w:rPr>
          <w:t>Определение</w:t>
        </w:r>
      </w:hyperlink>
      <w:r w:rsidRPr="00883A81">
        <w:rPr>
          <w:rFonts w:ascii="Times New Roman" w:hAnsi="Times New Roman" w:cs="Times New Roman"/>
          <w:sz w:val="28"/>
          <w:szCs w:val="28"/>
        </w:rPr>
        <w:t xml:space="preserve"> Верховного Суда РФ от 31.07.2017 № 305-КГ17-2243, </w:t>
      </w:r>
      <w:hyperlink r:id="rId76" w:history="1">
        <w:r w:rsidRPr="00883A81">
          <w:rPr>
            <w:rFonts w:ascii="Times New Roman" w:hAnsi="Times New Roman" w:cs="Times New Roman"/>
            <w:sz w:val="28"/>
            <w:szCs w:val="28"/>
          </w:rPr>
          <w:t>Определение</w:t>
        </w:r>
      </w:hyperlink>
      <w:r w:rsidRPr="00883A81">
        <w:rPr>
          <w:rFonts w:ascii="Times New Roman" w:hAnsi="Times New Roman" w:cs="Times New Roman"/>
          <w:sz w:val="28"/>
          <w:szCs w:val="28"/>
        </w:rPr>
        <w:t xml:space="preserve"> Верховного Суда РФ от 20.07.2017 № 305-КГ17-3423, </w:t>
      </w:r>
      <w:hyperlink r:id="rId77" w:history="1">
        <w:r w:rsidRPr="00883A81">
          <w:rPr>
            <w:rFonts w:ascii="Times New Roman" w:hAnsi="Times New Roman" w:cs="Times New Roman"/>
            <w:sz w:val="28"/>
            <w:szCs w:val="28"/>
          </w:rPr>
          <w:t>постановление</w:t>
        </w:r>
      </w:hyperlink>
      <w:r w:rsidRPr="00883A81">
        <w:rPr>
          <w:rFonts w:ascii="Times New Roman" w:hAnsi="Times New Roman" w:cs="Times New Roman"/>
          <w:sz w:val="28"/>
          <w:szCs w:val="28"/>
        </w:rPr>
        <w:t xml:space="preserve"> Арбитражного суда Московского округа от 20.04.2017 № А40-97023/16, постановление Арбитражного суда Московского округа от 02.11.2017 по делу № А40-230801/16). </w:t>
      </w:r>
    </w:p>
    <w:p w14:paraId="017ED43E"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 целях исключения принятия антимонопольными органами неправомерных решений, искажающих смысл положений Закона о закупках, напрямую учесть указанные позиции ВС РФ в тексте Закона о закупках.</w:t>
      </w:r>
    </w:p>
    <w:p w14:paraId="79A0F017" w14:textId="77777777" w:rsidR="00481A29" w:rsidRPr="00883A81" w:rsidRDefault="00481A29" w:rsidP="00BE213D">
      <w:pPr>
        <w:keepNext/>
        <w:widowControl w:val="0"/>
        <w:numPr>
          <w:ilvl w:val="0"/>
          <w:numId w:val="16"/>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ФАСом России не обеспечивается соблюдение определенных в судебной практике стандартов доказывания при установлении нарушений, связанных с включением в закупочную документацию «избыточных» требований к участникам закупки</w:t>
      </w:r>
      <w:r w:rsidRPr="00883A81">
        <w:rPr>
          <w:rFonts w:ascii="Times New Roman" w:hAnsi="Times New Roman" w:cs="Times New Roman"/>
          <w:sz w:val="28"/>
          <w:szCs w:val="28"/>
        </w:rPr>
        <w:t xml:space="preserve">. Так, при проведении конкурентного отбора подрядчика / исполнителя с целью выполнения технически сложных проектов (в особенности проектов «под ключ), в т.ч., в регионах со сложными природно-климатическими условиями, особую значимость приобретает наличие у участников закупочной процедуры достаточного опыта, квалификации, материально-технических и квалификационных ресурсов. В такой ситуации выбор в наибольшей степени удовлетворяющего потребностям заказчика подрядчика / исполнителя возможен лишь при условии подтверждения соответствия потенциальных участников минимальным требованиям заказчика (в части указанных выше параметров). К сожалению, антимонопольный орган не учитывает данный подход, рассматривая в качестве нарушения требований законодательства о закупках любое указание на необходимость подтвердить соответствие приведенным параметрам на этапе отбора заявок. </w:t>
      </w:r>
    </w:p>
    <w:p w14:paraId="2E278A95"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Вместе с тем, как указал Верховный Суд Российской Федерации в Определении от 21.08.2014 по делу № А05-10778/13, субъекты предпринимательской деятельности по условиям делового оборота при выборе контрагентов должны оценивать не только условия сделки и их коммерческую привлекательность, но и деловую репутацию, платежеспособность контрагента, а также риск неисполнения обязательств и предоставление обеспечения их исполнения, наличие у контрагента необходимых ресурсов (производственных мощностей, технологического оборудования, квалифицированного персонала) и соответствующего опыта. Кроме того, Президиумом Высшего арбитражного суда Российской Федерации в постановлении от 28.12.2010 № 11017/10 было указано, что основной задачей законодательства, устанавливающего порядок проведения торгов, является не столько обеспечение максимально широкого круга участников размещения заказов, сколько выявление в результате торгов лица, исполнение контракта которым в наибольшей степени будет отвечать целям эффективного использования источников финансирования, предотвращения злоупотреблений в сфере размещения заказов. Таким образом, включение в документацию о торгах условий, которые в итоге приводят к исключению из круга участников размещения заказа лиц, не отвечающих таким целям, не может рассматриваться как ограничение доступа к участию в торгах и не является нарушением статьи 17 Закона о защите конкуренции. Аналогичная правовая позиция высказывалась Судебной коллегией по экономическим спорам Верховного Суда Российской Федерации в Определении № 309-КГ17-7502 от 02.10.2017, Определении № 305-КГ17-8138 от 13.10.2017. В Определении Верховного Суда Российской Федерации от 31.07.2017 № 305-КГ17-2243 разъяснено, что заказчикам предоставлено право сформировать свою систему закупок в зависимости от особенностей осуществления деятельности, установив при необходимости дополнительные требования к участникам закупки. Данное право на разработку и утверждение Положения о закупке согласуется с целями и задачами Закона о закупках, направленными в первую очередь на выявление в результате закупочных процедур лица, исполнение контракта которым в наибольшей степени будет отвечать целям эффективного использования источников финансирования, удовлетворения потребности заказчиков в товарах, работах, услугах с необходимыми показателями цены, качества и надежности. Следовательно, при оценке Документации о закупке на предмет ее соответствия положениям Закона о закупках, </w:t>
      </w:r>
      <w:r w:rsidRPr="00883A81">
        <w:rPr>
          <w:rFonts w:ascii="Times New Roman" w:hAnsi="Times New Roman" w:cs="Times New Roman"/>
          <w:i/>
          <w:sz w:val="28"/>
          <w:szCs w:val="28"/>
        </w:rPr>
        <w:t>необходимо оценивать параметры и качественные характеристики проводимой закупки, выяснять действительную потребность в установлении заказчиком дополнительных требований, учитывая заинтересованность такого лица в рациональном расходовании средств и достижении максимального результата</w:t>
      </w:r>
      <w:r w:rsidRPr="00883A81">
        <w:rPr>
          <w:rFonts w:ascii="Times New Roman" w:hAnsi="Times New Roman" w:cs="Times New Roman"/>
          <w:sz w:val="28"/>
          <w:szCs w:val="28"/>
        </w:rPr>
        <w:t xml:space="preserve">. </w:t>
      </w:r>
    </w:p>
    <w:p w14:paraId="3DFC4E9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Полагаем, что требования к участникам закупки могут рассматриваться как нарушающие действующее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 формирование условий закупки не соответствует целям и потребностям проводимых заказчиком процедур. Указанное означает, что для установления факта нарушения законодательства о закупках недостаточно просто выявления такого рода требований в составе отборочных критериев (критериев, при несоответствии которым участник не допускается к дальнейшему участию в закупочной процедуре) – необходимо провести качественный анализ таких требований (оценить их на предмет разумности / избыточности, в т.ч. с учетом параметров участников закупки). </w:t>
      </w:r>
    </w:p>
    <w:p w14:paraId="1360F119"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 целях обеспечения единообразной практики и правильного толкования положений Закона о закупках, учесть указанные позиции Верховного суда РФ в тексте Закона о закупках.</w:t>
      </w:r>
    </w:p>
    <w:p w14:paraId="090DFC90" w14:textId="77777777" w:rsidR="00481A29" w:rsidRPr="00883A81" w:rsidRDefault="00481A29" w:rsidP="00BE213D">
      <w:pPr>
        <w:keepNext/>
        <w:widowControl w:val="0"/>
        <w:numPr>
          <w:ilvl w:val="0"/>
          <w:numId w:val="16"/>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параграфу 2 Главы 3 Федерального закона от 05.04.2013 №44-ФЗ «О контрактной системе в сфере закупок товаров, работ, услуг для обеспечения государственных и муниципальных нужд»</w:t>
      </w:r>
      <w:r w:rsidRPr="00883A81">
        <w:rPr>
          <w:rFonts w:ascii="Times New Roman" w:hAnsi="Times New Roman" w:cs="Times New Roman"/>
          <w:sz w:val="28"/>
          <w:szCs w:val="28"/>
        </w:rPr>
        <w:t xml:space="preserve">. В связи с отсутствием унифицированной Формы 2 «Сведения о качестве, технических характеристиках товара, его безопасности, функциональных характеристиках (потребительских свойствах) товара», оформляемой при подготовке первых частей заявок на участие в аукционах и, в некоторых случаях, на участие в конкурсах, проводимых в рамках Федерального закона от 05.04.2013 №44-ФЗ «О контрактной системе в сфере закупок товаров, работ, услуг для обеспечения государственных и муниципальных нужд» недобросовестные заказчики искусственно усложняют Форму 2, а также правила по ее заполнению. Указанные действия совершаются с целью ограничения конкуренции, для предоставления преимуществ конкретному Исполнителю. </w:t>
      </w:r>
    </w:p>
    <w:p w14:paraId="789EE7C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w:t>
      </w:r>
    </w:p>
    <w:p w14:paraId="032F3B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1) Утвердить единую унифицированную Форму 2 «Сведения о качестве, технических характеристиках товара, его безопасности, функциональных характеристиках (потребительских свойствах) товара» и порядок ее заполнения. Утверждение единой унифицированной Формы 2 и порядка ее заполнения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 </w:t>
      </w:r>
    </w:p>
    <w:p w14:paraId="460B695B"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2) Обеспечить автоматизацию процесса заполнения Формы 2 «Сведения о качестве, технических характеристиках товара, его безопасности, функциональных характеристиках (потребительских свойствах) товара» посредством разработки специальной  программы для ЭВМ и ее интеграции на электронных площадках. В Программе для ЭВМ заказчики/исполнители будут заполнять Форму 2. Указанная Программа для ЭВМ будет выводить исполнителю уведомления, что введенные параметры не соответствуют требованиям заказчика и предложит исполнителю внести правки. Разработка и интеграция указанной Программы для ЭВМ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w:t>
      </w:r>
    </w:p>
    <w:p w14:paraId="3ED5B48F" w14:textId="77777777" w:rsidR="00481A29" w:rsidRPr="00883A81" w:rsidRDefault="00481A29" w:rsidP="00BE213D">
      <w:pPr>
        <w:keepNext/>
        <w:widowControl w:val="0"/>
        <w:numPr>
          <w:ilvl w:val="0"/>
          <w:numId w:val="16"/>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3.6. Федерального закона от 18.07.2011 №223-ФЗ «О закупках товаров, работ, услуг отдельными видами юридических лиц»</w:t>
      </w:r>
      <w:r w:rsidRPr="00883A81">
        <w:rPr>
          <w:rFonts w:ascii="Times New Roman" w:hAnsi="Times New Roman" w:cs="Times New Roman"/>
          <w:sz w:val="28"/>
          <w:szCs w:val="28"/>
        </w:rPr>
        <w:t xml:space="preserve">. В настоящее время исчерпывающий перечень случаев проведения закупок у единственного поставщика устанавливается заказчиком в разрабатываемом им Положении о закупках. Иным образом данный вопрос в рамках Федерального закона от 18.07.2011 № 223-ФЗ «О закупках товаров, работ, услуг отдельными видами юридических лиц» не урегулирован.  Пользуясь данным пробелом, недобросовестные заказчики могут установить в Положении о закупках любые случаи проведения закупок у единственного поставщика, что приводит к ограничению конкуренции и предоставлению преимуществ конкретному Исполнителю. Судебная практика по данному вопросу также не сформирована. Данный вопрос попытался урегулировать Верховный Суд РФ в п. 9 Обзора судебной практики (утв. Президиумом Верховного Суда РФ 16.05.2018) по вопросам, связанным с применением Федерального закона от 18.07.2011 № 223-ФЗ «О закупках товаров, работ, услуг отдельными видами юридических лиц», в котором сказано, что «Для целей экономической эффективности закупка товаров, работ, услуг у единственного поставщика целесообразна в случае, если такие товары, работы, услуги обращаются на низкоконкурентных рынках, или проведение конкурсных, аукционных процедур нецелесообразно по объективным причинам (например, ликвидация последствий чрезвычайных ситуаций, последствий непреодолимой силы). Кроме того, закупка товаров, работ, услуг у единственного поставщика возможна по результатам несостоявшейся конкурентной закупочной процедуры». </w:t>
      </w:r>
    </w:p>
    <w:p w14:paraId="277C9D0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установить исчерпывающий перечень случаев проведения закупок у единственного поставщика, с учетом рекомендаций, указанных в п. 9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w:t>
      </w:r>
    </w:p>
    <w:p w14:paraId="72A0EF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23121404" w14:textId="77777777" w:rsidR="00481A29" w:rsidRPr="002A1971" w:rsidRDefault="00481A29" w:rsidP="002A1971">
      <w:pPr>
        <w:ind w:firstLine="709"/>
        <w:jc w:val="both"/>
        <w:rPr>
          <w:rFonts w:ascii="Times New Roman" w:hAnsi="Times New Roman" w:cs="Times New Roman"/>
          <w:b/>
          <w:sz w:val="28"/>
          <w:szCs w:val="28"/>
        </w:rPr>
      </w:pPr>
      <w:r w:rsidRPr="002A1971">
        <w:rPr>
          <w:rFonts w:ascii="Times New Roman" w:hAnsi="Times New Roman" w:cs="Times New Roman"/>
          <w:b/>
          <w:sz w:val="28"/>
          <w:szCs w:val="28"/>
        </w:rPr>
        <w:t>3. Совершенствование правового регулирования и защиты конкуренции в сфере торговой деятельности</w:t>
      </w:r>
    </w:p>
    <w:p w14:paraId="0796AE9B" w14:textId="77777777" w:rsidR="00481A29" w:rsidRPr="00883A81" w:rsidRDefault="00481A29" w:rsidP="00BE213D">
      <w:pPr>
        <w:keepNext/>
        <w:widowControl w:val="0"/>
        <w:numPr>
          <w:ilvl w:val="0"/>
          <w:numId w:val="17"/>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color w:val="FF0000"/>
          <w:sz w:val="28"/>
          <w:szCs w:val="28"/>
        </w:rPr>
        <w:t xml:space="preserve"> </w:t>
      </w:r>
      <w:r w:rsidRPr="00883A81">
        <w:rPr>
          <w:rFonts w:ascii="Times New Roman" w:hAnsi="Times New Roman" w:cs="Times New Roman"/>
          <w:b/>
          <w:i/>
          <w:sz w:val="28"/>
          <w:szCs w:val="28"/>
        </w:rPr>
        <w:t>По части 4 статьи 9 Федеральный закон от 28.12.2009 № 381-ФЗ «Об основах государственного регулирования торговой деятельности в Российской Федерации»</w:t>
      </w:r>
      <w:r w:rsidRPr="00883A81">
        <w:rPr>
          <w:rFonts w:ascii="Times New Roman" w:hAnsi="Times New Roman" w:cs="Times New Roman"/>
          <w:sz w:val="28"/>
          <w:szCs w:val="28"/>
        </w:rPr>
        <w:t xml:space="preserve">. В действующей редакции части 4 статьи 9 Закона о торговле предусмотрено ограничение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товара и иных подобных услуг в размере пяти процентов. В действующей редакции формулировка «иные подобные услуги» вызывает определенные трудности в правоприменении. Так, оптовые компании, осуществляющие дистрибьюцию продовольственных товаров, могут оказывать производителям таких товаров различные услуги, напрямую не связанные с поставленной им продукцией. Например, услуги по обслуживанию и транспортировке торгового оборудования производителя, услуги, связанные с развитием общей инфраструктуры дистрибьютора. Сейчас нет четкого понимания, что такие услуги дистрибьюторов не подпадают под указанные «иные подобные услуги». В этой связи предлагается уточнить соответствующие положения Закона о торговле. </w:t>
      </w:r>
    </w:p>
    <w:p w14:paraId="3AB518EC"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изложить часть 4 статьи 9 Закона о торговле в следующей редакции: «4. Соглашением сторон договора поставки продовольственных товаров может предусматриваться включение в его цену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Размер указанного вознаграждения подлежит согласованию сторонами этого договора, включению в его цену и не учитывается при определении цены продовольственных товаров. Совокупный размер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непосредственно связанных с этими товарами, не может превышать пять процентов от цены приобретенных продовольственных товаров. При расчете указанного совокупного размера не учитывается сумма налога на добавленную стоимость, предъявляемая хозяйствующим субъектом, осуществляющим поставки продовольственных товаров, к оплате хозяйствующему субъекту, осуществляющему торговую деятельность, в связи с приобретением данных товаров, а в отношении подакцизных продовольственных товаров не учитывается также сумма акциза, исчисленная в соответствии с законодательством Российской Федерации о налогах и</w:t>
      </w:r>
      <w:r w:rsidR="0042393D" w:rsidRPr="0042393D">
        <w:rPr>
          <w:rFonts w:ascii="Times New Roman" w:hAnsi="Times New Roman" w:cs="Times New Roman"/>
          <w:sz w:val="28"/>
          <w:szCs w:val="28"/>
        </w:rPr>
        <w:t xml:space="preserve"> </w:t>
      </w:r>
      <w:r w:rsidRPr="00883A81">
        <w:rPr>
          <w:rFonts w:ascii="Times New Roman" w:hAnsi="Times New Roman" w:cs="Times New Roman"/>
          <w:sz w:val="28"/>
          <w:szCs w:val="28"/>
        </w:rPr>
        <w:t>сборах».</w:t>
      </w:r>
    </w:p>
    <w:p w14:paraId="5089DA71" w14:textId="77777777" w:rsidR="00481A29" w:rsidRPr="00883A81" w:rsidRDefault="00481A29" w:rsidP="00BE213D">
      <w:pPr>
        <w:keepNext/>
        <w:widowControl w:val="0"/>
        <w:numPr>
          <w:ilvl w:val="0"/>
          <w:numId w:val="17"/>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w:t>
      </w:r>
      <w:r w:rsidRPr="00883A81">
        <w:rPr>
          <w:rFonts w:ascii="Times New Roman" w:hAnsi="Times New Roman" w:cs="Times New Roman"/>
          <w:b/>
          <w:i/>
          <w:sz w:val="28"/>
          <w:szCs w:val="28"/>
        </w:rPr>
        <w:t>По пункту 1 части 1 статьи 13 Федерального закона от 28.12.2009 N 381-ФЗ "Об основах государственного регулирования торговой деятельности в Российской Федерации"</w:t>
      </w:r>
      <w:r w:rsidRPr="00883A81">
        <w:rPr>
          <w:rFonts w:ascii="Times New Roman" w:hAnsi="Times New Roman" w:cs="Times New Roman"/>
          <w:sz w:val="28"/>
          <w:szCs w:val="28"/>
        </w:rPr>
        <w:t xml:space="preserve">. Норма в ее действующей редакции накладывает антимонопольный запрет на установление дискриминационных условий как любой торговой сетью, так и субъектами, являющимися поставщиками продовольственных товаров. Очевидно, что подобные запреты и ограничения должны быть направлены именно на деятельность хозяйствующих субъектов, имеющих существенную рыночную власть, позволяющую им в одностороннем порядке влиять на зависимых участников рынка. На фактор зависимости по делам о дискриминации ФАС России указывала неоднократно (особенно в решениях апелляционной коллегии). Очевидно, что, например, индивидуальные предприниматели, оперирующие несколькими магазинами формата «у дома» или многие поставщики продовольственных товаров не обладают такой рыночной силой. В этой связи предлагаем внести в Закон о торговле соответствующее изменение. </w:t>
      </w:r>
    </w:p>
    <w:p w14:paraId="538E108B" w14:textId="6553DFDB"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1 статьи 13 и изложить ее в следующей редакции: «1. Хозяйствующим субъектам, осуществляющим торговую деятельность по продаже продовольственных товаров посредством организации торговой сети, и хозяйствующим субъектам, осуществляющим поставки продовольственных товаров в торговые сети, запрещается: 1) создавать в отношении зависимых контрагентов дискриминационные условия, определяемые в соответствии с Федеральным законом "О защите конкуренции"»</w:t>
      </w:r>
      <w:r w:rsidR="00E03C04">
        <w:rPr>
          <w:rFonts w:ascii="Times New Roman" w:hAnsi="Times New Roman" w:cs="Times New Roman"/>
          <w:sz w:val="28"/>
          <w:szCs w:val="28"/>
        </w:rPr>
        <w:t>.</w:t>
      </w:r>
    </w:p>
    <w:p w14:paraId="0C1D8921" w14:textId="77777777" w:rsidR="00481A29" w:rsidRDefault="00481A29" w:rsidP="00C63A1D">
      <w:pPr>
        <w:keepNext/>
        <w:widowControl w:val="0"/>
        <w:spacing w:after="0" w:line="240" w:lineRule="auto"/>
        <w:ind w:firstLine="709"/>
        <w:jc w:val="both"/>
        <w:rPr>
          <w:rFonts w:ascii="Times New Roman" w:hAnsi="Times New Roman" w:cs="Times New Roman"/>
          <w:sz w:val="28"/>
          <w:szCs w:val="28"/>
        </w:rPr>
      </w:pPr>
    </w:p>
    <w:p w14:paraId="5DBFBDC2"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6422684A" w14:textId="77777777" w:rsidR="00481A29" w:rsidRPr="002A1971" w:rsidRDefault="00481A29" w:rsidP="002A1971">
      <w:pPr>
        <w:ind w:firstLine="709"/>
        <w:rPr>
          <w:rFonts w:ascii="Times New Roman" w:hAnsi="Times New Roman" w:cs="Times New Roman"/>
          <w:b/>
          <w:sz w:val="28"/>
          <w:szCs w:val="28"/>
        </w:rPr>
      </w:pPr>
      <w:r w:rsidRPr="002A1971">
        <w:rPr>
          <w:rFonts w:ascii="Times New Roman" w:hAnsi="Times New Roman" w:cs="Times New Roman"/>
          <w:b/>
          <w:sz w:val="28"/>
          <w:szCs w:val="28"/>
        </w:rPr>
        <w:t>4. Совершенствование регулирования естественных монополий</w:t>
      </w:r>
    </w:p>
    <w:p w14:paraId="1707CCA8" w14:textId="77777777" w:rsidR="00481A29" w:rsidRPr="00883A81" w:rsidRDefault="00481A29" w:rsidP="00BE213D">
      <w:pPr>
        <w:keepNext/>
        <w:widowControl w:val="0"/>
        <w:numPr>
          <w:ilvl w:val="0"/>
          <w:numId w:val="18"/>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Неудовлетворительной остается конкуренция </w:t>
      </w:r>
      <w:r w:rsidRPr="00883A81">
        <w:rPr>
          <w:rFonts w:ascii="Times New Roman" w:hAnsi="Times New Roman" w:cs="Times New Roman"/>
          <w:b/>
          <w:i/>
          <w:sz w:val="28"/>
          <w:szCs w:val="28"/>
        </w:rPr>
        <w:t>на рынке аэропортовых услуг</w:t>
      </w:r>
      <w:r w:rsidRPr="00883A81">
        <w:rPr>
          <w:rFonts w:ascii="Times New Roman" w:hAnsi="Times New Roman" w:cs="Times New Roman"/>
          <w:sz w:val="28"/>
          <w:szCs w:val="28"/>
        </w:rPr>
        <w:t xml:space="preserve">. Как указывалось выше, наблюдается отсутствие конкуренции на рынке услуг по наземному обслуживанию воздушных судов; взимание субъектами естественных монополий (аэропортами) плат, сборов и тарифов, неустановленных законодательством; установления аэропортами платного принципа использования объектов инфраструктуры аэропортов. </w:t>
      </w:r>
    </w:p>
    <w:p w14:paraId="2143007B"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Постановление Правительства от 22.07.2009 г. </w:t>
      </w:r>
      <w:r w:rsidR="002A1971">
        <w:rPr>
          <w:rFonts w:ascii="Times New Roman" w:hAnsi="Times New Roman" w:cs="Times New Roman"/>
          <w:sz w:val="28"/>
          <w:szCs w:val="28"/>
        </w:rPr>
        <w:t>№</w:t>
      </w:r>
      <w:r w:rsidRPr="00883A81">
        <w:rPr>
          <w:rFonts w:ascii="Times New Roman" w:hAnsi="Times New Roman" w:cs="Times New Roman"/>
          <w:sz w:val="28"/>
          <w:szCs w:val="28"/>
        </w:rPr>
        <w:t xml:space="preserve"> 599 «О порядке обеспечения доступа к услугам субъектов естественных монополий в аэропортах», устанавливающие: </w:t>
      </w:r>
    </w:p>
    <w:p w14:paraId="2276320C"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запрет субъектов естественных монополий устанавливать любые виды плат по собственному усмотрению, в нарушение п. 2 ст. 64 Воздушного кодекса РФ, согласно которой тарифы на услуги в области гражданской авиации устанавливаются уполномоченным органом;</w:t>
      </w:r>
    </w:p>
    <w:p w14:paraId="2B6AB52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порядок, согласно которому доступ к объектам инфраструктуры аэропортов, предоставляемый главным оператором и(или) владельцем объекта инфраструктуры аэропорта не может являться самостоятельно оплачиваемой услугой/составной частью какой-либо услуги для опер</w:t>
      </w:r>
      <w:r w:rsidR="002A1971">
        <w:rPr>
          <w:rFonts w:ascii="Times New Roman" w:hAnsi="Times New Roman" w:cs="Times New Roman"/>
          <w:sz w:val="28"/>
          <w:szCs w:val="28"/>
        </w:rPr>
        <w:t>аторов, независимых операторов</w:t>
      </w:r>
      <w:r w:rsidRPr="00883A81">
        <w:rPr>
          <w:rFonts w:ascii="Times New Roman" w:hAnsi="Times New Roman" w:cs="Times New Roman"/>
          <w:sz w:val="28"/>
          <w:szCs w:val="28"/>
        </w:rPr>
        <w:t xml:space="preserve"> и самообслуживающихся потребителей;</w:t>
      </w:r>
    </w:p>
    <w:p w14:paraId="37B454E3"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правила, обеспечивающие конкуренцию на рынке услуг по наземному обслуживанию, путем установления нормы присутствия в аэропорту нескольких операторов наземного обслуживания.</w:t>
      </w:r>
    </w:p>
    <w:p w14:paraId="1C295964" w14:textId="77777777" w:rsidR="00481A29" w:rsidRDefault="00481A29" w:rsidP="00C63A1D">
      <w:pPr>
        <w:keepNext/>
        <w:widowControl w:val="0"/>
        <w:spacing w:after="0" w:line="240" w:lineRule="auto"/>
        <w:ind w:firstLine="709"/>
        <w:jc w:val="both"/>
        <w:rPr>
          <w:rFonts w:ascii="Times New Roman" w:hAnsi="Times New Roman" w:cs="Times New Roman"/>
          <w:sz w:val="28"/>
          <w:szCs w:val="28"/>
        </w:rPr>
      </w:pPr>
    </w:p>
    <w:p w14:paraId="1FDF9638"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79570B65" w14:textId="77777777" w:rsidR="00481A29" w:rsidRPr="000D0193" w:rsidRDefault="00481A29" w:rsidP="000D0193">
      <w:pPr>
        <w:ind w:firstLine="709"/>
        <w:jc w:val="both"/>
        <w:rPr>
          <w:rFonts w:ascii="Times New Roman" w:hAnsi="Times New Roman" w:cs="Times New Roman"/>
          <w:b/>
          <w:sz w:val="28"/>
          <w:szCs w:val="28"/>
        </w:rPr>
      </w:pPr>
      <w:r w:rsidRPr="000D0193">
        <w:rPr>
          <w:rFonts w:ascii="Times New Roman" w:hAnsi="Times New Roman" w:cs="Times New Roman"/>
          <w:b/>
          <w:sz w:val="28"/>
          <w:szCs w:val="28"/>
        </w:rPr>
        <w:t>5. Оценка инициативы ФАС России по легализации параллельного импорта и внесения соответствующих изменений в гражданское и таможенное законодательство Российской Федерации</w:t>
      </w:r>
    </w:p>
    <w:p w14:paraId="1B5D1921" w14:textId="77777777" w:rsidR="00481A29" w:rsidRPr="00883A81" w:rsidRDefault="00481A29" w:rsidP="00BE213D">
      <w:pPr>
        <w:keepNext/>
        <w:widowControl w:val="0"/>
        <w:numPr>
          <w:ilvl w:val="0"/>
          <w:numId w:val="18"/>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hAnsi="Times New Roman" w:cs="Times New Roman"/>
          <w:sz w:val="28"/>
          <w:szCs w:val="28"/>
        </w:rPr>
        <w:t>В условиях крайне нестабильного инвестиционного климата для иностранных поставщиков высокотехнологичных товаров вызывает обеспокоенность возможность расширенной легализации параллельного импорта и внесения соответствующих изменений в гражданское и таможенное законодательство Российской Федерации. В соответствии с Проектом Федерального закона о внесении изменений в часть 4 Гражданского кодекса РФ (</w:t>
      </w:r>
      <w:hyperlink r:id="rId78" w:history="1">
        <w:r w:rsidRPr="00883A81">
          <w:rPr>
            <w:rFonts w:ascii="Times New Roman" w:hAnsi="Times New Roman" w:cs="Times New Roman"/>
            <w:sz w:val="28"/>
            <w:szCs w:val="28"/>
            <w:u w:val="single"/>
          </w:rPr>
          <w:t>https://f.datasrvr.com/fr1/719/85395/Parallel_import_bill.pdf</w:t>
        </w:r>
      </w:hyperlink>
      <w:r w:rsidRPr="00883A81">
        <w:rPr>
          <w:rFonts w:ascii="Times New Roman" w:hAnsi="Times New Roman" w:cs="Times New Roman"/>
          <w:sz w:val="28"/>
          <w:szCs w:val="28"/>
        </w:rPr>
        <w:t xml:space="preserve">), предлагается допустить возможность применения с 2021 года т.н. международного принципа исчерпания исключительных прав на товарный знак по решению Правительства РФ в отношении отдельных товаров сроком до 5 лет. Принятие таких поправок допускает </w:t>
      </w:r>
      <w:r w:rsidRPr="00883A81">
        <w:rPr>
          <w:rFonts w:ascii="Times New Roman" w:hAnsi="Times New Roman" w:cs="Times New Roman"/>
          <w:sz w:val="28"/>
          <w:szCs w:val="28"/>
          <w:shd w:val="clear" w:color="auto" w:fill="FFFFFF"/>
        </w:rPr>
        <w:t xml:space="preserve">импорт отдельных видов оригинальной (маркированной товарным знаком) продукции без разрешения правообладателя товарного знака (“параллельный импорт”). Исходя из действующей редакции ст. 1487, п.4 ст.1252, ст.1515 Гражданского кодекса РФ параллельный импорт в Российской Федерации не допускается и считается нарушением исключительных прав на товарный знак, т.е. действует т.н. принцип национального исчерпания прав на товарный знак. Однако Конституционный суд РФ в Постановлении от 13 февраля 2018 года допускает, что фактически товары могут поставляться на территорию Российской Федерации без согласия производителя (правообладателя) и его официальных дистрибуторов (партнеров). При этом спор между правообладателем и фактическим импортером, осуществляющим импорт товаров без согласия правообладателя, должен разрешаться исходя из принципов добросовестности сторон и не злоупотребления правом. В соответствии с выводами Конституционного суда, если правообладатель злоупотребляет своим исключительным правом на товарный знак путем введения ограничений на ввоз товаров на российский рынок или умышленно и необоснованно завышает цены на свою продукцию, то такой правообладатель фактически утрачивает право на защиту своего товарного знака на территории РФ.  </w:t>
      </w:r>
    </w:p>
    <w:p w14:paraId="5D99CF25" w14:textId="77777777" w:rsidR="00481A29" w:rsidRPr="00883A81" w:rsidRDefault="00481A29" w:rsidP="00BE213D">
      <w:pPr>
        <w:keepNext/>
        <w:widowControl w:val="0"/>
        <w:numPr>
          <w:ilvl w:val="0"/>
          <w:numId w:val="18"/>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eastAsia="Times New Roman" w:hAnsi="Times New Roman" w:cs="Times New Roman"/>
          <w:sz w:val="28"/>
          <w:szCs w:val="28"/>
          <w:shd w:val="clear" w:color="auto" w:fill="FFFFFF"/>
        </w:rPr>
        <w:t xml:space="preserve">Вышеуказанный законопроект </w:t>
      </w:r>
      <w:r w:rsidRPr="00883A81">
        <w:rPr>
          <w:rFonts w:ascii="Times New Roman" w:eastAsia="Times New Roman" w:hAnsi="Times New Roman" w:cs="Times New Roman"/>
          <w:sz w:val="28"/>
          <w:szCs w:val="28"/>
        </w:rPr>
        <w:t xml:space="preserve">предусматривает четыре случая, когда Правительство РФ сможет разрешать временный параллельный импорт, при этом три из перечисленных случаев включают </w:t>
      </w:r>
      <w:r w:rsidRPr="00883A81">
        <w:rPr>
          <w:rFonts w:ascii="Times New Roman" w:eastAsia="Times New Roman" w:hAnsi="Times New Roman" w:cs="Times New Roman"/>
          <w:b/>
          <w:i/>
          <w:sz w:val="28"/>
          <w:szCs w:val="28"/>
        </w:rPr>
        <w:t>оценочные понятия</w:t>
      </w:r>
      <w:r w:rsidRPr="00883A81">
        <w:rPr>
          <w:rFonts w:ascii="Times New Roman" w:eastAsia="Times New Roman" w:hAnsi="Times New Roman" w:cs="Times New Roman"/>
          <w:sz w:val="28"/>
          <w:szCs w:val="28"/>
        </w:rPr>
        <w:t>:</w:t>
      </w:r>
    </w:p>
    <w:p w14:paraId="70AC9535" w14:textId="77777777" w:rsidR="00481A29" w:rsidRPr="00883A81" w:rsidRDefault="00481A29" w:rsidP="00BE213D">
      <w:pPr>
        <w:keepNext/>
        <w:widowControl w:val="0"/>
        <w:numPr>
          <w:ilvl w:val="0"/>
          <w:numId w:val="20"/>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w:t>
      </w:r>
      <w:r w:rsidRPr="00883A81">
        <w:rPr>
          <w:rFonts w:ascii="Times New Roman" w:eastAsia="Times New Roman" w:hAnsi="Times New Roman" w:cs="Times New Roman"/>
          <w:b/>
          <w:sz w:val="28"/>
          <w:szCs w:val="28"/>
        </w:rPr>
        <w:t>недоступны</w:t>
      </w:r>
      <w:r w:rsidRPr="00883A81">
        <w:rPr>
          <w:rFonts w:ascii="Times New Roman" w:eastAsia="Times New Roman" w:hAnsi="Times New Roman" w:cs="Times New Roman"/>
          <w:sz w:val="28"/>
          <w:szCs w:val="28"/>
        </w:rPr>
        <w:t xml:space="preserve"> на российском рынке;</w:t>
      </w:r>
    </w:p>
    <w:p w14:paraId="27E4F922" w14:textId="77777777" w:rsidR="00481A29" w:rsidRPr="00883A81" w:rsidRDefault="00481A29" w:rsidP="00BE213D">
      <w:pPr>
        <w:keepNext/>
        <w:widowControl w:val="0"/>
        <w:numPr>
          <w:ilvl w:val="0"/>
          <w:numId w:val="20"/>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импортируемые товары доступны на рынке, но их количество </w:t>
      </w:r>
      <w:r w:rsidRPr="00883A81">
        <w:rPr>
          <w:rFonts w:ascii="Times New Roman" w:eastAsia="Times New Roman" w:hAnsi="Times New Roman" w:cs="Times New Roman"/>
          <w:b/>
          <w:sz w:val="28"/>
          <w:szCs w:val="28"/>
        </w:rPr>
        <w:t>недостаточно</w:t>
      </w:r>
      <w:r w:rsidRPr="00883A81">
        <w:rPr>
          <w:rFonts w:ascii="Times New Roman" w:eastAsia="Times New Roman" w:hAnsi="Times New Roman" w:cs="Times New Roman"/>
          <w:sz w:val="28"/>
          <w:szCs w:val="28"/>
        </w:rPr>
        <w:t>;</w:t>
      </w:r>
    </w:p>
    <w:p w14:paraId="16364FF7" w14:textId="77777777" w:rsidR="00481A29" w:rsidRPr="00883A81" w:rsidRDefault="00481A29" w:rsidP="00BE213D">
      <w:pPr>
        <w:keepNext/>
        <w:widowControl w:val="0"/>
        <w:numPr>
          <w:ilvl w:val="0"/>
          <w:numId w:val="20"/>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доступные в России, </w:t>
      </w:r>
      <w:r w:rsidRPr="00883A81">
        <w:rPr>
          <w:rFonts w:ascii="Times New Roman" w:eastAsia="Times New Roman" w:hAnsi="Times New Roman" w:cs="Times New Roman"/>
          <w:b/>
          <w:sz w:val="28"/>
          <w:szCs w:val="28"/>
        </w:rPr>
        <w:t>качественно</w:t>
      </w:r>
      <w:r w:rsidRPr="00883A81">
        <w:rPr>
          <w:rFonts w:ascii="Times New Roman" w:eastAsia="Times New Roman" w:hAnsi="Times New Roman" w:cs="Times New Roman"/>
          <w:sz w:val="28"/>
          <w:szCs w:val="28"/>
        </w:rPr>
        <w:t xml:space="preserve"> отличаются от аналогов, реализуемых в других странах; или</w:t>
      </w:r>
    </w:p>
    <w:p w14:paraId="3CA67C90" w14:textId="77777777" w:rsidR="00481A29" w:rsidRPr="00883A81" w:rsidRDefault="00481A29" w:rsidP="00BE213D">
      <w:pPr>
        <w:keepNext/>
        <w:widowControl w:val="0"/>
        <w:numPr>
          <w:ilvl w:val="0"/>
          <w:numId w:val="20"/>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ввозимые товары продаются на территории России по </w:t>
      </w:r>
      <w:r w:rsidRPr="00883A81">
        <w:rPr>
          <w:rFonts w:ascii="Times New Roman" w:eastAsia="Times New Roman" w:hAnsi="Times New Roman" w:cs="Times New Roman"/>
          <w:b/>
          <w:sz w:val="28"/>
          <w:szCs w:val="28"/>
        </w:rPr>
        <w:t>завышенным</w:t>
      </w:r>
      <w:r w:rsidRPr="00883A81">
        <w:rPr>
          <w:rFonts w:ascii="Times New Roman" w:eastAsia="Times New Roman" w:hAnsi="Times New Roman" w:cs="Times New Roman"/>
          <w:sz w:val="28"/>
          <w:szCs w:val="28"/>
        </w:rPr>
        <w:t xml:space="preserve"> ценам.</w:t>
      </w:r>
    </w:p>
    <w:p w14:paraId="5A05853D"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eastAsia="Times New Roman" w:hAnsi="Times New Roman" w:cs="Times New Roman"/>
          <w:sz w:val="28"/>
          <w:szCs w:val="28"/>
        </w:rPr>
        <w:t xml:space="preserve">Предложенные в вышеуказанном Проекте изменения режима исчерпания прав на товарный знак на данный момент прямо противоречат международно-правовым обязательствам РФ, а именно разделу </w:t>
      </w:r>
      <w:r w:rsidRPr="00883A81">
        <w:rPr>
          <w:rFonts w:ascii="Times New Roman" w:eastAsia="Times New Roman" w:hAnsi="Times New Roman" w:cs="Times New Roman"/>
          <w:sz w:val="28"/>
          <w:szCs w:val="28"/>
          <w:lang w:val="en-US"/>
        </w:rPr>
        <w:t>XXIII</w:t>
      </w:r>
      <w:r w:rsidRPr="00883A81">
        <w:rPr>
          <w:rFonts w:ascii="Times New Roman" w:eastAsia="Times New Roman" w:hAnsi="Times New Roman" w:cs="Times New Roman"/>
          <w:sz w:val="28"/>
          <w:szCs w:val="28"/>
        </w:rPr>
        <w:t xml:space="preserve"> </w:t>
      </w:r>
      <w:r w:rsidRPr="00883A81">
        <w:rPr>
          <w:rFonts w:ascii="Times New Roman" w:hAnsi="Times New Roman" w:cs="Times New Roman"/>
          <w:sz w:val="28"/>
          <w:szCs w:val="28"/>
        </w:rPr>
        <w:t>Договора о ЕАЭС и приложению № 26 к нему («Протокол об охране и защите прав на объекты интеллектуальной собственности»).</w:t>
      </w:r>
    </w:p>
    <w:p w14:paraId="20D568B4" w14:textId="77777777" w:rsidR="00481A29" w:rsidRPr="00883A81" w:rsidRDefault="00481A29" w:rsidP="00BE213D">
      <w:pPr>
        <w:keepNext/>
        <w:widowControl w:val="0"/>
        <w:numPr>
          <w:ilvl w:val="0"/>
          <w:numId w:val="21"/>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Таким образом, принятие предложенных поправок потребует предварительной гармонизации законодательства всех стран-участниц ЕАЭС, а также четкой регламентации всех оценочных категорий, используемых в Проекте. Помимо этого, «товароориентированный» подход, предложенный в Проекте, может существенно повлиять на общий инвестиционный климат, формируя негативные ожидания в отношении ухудшения регуляторной среды для иностранного бизнеса в Российской Федерации, в том числе, у добросовестных международных поставщиков, представленных на российском рынке официальными дистрибьюторами.  </w:t>
      </w:r>
    </w:p>
    <w:p w14:paraId="361E7850"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Представляется необходимым провести дополнительный сравнительный анализ конкурентного рынка </w:t>
      </w:r>
      <w:r w:rsidRPr="00883A81">
        <w:rPr>
          <w:rFonts w:ascii="Times New Roman" w:hAnsi="Times New Roman" w:cs="Times New Roman"/>
          <w:sz w:val="28"/>
          <w:szCs w:val="28"/>
          <w:bdr w:val="none" w:sz="0" w:space="0" w:color="auto" w:frame="1"/>
        </w:rPr>
        <w:t>Европейского Союза</w:t>
      </w:r>
      <w:r w:rsidRPr="00883A81">
        <w:rPr>
          <w:rFonts w:ascii="Times New Roman" w:hAnsi="Times New Roman" w:cs="Times New Roman"/>
          <w:sz w:val="28"/>
          <w:szCs w:val="28"/>
        </w:rPr>
        <w:t> и </w:t>
      </w:r>
      <w:r w:rsidRPr="00883A81">
        <w:rPr>
          <w:rFonts w:ascii="Times New Roman" w:hAnsi="Times New Roman" w:cs="Times New Roman"/>
          <w:sz w:val="28"/>
          <w:szCs w:val="28"/>
          <w:bdr w:val="none" w:sz="0" w:space="0" w:color="auto" w:frame="1"/>
        </w:rPr>
        <w:t>Евразийского Экономического союза</w:t>
      </w:r>
      <w:r w:rsidRPr="00883A81">
        <w:rPr>
          <w:rFonts w:ascii="Times New Roman" w:hAnsi="Times New Roman" w:cs="Times New Roman"/>
          <w:sz w:val="28"/>
          <w:szCs w:val="28"/>
        </w:rPr>
        <w:t xml:space="preserve"> в плоскости регулирования параллельного импорта и его влияния на участников рынка, учесть международный опыт регулирования и выбрать более эффективное решение проблемы соотношения интересов пользователей товаров в Российской Федерации и иностранных поставщиков-правообладателей. </w:t>
      </w:r>
    </w:p>
    <w:p w14:paraId="49FA745F" w14:textId="77777777" w:rsidR="00481A29" w:rsidRPr="00883A81" w:rsidRDefault="00481A29" w:rsidP="00BE213D">
      <w:pPr>
        <w:keepNext/>
        <w:widowControl w:val="0"/>
        <w:numPr>
          <w:ilvl w:val="0"/>
          <w:numId w:val="21"/>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Альтернативой внесения изменений в Гражданский кодекс  Российской Федерации и отступления от принципа национального исчерпания прав (или регионального исчерпания прав, как предусмотрено в соглашении стран-участниц ЕАЭС) может быть уточнение Статьи 10 Федерального закона от 26.07.2006 года №</w:t>
      </w:r>
      <w:r w:rsidR="00BD46D7">
        <w:rPr>
          <w:rFonts w:ascii="Times New Roman" w:hAnsi="Times New Roman" w:cs="Times New Roman"/>
          <w:sz w:val="28"/>
          <w:szCs w:val="28"/>
        </w:rPr>
        <w:t xml:space="preserve"> </w:t>
      </w:r>
      <w:r w:rsidRPr="00883A81">
        <w:rPr>
          <w:rFonts w:ascii="Times New Roman" w:hAnsi="Times New Roman" w:cs="Times New Roman"/>
          <w:sz w:val="28"/>
          <w:szCs w:val="28"/>
        </w:rPr>
        <w:t xml:space="preserve">135-ФЗ «О защите конкуренции», а именно, внести дополнение в часть 4 указанной статьи, допускающее применение положений статьи 10, в том числе, к отношениям, возникающим при реализации и защите прав на результаты интеллектуальной деятельности в случае ввоза товаров на территорию РФ при недобросовестных действиях правообладателя, направленных на количественные ограничения экспорта (импорта в РФ) при  наличии возможности осуществления поставок соответствующего товара покупателям на территории РФ. </w:t>
      </w:r>
    </w:p>
    <w:p w14:paraId="284F3C27" w14:textId="77777777" w:rsidR="00481A29"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Индивидуальный подход, основанный на оценке добросовестности конкретного правообладателя, соответствует основным выводам Конституционного суда РФ, сделанным в феврале 2018 года, при этом не требует применения принципа международного исчерпания права на товарный знак, а также в большей степени согласуется и с практикой, сложившейся в зарубежных юрисдикциях</w:t>
      </w:r>
      <w:r w:rsidRPr="00883A81">
        <w:rPr>
          <w:rStyle w:val="af0"/>
          <w:rFonts w:ascii="Times New Roman" w:hAnsi="Times New Roman" w:cs="Times New Roman"/>
          <w:sz w:val="28"/>
          <w:szCs w:val="28"/>
        </w:rPr>
        <w:footnoteReference w:id="33"/>
      </w:r>
      <w:r w:rsidRPr="00883A81">
        <w:rPr>
          <w:rFonts w:ascii="Times New Roman" w:hAnsi="Times New Roman" w:cs="Times New Roman"/>
          <w:sz w:val="28"/>
          <w:szCs w:val="28"/>
        </w:rPr>
        <w:t xml:space="preserve">. </w:t>
      </w:r>
    </w:p>
    <w:p w14:paraId="76F01922" w14:textId="77777777" w:rsidR="00E03C04" w:rsidRDefault="00E03C04" w:rsidP="00C63A1D">
      <w:pPr>
        <w:keepNext/>
        <w:widowControl w:val="0"/>
        <w:shd w:val="clear" w:color="auto" w:fill="FFFFFF"/>
        <w:spacing w:after="0" w:line="240" w:lineRule="auto"/>
        <w:ind w:firstLine="709"/>
        <w:jc w:val="both"/>
        <w:rPr>
          <w:rFonts w:ascii="Times New Roman" w:hAnsi="Times New Roman" w:cs="Times New Roman"/>
          <w:sz w:val="28"/>
          <w:szCs w:val="28"/>
        </w:rPr>
      </w:pPr>
    </w:p>
    <w:p w14:paraId="2459FCCE"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 xml:space="preserve">Результаты опроса, </w:t>
      </w:r>
    </w:p>
    <w:p w14:paraId="2B444354"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проведенного среди членов Ассоциации «НП «ОКЮР»</w:t>
      </w:r>
    </w:p>
    <w:p w14:paraId="74D7B4D8" w14:textId="77777777" w:rsidR="00E03C04" w:rsidRDefault="00E03C04" w:rsidP="00E03C04">
      <w:pPr>
        <w:rPr>
          <w:rFonts w:cs="Times New Roman"/>
          <w:sz w:val="24"/>
          <w:szCs w:val="24"/>
        </w:rPr>
      </w:pPr>
    </w:p>
    <w:p w14:paraId="1241BFAD" w14:textId="77777777" w:rsidR="00E03C04" w:rsidRPr="00E03C04" w:rsidRDefault="00E03C04" w:rsidP="00E03C04">
      <w:pPr>
        <w:rPr>
          <w:rFonts w:ascii="Times New Roman" w:hAnsi="Times New Roman" w:cs="Times New Roman"/>
          <w:sz w:val="28"/>
          <w:szCs w:val="28"/>
        </w:rPr>
      </w:pPr>
      <w:r w:rsidRPr="00E03C04">
        <w:rPr>
          <w:rFonts w:ascii="Times New Roman" w:hAnsi="Times New Roman" w:cs="Times New Roman"/>
          <w:sz w:val="28"/>
          <w:szCs w:val="28"/>
        </w:rPr>
        <w:t>Вопросы, поставленные перед респондентами:</w:t>
      </w:r>
    </w:p>
    <w:p w14:paraId="7F631767" w14:textId="77777777" w:rsidR="00E03C04" w:rsidRDefault="00E03C04" w:rsidP="00E03C04">
      <w:r w:rsidRPr="002E6953">
        <w:rPr>
          <w:noProof/>
          <w:lang w:eastAsia="ru-RU"/>
        </w:rPr>
        <w:drawing>
          <wp:inline distT="0" distB="0" distL="0" distR="0" wp14:anchorId="3B5366F5" wp14:editId="43F01F03">
            <wp:extent cx="5905500" cy="5686688"/>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12424" cy="5693355"/>
                    </a:xfrm>
                    <a:prstGeom prst="rect">
                      <a:avLst/>
                    </a:prstGeom>
                  </pic:spPr>
                </pic:pic>
              </a:graphicData>
            </a:graphic>
          </wp:inline>
        </w:drawing>
      </w:r>
    </w:p>
    <w:p w14:paraId="1785B62B" w14:textId="77777777" w:rsidR="00E03C04" w:rsidRDefault="00E03C04" w:rsidP="00E03C04">
      <w:r w:rsidRPr="00114F4C">
        <w:rPr>
          <w:noProof/>
          <w:lang w:eastAsia="ru-RU"/>
        </w:rPr>
        <w:drawing>
          <wp:inline distT="0" distB="0" distL="0" distR="0" wp14:anchorId="14EADD97" wp14:editId="114393D2">
            <wp:extent cx="6152515" cy="569468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152515" cy="5694680"/>
                    </a:xfrm>
                    <a:prstGeom prst="rect">
                      <a:avLst/>
                    </a:prstGeom>
                  </pic:spPr>
                </pic:pic>
              </a:graphicData>
            </a:graphic>
          </wp:inline>
        </w:drawing>
      </w:r>
    </w:p>
    <w:p w14:paraId="7FAA4AE3" w14:textId="77777777" w:rsidR="00E03C04" w:rsidRDefault="00E03C04" w:rsidP="00E03C04"/>
    <w:p w14:paraId="4307DA4E" w14:textId="77777777" w:rsidR="00E03C04" w:rsidRDefault="00E03C04" w:rsidP="00E03C04">
      <w:r w:rsidRPr="00534FDD">
        <w:rPr>
          <w:noProof/>
          <w:lang w:eastAsia="ru-RU"/>
        </w:rPr>
        <w:drawing>
          <wp:inline distT="0" distB="0" distL="0" distR="0" wp14:anchorId="688A87F9" wp14:editId="258F4D80">
            <wp:extent cx="6152515" cy="5443855"/>
            <wp:effectExtent l="0" t="0" r="63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152515" cy="5443855"/>
                    </a:xfrm>
                    <a:prstGeom prst="rect">
                      <a:avLst/>
                    </a:prstGeom>
                  </pic:spPr>
                </pic:pic>
              </a:graphicData>
            </a:graphic>
          </wp:inline>
        </w:drawing>
      </w:r>
    </w:p>
    <w:p w14:paraId="1F4EB549" w14:textId="77777777" w:rsidR="00E03C04" w:rsidRDefault="00E03C04" w:rsidP="00E03C04"/>
    <w:p w14:paraId="298D67EB" w14:textId="77777777" w:rsidR="00E03C04" w:rsidRDefault="00E03C04" w:rsidP="00E03C04">
      <w:r w:rsidRPr="00FE660A">
        <w:rPr>
          <w:noProof/>
          <w:lang w:eastAsia="ru-RU"/>
        </w:rPr>
        <w:drawing>
          <wp:inline distT="0" distB="0" distL="0" distR="0" wp14:anchorId="059CEC83" wp14:editId="702A1C3A">
            <wp:extent cx="6152515" cy="5731510"/>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152515" cy="5731510"/>
                    </a:xfrm>
                    <a:prstGeom prst="rect">
                      <a:avLst/>
                    </a:prstGeom>
                  </pic:spPr>
                </pic:pic>
              </a:graphicData>
            </a:graphic>
          </wp:inline>
        </w:drawing>
      </w:r>
    </w:p>
    <w:p w14:paraId="30D87744" w14:textId="77777777" w:rsidR="00E03C04" w:rsidRDefault="00E03C04" w:rsidP="00E03C04"/>
    <w:p w14:paraId="7B643DD2" w14:textId="77777777" w:rsidR="00E03C04" w:rsidRDefault="00E03C04" w:rsidP="00E03C04">
      <w:r w:rsidRPr="00FE660A">
        <w:rPr>
          <w:noProof/>
          <w:lang w:eastAsia="ru-RU"/>
        </w:rPr>
        <w:drawing>
          <wp:inline distT="0" distB="0" distL="0" distR="0" wp14:anchorId="1A89D795" wp14:editId="35202202">
            <wp:extent cx="6152515" cy="598614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152515" cy="5986145"/>
                    </a:xfrm>
                    <a:prstGeom prst="rect">
                      <a:avLst/>
                    </a:prstGeom>
                  </pic:spPr>
                </pic:pic>
              </a:graphicData>
            </a:graphic>
          </wp:inline>
        </w:drawing>
      </w:r>
    </w:p>
    <w:p w14:paraId="4FA4A47D" w14:textId="77777777" w:rsidR="00E03C04" w:rsidRDefault="00E03C04" w:rsidP="00E03C04"/>
    <w:p w14:paraId="7A472B58" w14:textId="77777777" w:rsidR="00E03C04" w:rsidRDefault="00E03C04" w:rsidP="00E03C04">
      <w:r w:rsidRPr="00943AEC">
        <w:rPr>
          <w:noProof/>
          <w:lang w:eastAsia="ru-RU"/>
        </w:rPr>
        <w:drawing>
          <wp:inline distT="0" distB="0" distL="0" distR="0" wp14:anchorId="2CC56704" wp14:editId="2C0DD873">
            <wp:extent cx="6152515" cy="5765165"/>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52515" cy="5765165"/>
                    </a:xfrm>
                    <a:prstGeom prst="rect">
                      <a:avLst/>
                    </a:prstGeom>
                  </pic:spPr>
                </pic:pic>
              </a:graphicData>
            </a:graphic>
          </wp:inline>
        </w:drawing>
      </w:r>
    </w:p>
    <w:p w14:paraId="1756CA4E" w14:textId="77777777" w:rsidR="00E03C04" w:rsidRDefault="00E03C04" w:rsidP="00E03C04"/>
    <w:p w14:paraId="779BC536" w14:textId="77777777" w:rsidR="00E03C04" w:rsidRDefault="00E03C04" w:rsidP="00E03C04">
      <w:r w:rsidRPr="008A2558">
        <w:rPr>
          <w:noProof/>
          <w:lang w:eastAsia="ru-RU"/>
        </w:rPr>
        <w:drawing>
          <wp:inline distT="0" distB="0" distL="0" distR="0" wp14:anchorId="2A357F02" wp14:editId="6156314A">
            <wp:extent cx="6152515" cy="570420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152515" cy="5704205"/>
                    </a:xfrm>
                    <a:prstGeom prst="rect">
                      <a:avLst/>
                    </a:prstGeom>
                  </pic:spPr>
                </pic:pic>
              </a:graphicData>
            </a:graphic>
          </wp:inline>
        </w:drawing>
      </w:r>
    </w:p>
    <w:p w14:paraId="2DE98F45" w14:textId="77777777" w:rsidR="00E03C04" w:rsidRDefault="00E03C04" w:rsidP="00E03C04"/>
    <w:p w14:paraId="742A1E35" w14:textId="77777777" w:rsidR="00E03C04" w:rsidRDefault="00E03C04" w:rsidP="00E03C04">
      <w:r w:rsidRPr="008A2558">
        <w:rPr>
          <w:noProof/>
          <w:lang w:eastAsia="ru-RU"/>
        </w:rPr>
        <w:drawing>
          <wp:inline distT="0" distB="0" distL="0" distR="0" wp14:anchorId="42ADBB40" wp14:editId="1DF55826">
            <wp:extent cx="6152515" cy="5724525"/>
            <wp:effectExtent l="0" t="0" r="63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52515" cy="5724525"/>
                    </a:xfrm>
                    <a:prstGeom prst="rect">
                      <a:avLst/>
                    </a:prstGeom>
                  </pic:spPr>
                </pic:pic>
              </a:graphicData>
            </a:graphic>
          </wp:inline>
        </w:drawing>
      </w:r>
    </w:p>
    <w:p w14:paraId="0ED5D6C9" w14:textId="77777777" w:rsidR="00E03C04" w:rsidRDefault="00E03C04" w:rsidP="00E03C04"/>
    <w:p w14:paraId="3C9D967D" w14:textId="77777777" w:rsidR="00E03C04" w:rsidRDefault="00E03C04" w:rsidP="00E03C04">
      <w:r w:rsidRPr="001B5769">
        <w:rPr>
          <w:noProof/>
          <w:lang w:eastAsia="ru-RU"/>
        </w:rPr>
        <w:drawing>
          <wp:inline distT="0" distB="0" distL="0" distR="0" wp14:anchorId="684371BC" wp14:editId="7E6F2185">
            <wp:extent cx="6152515" cy="574103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152515" cy="5741035"/>
                    </a:xfrm>
                    <a:prstGeom prst="rect">
                      <a:avLst/>
                    </a:prstGeom>
                  </pic:spPr>
                </pic:pic>
              </a:graphicData>
            </a:graphic>
          </wp:inline>
        </w:drawing>
      </w:r>
    </w:p>
    <w:p w14:paraId="04A31F77" w14:textId="77777777" w:rsidR="00E03C04" w:rsidRDefault="00E03C04" w:rsidP="00E03C04"/>
    <w:p w14:paraId="00FADAD9" w14:textId="77777777" w:rsidR="00E03C04" w:rsidRDefault="00E03C04" w:rsidP="00E03C04">
      <w:r w:rsidRPr="00251504">
        <w:rPr>
          <w:noProof/>
          <w:lang w:eastAsia="ru-RU"/>
        </w:rPr>
        <w:drawing>
          <wp:inline distT="0" distB="0" distL="0" distR="0" wp14:anchorId="0865DE8F" wp14:editId="4717D583">
            <wp:extent cx="6152515" cy="5707380"/>
            <wp:effectExtent l="0" t="0" r="63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152515" cy="5707380"/>
                    </a:xfrm>
                    <a:prstGeom prst="rect">
                      <a:avLst/>
                    </a:prstGeom>
                  </pic:spPr>
                </pic:pic>
              </a:graphicData>
            </a:graphic>
          </wp:inline>
        </w:drawing>
      </w:r>
    </w:p>
    <w:p w14:paraId="32AA564E" w14:textId="77777777" w:rsidR="00E03C04" w:rsidRDefault="00E03C04" w:rsidP="00E03C04"/>
    <w:p w14:paraId="4BBDACE7" w14:textId="77777777" w:rsidR="00E03C04" w:rsidRDefault="00E03C04" w:rsidP="00E03C04">
      <w:r w:rsidRPr="00251504">
        <w:rPr>
          <w:noProof/>
          <w:lang w:eastAsia="ru-RU"/>
        </w:rPr>
        <w:drawing>
          <wp:inline distT="0" distB="0" distL="0" distR="0" wp14:anchorId="7866D9F4" wp14:editId="1CC45DE7">
            <wp:extent cx="6152515" cy="595122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52515" cy="5951220"/>
                    </a:xfrm>
                    <a:prstGeom prst="rect">
                      <a:avLst/>
                    </a:prstGeom>
                  </pic:spPr>
                </pic:pic>
              </a:graphicData>
            </a:graphic>
          </wp:inline>
        </w:drawing>
      </w:r>
    </w:p>
    <w:p w14:paraId="469EF298" w14:textId="77777777" w:rsidR="00E03C04" w:rsidRDefault="00E03C04" w:rsidP="00E03C04"/>
    <w:p w14:paraId="5ACD9D1D" w14:textId="77777777" w:rsidR="00E03C04" w:rsidRDefault="00E03C04" w:rsidP="00E03C04">
      <w:r w:rsidRPr="00036896">
        <w:rPr>
          <w:noProof/>
          <w:lang w:eastAsia="ru-RU"/>
        </w:rPr>
        <w:drawing>
          <wp:inline distT="0" distB="0" distL="0" distR="0" wp14:anchorId="34532EED" wp14:editId="763C02ED">
            <wp:extent cx="6152515" cy="592518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52515" cy="5925185"/>
                    </a:xfrm>
                    <a:prstGeom prst="rect">
                      <a:avLst/>
                    </a:prstGeom>
                  </pic:spPr>
                </pic:pic>
              </a:graphicData>
            </a:graphic>
          </wp:inline>
        </w:drawing>
      </w:r>
    </w:p>
    <w:p w14:paraId="1D1150F5" w14:textId="77777777" w:rsidR="00E03C04" w:rsidRDefault="00E03C04" w:rsidP="00E03C04"/>
    <w:p w14:paraId="3C5B7E4D" w14:textId="77777777" w:rsidR="00E03C04" w:rsidRDefault="00E03C04" w:rsidP="00E03C04">
      <w:r w:rsidRPr="00DF43FA">
        <w:rPr>
          <w:noProof/>
          <w:lang w:eastAsia="ru-RU"/>
        </w:rPr>
        <w:drawing>
          <wp:inline distT="0" distB="0" distL="0" distR="0" wp14:anchorId="77492D37" wp14:editId="4D587F35">
            <wp:extent cx="6152515" cy="651954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152515" cy="6519545"/>
                    </a:xfrm>
                    <a:prstGeom prst="rect">
                      <a:avLst/>
                    </a:prstGeom>
                  </pic:spPr>
                </pic:pic>
              </a:graphicData>
            </a:graphic>
          </wp:inline>
        </w:drawing>
      </w:r>
    </w:p>
    <w:p w14:paraId="1D092BC3" w14:textId="77777777" w:rsidR="00E03C04" w:rsidRPr="00C563D2" w:rsidRDefault="00E03C04" w:rsidP="00E03C04">
      <w:pPr>
        <w:rPr>
          <w:b/>
        </w:rPr>
      </w:pPr>
    </w:p>
    <w:p w14:paraId="03E09EE0" w14:textId="77777777" w:rsidR="00E03C04" w:rsidRDefault="00E03C04" w:rsidP="00E03C04">
      <w:pPr>
        <w:rPr>
          <w:rFonts w:ascii="Arial" w:hAnsi="Arial" w:cs="Arial"/>
          <w:b/>
          <w:color w:val="363636"/>
          <w:sz w:val="21"/>
          <w:szCs w:val="21"/>
          <w:shd w:val="clear" w:color="auto" w:fill="FFFFFF"/>
        </w:rPr>
      </w:pPr>
    </w:p>
    <w:p w14:paraId="5B3BB258" w14:textId="77777777" w:rsidR="00E03C04" w:rsidRDefault="00E03C04" w:rsidP="00E03C04">
      <w:pPr>
        <w:rPr>
          <w:rFonts w:ascii="Arial" w:hAnsi="Arial" w:cs="Arial"/>
          <w:b/>
          <w:color w:val="363636"/>
          <w:sz w:val="21"/>
          <w:szCs w:val="21"/>
          <w:shd w:val="clear" w:color="auto" w:fill="FFFFFF"/>
        </w:rPr>
      </w:pPr>
    </w:p>
    <w:p w14:paraId="1C35B1F0" w14:textId="77777777" w:rsidR="00E03C04" w:rsidRDefault="00E03C04" w:rsidP="00E03C04">
      <w:pPr>
        <w:rPr>
          <w:rFonts w:ascii="Arial" w:hAnsi="Arial" w:cs="Arial"/>
          <w:b/>
          <w:color w:val="363636"/>
          <w:sz w:val="21"/>
          <w:szCs w:val="21"/>
          <w:shd w:val="clear" w:color="auto" w:fill="FFFFFF"/>
        </w:rPr>
      </w:pPr>
    </w:p>
    <w:p w14:paraId="52F8011A" w14:textId="77777777" w:rsidR="00E03C04" w:rsidRDefault="00E03C04" w:rsidP="00E03C04">
      <w:pPr>
        <w:rPr>
          <w:rFonts w:ascii="Arial" w:hAnsi="Arial" w:cs="Arial"/>
          <w:b/>
          <w:color w:val="363636"/>
          <w:sz w:val="21"/>
          <w:szCs w:val="21"/>
          <w:shd w:val="clear" w:color="auto" w:fill="FFFFFF"/>
        </w:rPr>
      </w:pPr>
    </w:p>
    <w:p w14:paraId="0F4F3623" w14:textId="77777777" w:rsidR="00E03C04" w:rsidRDefault="00E03C04" w:rsidP="00E03C04">
      <w:pPr>
        <w:rPr>
          <w:rFonts w:ascii="Arial" w:hAnsi="Arial" w:cs="Arial"/>
          <w:b/>
          <w:color w:val="363636"/>
          <w:sz w:val="21"/>
          <w:szCs w:val="21"/>
          <w:shd w:val="clear" w:color="auto" w:fill="FFFFFF"/>
        </w:rPr>
      </w:pPr>
    </w:p>
    <w:p w14:paraId="672F5B78" w14:textId="77777777" w:rsidR="00E03C04" w:rsidRPr="00E03C04" w:rsidRDefault="00E03C04" w:rsidP="00E03C04">
      <w:pPr>
        <w:rPr>
          <w:rFonts w:ascii="Times New Roman" w:hAnsi="Times New Roman" w:cs="Times New Roman"/>
          <w:b/>
          <w:color w:val="363636"/>
          <w:sz w:val="28"/>
          <w:szCs w:val="28"/>
          <w:shd w:val="clear" w:color="auto" w:fill="FFFFFF"/>
        </w:rPr>
      </w:pPr>
    </w:p>
    <w:p w14:paraId="1ED4E722" w14:textId="77777777" w:rsidR="00E03C04" w:rsidRPr="00E03C04" w:rsidRDefault="00E03C04" w:rsidP="00E03C04">
      <w:pPr>
        <w:jc w:val="both"/>
        <w:rPr>
          <w:rFonts w:ascii="Times New Roman" w:hAnsi="Times New Roman" w:cs="Times New Roman"/>
          <w:b/>
          <w:sz w:val="28"/>
          <w:szCs w:val="28"/>
          <w:shd w:val="clear" w:color="auto" w:fill="FFFFFF"/>
        </w:rPr>
      </w:pPr>
      <w:r w:rsidRPr="00E03C04">
        <w:rPr>
          <w:rFonts w:ascii="Times New Roman" w:hAnsi="Times New Roman" w:cs="Times New Roman"/>
          <w:b/>
          <w:sz w:val="28"/>
          <w:szCs w:val="28"/>
          <w:shd w:val="clear" w:color="auto" w:fill="FFFFFF"/>
        </w:rPr>
        <w:t>Предложения по совершенствованию законодательства и правоприменительной практики, поступившие в ходе анонимного опроса:</w:t>
      </w:r>
    </w:p>
    <w:p w14:paraId="68B3C357" w14:textId="77777777" w:rsidR="00E03C04" w:rsidRPr="00E03C04" w:rsidRDefault="00E03C04" w:rsidP="00E03C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rPr>
        <w:t>1</w:t>
      </w:r>
      <w:r w:rsidRPr="00E03C04">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ab/>
        <w:t>Предлагаем рассмотреть возможность создания проектных офисов в коммерческих банках в связке с банками ТОП 5 по проектному финансированию производственников (поддержка предпринимательства).</w:t>
      </w:r>
    </w:p>
    <w:p w14:paraId="5359BF17" w14:textId="77777777" w:rsidR="00E03C04" w:rsidRPr="00E03C04" w:rsidRDefault="00E03C04" w:rsidP="00E03C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2.</w:t>
      </w:r>
      <w:r w:rsidRPr="00E03C04">
        <w:rPr>
          <w:rFonts w:ascii="Times New Roman" w:hAnsi="Times New Roman" w:cs="Times New Roman"/>
          <w:sz w:val="28"/>
          <w:szCs w:val="28"/>
          <w:shd w:val="clear" w:color="auto" w:fill="FFFFFF"/>
        </w:rPr>
        <w:tab/>
        <w:t>Считаем, что борьба с картелями применительно к малому бизнесу не содействует развитию конкуренции, и ее следует ограничить.</w:t>
      </w:r>
    </w:p>
    <w:p w14:paraId="3504B112" w14:textId="77777777" w:rsidR="00E03C04" w:rsidRPr="00E03C04" w:rsidRDefault="00E03C04" w:rsidP="00E03C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3.</w:t>
      </w:r>
      <w:r w:rsidRPr="00E03C04">
        <w:rPr>
          <w:rFonts w:ascii="Times New Roman" w:hAnsi="Times New Roman" w:cs="Times New Roman"/>
          <w:sz w:val="28"/>
          <w:szCs w:val="28"/>
          <w:shd w:val="clear" w:color="auto" w:fill="FFFFFF"/>
        </w:rPr>
        <w:tab/>
        <w:t>Считаем необходимым внедрять более гибкое регулирование селективной дистрибуции. Для этого предлагаем создать при ФАС России рабочую группу с участием представителей заинтересованных компаний и экспертов для выработки предложений и рекомендаций.</w:t>
      </w:r>
    </w:p>
    <w:p w14:paraId="1009BF9B" w14:textId="77777777" w:rsidR="00E03C04" w:rsidRPr="00E03C04" w:rsidRDefault="00E03C04" w:rsidP="00E03C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4.</w:t>
      </w:r>
      <w:r w:rsidRPr="00E03C04">
        <w:rPr>
          <w:rFonts w:ascii="Times New Roman" w:hAnsi="Times New Roman" w:cs="Times New Roman"/>
          <w:sz w:val="28"/>
          <w:szCs w:val="28"/>
          <w:shd w:val="clear" w:color="auto" w:fill="FFFFFF"/>
        </w:rPr>
        <w:tab/>
        <w:t xml:space="preserve">Считаем необходимым уделять повышенное внимание качеству проводимых анализов рынков: зачастую на практике территориальные органы при установлении коллективного доминирования учитывают лишь количественные параметры (размеры долей участников рынка), не проводя исследования характеристик такого рынка, наличия и преодолимости барьеров к доступу и т.д. Кроме того, требует пересмотра подход антимонопольных органов к рассмотрению дел о торгах - с учетом сформированной практики Верховного Суда Российской Федерации. </w:t>
      </w:r>
    </w:p>
    <w:p w14:paraId="61085C66" w14:textId="5F57CB44" w:rsidR="00E03C04" w:rsidRPr="00E03C04" w:rsidRDefault="00E03C04" w:rsidP="00E03C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5.</w:t>
      </w:r>
      <w:r w:rsidRPr="00E03C04">
        <w:rPr>
          <w:rFonts w:ascii="Times New Roman" w:hAnsi="Times New Roman" w:cs="Times New Roman"/>
          <w:sz w:val="28"/>
          <w:szCs w:val="28"/>
          <w:shd w:val="clear" w:color="auto" w:fill="FFFFFF"/>
        </w:rPr>
        <w:tab/>
        <w:t xml:space="preserve">Ожидаем и считаем важными для формирования единообразной практики правоприменения разъяснения в части применения Федерального закона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основах государственного регулирования торговой деятельности в Российской Федерации</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для аптечных сетей, продающих продукты питания.</w:t>
      </w:r>
    </w:p>
    <w:p w14:paraId="18CD8CA6" w14:textId="746B962C" w:rsidR="00E03C04" w:rsidRPr="00E03C04" w:rsidRDefault="00E03C04" w:rsidP="00E03C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6.</w:t>
      </w:r>
      <w:r w:rsidRPr="00E03C04">
        <w:rPr>
          <w:rFonts w:ascii="Times New Roman" w:hAnsi="Times New Roman" w:cs="Times New Roman"/>
          <w:sz w:val="28"/>
          <w:szCs w:val="28"/>
          <w:shd w:val="clear" w:color="auto" w:fill="FFFFFF"/>
        </w:rPr>
        <w:tab/>
        <w:t xml:space="preserve">Считаем важным при рассмотрении дел о применении Закона о торговле проведение анализа состояния конкуренции в полном объёме (определять товарный рынок, продуктовые и географические границы, состав продавцов и покупателей и др.) согласно методике, установленной Приказом ФАС России от 28.04.2010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220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утверждении Порядка проведения анализа состояния конкуренции на товарном рынке</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w:t>
      </w:r>
    </w:p>
    <w:p w14:paraId="20997CBF" w14:textId="77777777" w:rsidR="00E03C04" w:rsidRPr="00E03C04" w:rsidRDefault="00E03C04" w:rsidP="00E03C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7.</w:t>
      </w:r>
      <w:r w:rsidRPr="00E03C04">
        <w:rPr>
          <w:rFonts w:ascii="Times New Roman" w:hAnsi="Times New Roman" w:cs="Times New Roman"/>
          <w:sz w:val="28"/>
          <w:szCs w:val="28"/>
          <w:shd w:val="clear" w:color="auto" w:fill="FFFFFF"/>
        </w:rPr>
        <w:tab/>
        <w:t>Считаем важным уделять больше внимания совершенствованию процедуры рассмотрения антимонопольных дел. В частности, рассмотреть возможность предоставления антимонопольным органом аналитического отчёта, подготовленного по результатам оценки состояния конкуренции, хозяйствующим субъектам, занимающим доминирующее положение. Кроме того, предлагаем расширить перечень оснований для прекращения антимонопольных дел, дополнив его признанием судом незаконным предупреждения, выданного антимонопольным органом.</w:t>
      </w:r>
    </w:p>
    <w:p w14:paraId="75C47B1D" w14:textId="77777777" w:rsidR="00E03C04" w:rsidRPr="00883A81" w:rsidRDefault="00E03C04" w:rsidP="00C63A1D">
      <w:pPr>
        <w:keepNext/>
        <w:widowControl w:val="0"/>
        <w:shd w:val="clear" w:color="auto" w:fill="FFFFFF"/>
        <w:spacing w:after="0" w:line="240" w:lineRule="auto"/>
        <w:ind w:firstLine="709"/>
        <w:jc w:val="both"/>
        <w:rPr>
          <w:rFonts w:ascii="Times New Roman" w:hAnsi="Times New Roman" w:cs="Times New Roman"/>
          <w:sz w:val="28"/>
          <w:szCs w:val="28"/>
        </w:rPr>
      </w:pPr>
    </w:p>
    <w:p w14:paraId="02C35D44" w14:textId="77777777" w:rsidR="00481A29" w:rsidRDefault="00481A29" w:rsidP="00EF5C9C">
      <w:pPr>
        <w:rPr>
          <w:rFonts w:ascii="Times New Roman" w:eastAsia="Times New Roman" w:hAnsi="Times New Roman" w:cs="Times New Roman"/>
          <w:b/>
          <w:sz w:val="28"/>
          <w:szCs w:val="28"/>
          <w:lang w:eastAsia="ru-RU"/>
        </w:rPr>
      </w:pPr>
    </w:p>
    <w:p w14:paraId="1BDDBCEB" w14:textId="2677D83B" w:rsidR="00A829E9" w:rsidRDefault="00A829E9" w:rsidP="00EF64DA">
      <w:pPr>
        <w:pStyle w:val="2"/>
        <w:numPr>
          <w:ilvl w:val="1"/>
          <w:numId w:val="67"/>
        </w:numPr>
      </w:pPr>
      <w:bookmarkStart w:id="2063" w:name="_Toc7448055"/>
      <w:r>
        <w:t>Общероссийская общественная организация малого и среднего предпринимательства «ОПОРА РОССИИ»</w:t>
      </w:r>
      <w:bookmarkEnd w:id="2063"/>
    </w:p>
    <w:p w14:paraId="24A5343B"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p>
    <w:p w14:paraId="70D170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«ОПОРА РОССИИ» в</w:t>
      </w:r>
      <w:r>
        <w:rPr>
          <w:rFonts w:ascii="Times New Roman" w:eastAsia="Calibri" w:hAnsi="Times New Roman" w:cs="Times New Roman"/>
          <w:sz w:val="28"/>
          <w:szCs w:val="28"/>
        </w:rPr>
        <w:t xml:space="preserve"> рамках ежегодного мониторинга </w:t>
      </w:r>
      <w:r w:rsidRPr="007757ED">
        <w:rPr>
          <w:rFonts w:ascii="Times New Roman" w:eastAsia="Calibri" w:hAnsi="Times New Roman" w:cs="Times New Roman"/>
          <w:sz w:val="28"/>
          <w:szCs w:val="28"/>
        </w:rPr>
        <w:t>состояния предпринимательского климата провела опрос среди субъектов малого и среднего предпринимательства о состоянии конкуренции в России. Опрос проводился региональными отделениями организации по всей стране. В мониторинге принимали участие юридические лица, индивидуальные предприниматели и самозанятые. При этом анкету заполнили не только</w:t>
      </w:r>
      <w:r>
        <w:rPr>
          <w:rFonts w:ascii="Times New Roman" w:eastAsia="Calibri" w:hAnsi="Times New Roman" w:cs="Times New Roman"/>
          <w:sz w:val="28"/>
          <w:szCs w:val="28"/>
        </w:rPr>
        <w:t xml:space="preserve"> официально зарегистрированные </w:t>
      </w:r>
      <w:r w:rsidRPr="007757ED">
        <w:rPr>
          <w:rFonts w:ascii="Times New Roman" w:eastAsia="Calibri" w:hAnsi="Times New Roman" w:cs="Times New Roman"/>
          <w:sz w:val="28"/>
          <w:szCs w:val="28"/>
        </w:rPr>
        <w:t>самозанятые, но и те, кто до сих пор остается в тени.</w:t>
      </w:r>
    </w:p>
    <w:p w14:paraId="2DC3D061" w14:textId="77777777" w:rsidR="007757ED" w:rsidRPr="007757ED" w:rsidRDefault="007757ED" w:rsidP="007757ED">
      <w:pPr>
        <w:spacing w:after="0" w:line="240" w:lineRule="auto"/>
        <w:ind w:firstLine="709"/>
        <w:jc w:val="both"/>
        <w:rPr>
          <w:rFonts w:ascii="Times New Roman" w:eastAsia="Calibri" w:hAnsi="Times New Roman" w:cs="Times New Roman"/>
          <w:sz w:val="20"/>
          <w:szCs w:val="28"/>
        </w:rPr>
      </w:pPr>
    </w:p>
    <w:p w14:paraId="4C1DDB40"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8720" behindDoc="0" locked="0" layoutInCell="1" allowOverlap="1" wp14:anchorId="3E193CC2" wp14:editId="693CA163">
            <wp:simplePos x="0" y="0"/>
            <wp:positionH relativeFrom="column">
              <wp:posOffset>-33655</wp:posOffset>
            </wp:positionH>
            <wp:positionV relativeFrom="paragraph">
              <wp:posOffset>146050</wp:posOffset>
            </wp:positionV>
            <wp:extent cx="5923915" cy="1717675"/>
            <wp:effectExtent l="0" t="0" r="635" b="0"/>
            <wp:wrapTopAndBottom/>
            <wp:docPr id="68" name="Рисунок 68" descr="д_кто участ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участвал"/>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23915" cy="171767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1.</w:t>
      </w:r>
    </w:p>
    <w:p w14:paraId="3071011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7A42A25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Респонденты отвечали на вопросы, которые затрагивали оценку уровня конкуренции, количество конкурентов, качество работы антимонопольных органов, наличие административных барьеров,  успешность  бизнеса, частичную оценку предпринимательского климата.</w:t>
      </w:r>
    </w:p>
    <w:p w14:paraId="695AFA82"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Для начала респондентам было предложено оценить состояние своего бизнеса. 26% предпринимателей отметили, что их бизнес развивается плохо. Целых 6% не смогли оценить, насколько успешно идут дела.</w:t>
      </w:r>
    </w:p>
    <w:p w14:paraId="624946D5"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302F520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9744" behindDoc="0" locked="0" layoutInCell="1" allowOverlap="1" wp14:anchorId="560834AC" wp14:editId="13D97EEE">
            <wp:simplePos x="0" y="0"/>
            <wp:positionH relativeFrom="column">
              <wp:posOffset>-25400</wp:posOffset>
            </wp:positionH>
            <wp:positionV relativeFrom="paragraph">
              <wp:posOffset>149860</wp:posOffset>
            </wp:positionV>
            <wp:extent cx="5939790" cy="1725295"/>
            <wp:effectExtent l="0" t="0" r="3810" b="8255"/>
            <wp:wrapTopAndBottom/>
            <wp:docPr id="67" name="Рисунок 67" descr="д_насколько успешен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насколько успешен бизнес"/>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9790" cy="172529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2. Насколько успешно развивается Ваш бизнес?</w:t>
      </w:r>
    </w:p>
    <w:p w14:paraId="226A27DD"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5D881CE7"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 общей сложности 67% опрошенных оценили конкуренцию на рынке как «очень или достаточно сильная», что на 2% больше, чем в прошлом году.</w:t>
      </w:r>
    </w:p>
    <w:p w14:paraId="49C9BF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следует из ниже представленной диаграммы, 67% опрошенных предпринимателей  считают, что за прошедший год конкуренция усилилась (на 4% больше, чем в прошлом году). В ходе опроса только 10% респондентов отметили ослабление конкуренции в своей отрасли.</w:t>
      </w:r>
    </w:p>
    <w:p w14:paraId="5BB26C13"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6E8EA65"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3. Как Вы оцениваете конкуренцию в Вашем бизнесе на сегодняшний день?</w:t>
      </w:r>
    </w:p>
    <w:p w14:paraId="10750833"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58240" behindDoc="0" locked="0" layoutInCell="1" allowOverlap="1" wp14:anchorId="19E73F23" wp14:editId="576DF0EA">
            <wp:simplePos x="0" y="0"/>
            <wp:positionH relativeFrom="column">
              <wp:posOffset>-8255</wp:posOffset>
            </wp:positionH>
            <wp:positionV relativeFrom="paragraph">
              <wp:posOffset>215900</wp:posOffset>
            </wp:positionV>
            <wp:extent cx="5923915" cy="2115185"/>
            <wp:effectExtent l="0" t="0" r="635" b="0"/>
            <wp:wrapTopAndBottom/>
            <wp:docPr id="66" name="Рисунок 66" descr="д_оценка конкуренции на сего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конкуренции на сегодня"/>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23915" cy="2115185"/>
                    </a:xfrm>
                    <a:prstGeom prst="rect">
                      <a:avLst/>
                    </a:prstGeom>
                    <a:noFill/>
                  </pic:spPr>
                </pic:pic>
              </a:graphicData>
            </a:graphic>
            <wp14:sizeRelH relativeFrom="page">
              <wp14:pctWidth>0</wp14:pctWidth>
            </wp14:sizeRelH>
            <wp14:sizeRelV relativeFrom="page">
              <wp14:pctHeight>0</wp14:pctHeight>
            </wp14:sizeRelV>
          </wp:anchor>
        </w:drawing>
      </w:r>
    </w:p>
    <w:p w14:paraId="74C8486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428E298D" w14:textId="77777777" w:rsidR="007757ED" w:rsidRPr="007757ED" w:rsidRDefault="007757ED" w:rsidP="007757ED">
      <w:pPr>
        <w:spacing w:after="0" w:line="240" w:lineRule="auto"/>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1792" behindDoc="0" locked="0" layoutInCell="1" allowOverlap="1" wp14:anchorId="2FC01AA0" wp14:editId="77CA28E4">
            <wp:simplePos x="0" y="0"/>
            <wp:positionH relativeFrom="column">
              <wp:posOffset>-17145</wp:posOffset>
            </wp:positionH>
            <wp:positionV relativeFrom="paragraph">
              <wp:posOffset>252095</wp:posOffset>
            </wp:positionV>
            <wp:extent cx="5939790" cy="2083435"/>
            <wp:effectExtent l="0" t="0" r="3810" b="0"/>
            <wp:wrapTopAndBottom/>
            <wp:docPr id="65" name="Рисунок 65" descr="д_как изменилась конкуренция за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как изменилась конкуренция за год"/>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9790" cy="208343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4. Как изменилась конкуренция в Вашем бизнесе за последний год?</w:t>
      </w:r>
    </w:p>
    <w:p w14:paraId="62DCDE9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4E531A12"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51C039F"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При этом больше половины респондентов (59%) сообщило, что количество конкурентов на их рынке возросло за последний год. Этот показатель вырос в сравнении с прошлогодним на 3%.</w:t>
      </w:r>
    </w:p>
    <w:p w14:paraId="7EC3D7D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3A3CD862"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5. Как изменилось количество конкурентов Вашего бизнеса на основном рынке товаров (услуг) за последний год?</w:t>
      </w:r>
    </w:p>
    <w:p w14:paraId="4B45E9C3"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218F9895" wp14:editId="1CDD5962">
            <wp:extent cx="5924550" cy="1228725"/>
            <wp:effectExtent l="0" t="0" r="0" b="9525"/>
            <wp:docPr id="63" name="Рисунок 63" descr="д_как изменилось колво конкур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_как изменилось колво конкурентов"/>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24550" cy="1228725"/>
                    </a:xfrm>
                    <a:prstGeom prst="rect">
                      <a:avLst/>
                    </a:prstGeom>
                    <a:noFill/>
                    <a:ln>
                      <a:noFill/>
                    </a:ln>
                  </pic:spPr>
                </pic:pic>
              </a:graphicData>
            </a:graphic>
          </wp:inline>
        </w:drawing>
      </w:r>
    </w:p>
    <w:p w14:paraId="5425C697"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4840662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Основными своими конкурентами малые предприниматели считают представителей крупного бизнеса (40%) и теневой сектор (31%).</w:t>
      </w:r>
    </w:p>
    <w:p w14:paraId="699B8AB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0F261A5A"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6.</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Кого Вы считаете основным конкурентом?</w:t>
      </w:r>
    </w:p>
    <w:p w14:paraId="43CDB02F"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44ECCB79"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r w:rsidRPr="007757ED">
        <w:rPr>
          <w:rFonts w:ascii="Times New Roman" w:eastAsia="Calibri" w:hAnsi="Times New Roman" w:cs="Times New Roman"/>
          <w:noProof/>
          <w:sz w:val="28"/>
          <w:szCs w:val="28"/>
          <w:lang w:eastAsia="ru-RU"/>
        </w:rPr>
        <w:drawing>
          <wp:inline distT="0" distB="0" distL="0" distR="0" wp14:anchorId="72BAC27D" wp14:editId="01C436F7">
            <wp:extent cx="5943600" cy="1266825"/>
            <wp:effectExtent l="0" t="0" r="0" b="9525"/>
            <wp:docPr id="62" name="Рисунок 62" descr="д_кто основной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основной конкурент"/>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14:paraId="4B46B6F9"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72E65C60"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0A72BAA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E6E476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17B5BB2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Чаще всего отмечали усиление конкуренции предприниматели, занятые в сфере оказания бытовых и социальных услуг (91,6%), энергетики (87,5%), здравоохранения (86,6%) и производства пищевых продуктов (83,3%).</w:t>
      </w:r>
    </w:p>
    <w:p w14:paraId="31DA339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1AF91E7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211839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7.</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Отрасли, где отметилось усиление конкуренции (% от числа опрошенных в отрасли)</w:t>
      </w:r>
    </w:p>
    <w:p w14:paraId="54F1BD40"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58F61D16"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r w:rsidRPr="007757ED">
        <w:rPr>
          <w:rFonts w:ascii="Times New Roman" w:eastAsia="Calibri" w:hAnsi="Times New Roman" w:cs="Times New Roman"/>
          <w:noProof/>
          <w:sz w:val="28"/>
          <w:szCs w:val="28"/>
          <w:lang w:eastAsia="ru-RU"/>
        </w:rPr>
        <w:drawing>
          <wp:inline distT="0" distB="0" distL="0" distR="0" wp14:anchorId="5F7D5774" wp14:editId="6690E00C">
            <wp:extent cx="5934075" cy="3609975"/>
            <wp:effectExtent l="0" t="0" r="9525" b="9525"/>
            <wp:docPr id="61" name="Рисунок 61" descr="д_кто отмечал уси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кто отмечал усиление"/>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noFill/>
                    <a:ln>
                      <a:noFill/>
                    </a:ln>
                  </pic:spPr>
                </pic:pic>
              </a:graphicData>
            </a:graphic>
          </wp:inline>
        </w:drawing>
      </w:r>
    </w:p>
    <w:p w14:paraId="74C6B0DA"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057B8F90" w14:textId="77777777" w:rsidR="007757ED" w:rsidRPr="007757ED" w:rsidRDefault="007757ED" w:rsidP="007757ED">
      <w:pPr>
        <w:spacing w:after="0" w:line="240" w:lineRule="auto"/>
        <w:ind w:firstLine="709"/>
        <w:contextualSpacing/>
        <w:jc w:val="both"/>
        <w:rPr>
          <w:rFonts w:ascii="Times New Roman" w:eastAsia="Calibri" w:hAnsi="Times New Roman" w:cs="Times New Roman"/>
          <w:noProof/>
          <w:sz w:val="28"/>
          <w:szCs w:val="28"/>
          <w:lang w:eastAsia="ru-RU"/>
        </w:rPr>
      </w:pPr>
    </w:p>
    <w:p w14:paraId="703F3E3B" w14:textId="77777777" w:rsidR="007757ED" w:rsidRPr="007757ED" w:rsidRDefault="007757ED" w:rsidP="007757ED">
      <w:pPr>
        <w:spacing w:after="0" w:line="240" w:lineRule="auto"/>
        <w:ind w:firstLine="709"/>
        <w:contextualSpacing/>
        <w:jc w:val="both"/>
        <w:rPr>
          <w:rFonts w:ascii="Times New Roman" w:eastAsia="Calibri" w:hAnsi="Times New Roman" w:cs="Times New Roman"/>
          <w:noProof/>
          <w:sz w:val="28"/>
          <w:szCs w:val="28"/>
          <w:lang w:eastAsia="ru-RU"/>
        </w:rPr>
      </w:pPr>
    </w:p>
    <w:p w14:paraId="454363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t>В ходе опроса</w:t>
      </w:r>
      <w:r w:rsidRPr="007757ED">
        <w:rPr>
          <w:rFonts w:ascii="Times New Roman" w:eastAsia="Calibri" w:hAnsi="Times New Roman" w:cs="Times New Roman"/>
          <w:sz w:val="28"/>
          <w:szCs w:val="28"/>
        </w:rPr>
        <w:t xml:space="preserve"> предприниматели оценивали условия создания бизнеса с нуля и ведения </w:t>
      </w:r>
      <w:r>
        <w:rPr>
          <w:rFonts w:ascii="Times New Roman" w:eastAsia="Calibri" w:hAnsi="Times New Roman" w:cs="Times New Roman"/>
          <w:sz w:val="28"/>
          <w:szCs w:val="28"/>
        </w:rPr>
        <w:t xml:space="preserve">хозяйственной деятельности уже </w:t>
      </w:r>
      <w:r w:rsidRPr="007757ED">
        <w:rPr>
          <w:rFonts w:ascii="Times New Roman" w:eastAsia="Calibri" w:hAnsi="Times New Roman" w:cs="Times New Roman"/>
          <w:sz w:val="28"/>
          <w:szCs w:val="28"/>
        </w:rPr>
        <w:t>существующими предприятиями. Исходя из нижепредставленной диаграммы, вести существующий бизнес незначительно легче, чем открыть новый, несмотря на в целом низкую оценку предпринимателями условий ведения бизнеса.</w:t>
      </w:r>
    </w:p>
    <w:p w14:paraId="453DDE7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718B9ADF"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3C14697"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8. Оценка условий создания бизнеса с нуля и ведения хоз.деятельности существующими предприятиями (оценка «1» - очень неблагоприятные, оценка «5» - очень благоприятные.)</w:t>
      </w:r>
    </w:p>
    <w:p w14:paraId="78BDBF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p>
    <w:p w14:paraId="22734CF3"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5EF01435" wp14:editId="3B442C04">
            <wp:extent cx="5924550" cy="3152775"/>
            <wp:effectExtent l="0" t="0" r="0" b="9525"/>
            <wp:docPr id="60" name="Рисунок 60" descr="д_оценка условий ведения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условий ведения бизнеса"/>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3C5BD255"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29A0C85E"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Также респондентов спрашивали, считают ли они, что состояние конкурентной среды за последний год улучшилось, а антиконкурентных действий со стороны органов власти стало меньше. Анализ ответов позволяет сделать вывод, что предприниматели не согласны с указанными утверждениями.</w:t>
      </w:r>
    </w:p>
    <w:p w14:paraId="18338E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0CF066E1"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9. Оценка динамики состояния конкурентной среды и действий органов власти (оценка «1» - категорически не согласен, оценка «5» - полностью согласен)</w:t>
      </w:r>
    </w:p>
    <w:p w14:paraId="7DA78D4B"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p>
    <w:p w14:paraId="1FE461FF"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41596B79" wp14:editId="1E7CC884">
            <wp:extent cx="5924550" cy="3152775"/>
            <wp:effectExtent l="0" t="0" r="0" b="9525"/>
            <wp:docPr id="59" name="Рисунок 59" descr="д_оценка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оценка конкурент"/>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17902EE8" w14:textId="77777777" w:rsidR="007757ED" w:rsidRPr="007757ED" w:rsidRDefault="007757ED" w:rsidP="007757ED">
      <w:pPr>
        <w:tabs>
          <w:tab w:val="left" w:pos="8165"/>
        </w:tabs>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ab/>
      </w:r>
    </w:p>
    <w:p w14:paraId="116447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4F21B04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5A743C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Представители малого и среднего бизнеса отметили основные административные барьеры, препятствующие их деятельности. Итоги опроса показали, что больше всего мешают развитию бизнеса сложность доступа к инфраструктуре и нестабильность российского законодательства.</w:t>
      </w:r>
    </w:p>
    <w:p w14:paraId="383866C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6CAA51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10. Административные барьеры, препятствующие ведению бизнеса, % от числа респондентов (предлагалось выбрать более 1 варианта ответа)</w:t>
      </w:r>
    </w:p>
    <w:p w14:paraId="072D7A25"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6B395C9"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4253556" wp14:editId="127C05BA">
            <wp:extent cx="5924550" cy="4333875"/>
            <wp:effectExtent l="0" t="0" r="0" b="9525"/>
            <wp:docPr id="58" name="Рисунок 58" descr="д_админ барь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админ барьеры"/>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24550" cy="4333875"/>
                    </a:xfrm>
                    <a:prstGeom prst="rect">
                      <a:avLst/>
                    </a:prstGeom>
                    <a:noFill/>
                    <a:ln>
                      <a:noFill/>
                    </a:ln>
                  </pic:spPr>
                </pic:pic>
              </a:graphicData>
            </a:graphic>
          </wp:inline>
        </w:drawing>
      </w:r>
    </w:p>
    <w:p w14:paraId="628630A3"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5104B75A"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Более 59% опрошенных указывали на наличие барьеров, требующих значительных затрат на их преодоление. Только 5,1% респондентов считает, что административных барьеров в их отрасли нет. </w:t>
      </w:r>
    </w:p>
    <w:p w14:paraId="3CFAE53E"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0039446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11. Наличие административных барьеров</w:t>
      </w:r>
    </w:p>
    <w:p w14:paraId="3002FFB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E17C09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AF4701C" wp14:editId="4E7DBD36">
            <wp:extent cx="5943600" cy="2219325"/>
            <wp:effectExtent l="0" t="0" r="0" b="9525"/>
            <wp:docPr id="57" name="Рисунок 57" descr="д_админ барьер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_админ барьеры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14:paraId="7044CEFA"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AC530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За прошедший год во многих отраслях количество барьеров возросло. Некоторые респонденты (2,1%) отметили, что раньше барьеров в их сфере не было, а в прошедшем году появились.</w:t>
      </w:r>
    </w:p>
    <w:p w14:paraId="19E4621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993260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12. Динамика наличия административных барьеров  за последний год.</w:t>
      </w:r>
    </w:p>
    <w:p w14:paraId="4D25C98E"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3DB23A95"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48D08EB1" wp14:editId="03FF007C">
            <wp:extent cx="5934075" cy="2219325"/>
            <wp:effectExtent l="0" t="0" r="9525" b="9525"/>
            <wp:docPr id="56" name="Рисунок 56" descr="д_админ барьер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_админ барьеры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797E327A"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7963760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Целый блок опроса был посвящен оценке системы защиты прав предпринимателей от недобросовестной конкуренции. </w:t>
      </w:r>
    </w:p>
    <w:p w14:paraId="77B46A6C"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5F6396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0A9B957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13. Оценка работы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0DC22C9C"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6D36147E"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68C242E7" wp14:editId="7F8D780C">
            <wp:extent cx="4457700" cy="2905125"/>
            <wp:effectExtent l="0" t="0" r="0" b="9525"/>
            <wp:docPr id="55" name="Рисунок 55" descr="д_оценка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_оценка работы фас"/>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57700" cy="2905125"/>
                    </a:xfrm>
                    <a:prstGeom prst="rect">
                      <a:avLst/>
                    </a:prstGeom>
                    <a:noFill/>
                    <a:ln>
                      <a:noFill/>
                    </a:ln>
                  </pic:spPr>
                </pic:pic>
              </a:graphicData>
            </a:graphic>
          </wp:inline>
        </w:drawing>
      </w:r>
    </w:p>
    <w:p w14:paraId="4EBD0BFA"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p>
    <w:p w14:paraId="4581465E"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0B7568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Предпринимателям предложили оценить работу антимонопольных органов. Анализ ответов показал, что только 11,7% респондентов поставили положительную оценку. Подавляющее большинство негативно оценили деятельность антимонопольных органов.  </w:t>
      </w:r>
    </w:p>
    <w:p w14:paraId="3227932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343F8C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Из всех опрошенных респондентов 20,2% обращались в территориальные органы антимонопольной службы за защитой своих прав и интересов. Основная причина обращения в ФАС России – нарушение законодательства о закупках. </w:t>
      </w:r>
    </w:p>
    <w:p w14:paraId="51AB04E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28E86811"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14. Сферы, где чаще всего возникают причины для жалоб.</w:t>
      </w:r>
    </w:p>
    <w:p w14:paraId="76ED0C9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F091ACD"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71436648" wp14:editId="41B7D729">
            <wp:extent cx="5924550" cy="2085975"/>
            <wp:effectExtent l="0" t="0" r="0" b="9525"/>
            <wp:docPr id="54" name="Рисунок 54" descr="д_сферы обра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_сферы обращения"/>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24550" cy="2085975"/>
                    </a:xfrm>
                    <a:prstGeom prst="rect">
                      <a:avLst/>
                    </a:prstGeom>
                    <a:noFill/>
                    <a:ln>
                      <a:noFill/>
                    </a:ln>
                  </pic:spPr>
                </pic:pic>
              </a:graphicData>
            </a:graphic>
          </wp:inline>
        </w:drawing>
      </w:r>
    </w:p>
    <w:p w14:paraId="1B5626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531A8752"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3BC6254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Анализ ответов предпринимателей показал, что на дату опроса 32,8% обращений было разрешено положительно, 47,7% - отрицательно, а еще 19,5% находились в процессе рассмотрения.</w:t>
      </w:r>
    </w:p>
    <w:p w14:paraId="3B90585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Из всех обращавшихся в антимонопольные органы предпринимателей 13,4% по итогам обращения подали жалобу на действия сотрудника. 44,4% всех жалоб на сотрудников признано обоснованными.</w:t>
      </w:r>
    </w:p>
    <w:p w14:paraId="2B9951F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8"/>
          <w:szCs w:val="28"/>
        </w:rPr>
        <w:t>Предприниматели оценили, насколько эффективен порядок обращения в антимонопольные органы и обжалование действий сотрудников.</w:t>
      </w:r>
      <w:r w:rsidRPr="007757ED">
        <w:rPr>
          <w:rFonts w:ascii="Times New Roman" w:eastAsia="Calibri" w:hAnsi="Times New Roman" w:cs="Times New Roman"/>
          <w:sz w:val="20"/>
          <w:szCs w:val="20"/>
        </w:rPr>
        <w:t xml:space="preserve"> </w:t>
      </w:r>
    </w:p>
    <w:p w14:paraId="33E9C36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29F9FE04"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15. Оценка эффективности</w:t>
      </w:r>
    </w:p>
    <w:p w14:paraId="7692B0BF"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существующего порядка защиты своих прав.</w:t>
      </w:r>
    </w:p>
    <w:p w14:paraId="749392A8"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2816" behindDoc="0" locked="0" layoutInCell="1" allowOverlap="1" wp14:anchorId="44C6153D" wp14:editId="7E299ABA">
            <wp:simplePos x="0" y="0"/>
            <wp:positionH relativeFrom="column">
              <wp:posOffset>2369185</wp:posOffset>
            </wp:positionH>
            <wp:positionV relativeFrom="paragraph">
              <wp:posOffset>125095</wp:posOffset>
            </wp:positionV>
            <wp:extent cx="3609975" cy="2528570"/>
            <wp:effectExtent l="0" t="0" r="9525" b="5080"/>
            <wp:wrapSquare wrapText="bothSides"/>
            <wp:docPr id="64" name="Рисунок 64" descr="д_порядок обжал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порядок обжалования"/>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09975" cy="2528570"/>
                    </a:xfrm>
                    <a:prstGeom prst="rect">
                      <a:avLst/>
                    </a:prstGeom>
                    <a:noFill/>
                  </pic:spPr>
                </pic:pic>
              </a:graphicData>
            </a:graphic>
            <wp14:sizeRelH relativeFrom="page">
              <wp14:pctWidth>0</wp14:pctWidth>
            </wp14:sizeRelH>
            <wp14:sizeRelV relativeFrom="page">
              <wp14:pctHeight>0</wp14:pctHeight>
            </wp14:sizeRelV>
          </wp:anchor>
        </w:drawing>
      </w:r>
    </w:p>
    <w:p w14:paraId="5C6E403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Показатели доверия к существующему порядку защиты своих прав в антимонопольных органах и  обжалования действий их сотрудников незначительно снизились по сравнению с прошлым годом и составили 43,2% и 40,2%. Год назад показатели доверия предпринимателей были на уровне 47,1% и 42% соответственно.</w:t>
      </w:r>
    </w:p>
    <w:p w14:paraId="0CA2BB07"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59EDB9BB"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8"/>
          <w:szCs w:val="28"/>
        </w:rPr>
      </w:pPr>
    </w:p>
    <w:p w14:paraId="0FFB31FF"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2B9CF2A"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Респондентам было предложено оценить качество работы антимонопольных органов, уровень квалификации их сотрудников, а также степень участия антимонопольных органов в снижении административных барьеров за прошедший год. Сводная диаграмма показывает, что выше всего предприниматели оценили квалификацию сотрудников. При этом большинство негативно оценивает действия антимонопольных органов. Только 23,9% опрошенных считает, что действия ФАС России положительно сказались на снижении административных барьеров за прошедший год.</w:t>
      </w:r>
    </w:p>
    <w:p w14:paraId="1D4D5BB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BC3828C"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16. Оценка качества, квалификации и влияния деятельности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567408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3C6D85D2"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0"/>
          <w:szCs w:val="20"/>
          <w:lang w:eastAsia="ru-RU"/>
        </w:rPr>
        <w:drawing>
          <wp:inline distT="0" distB="0" distL="0" distR="0" wp14:anchorId="1D21BC0C" wp14:editId="3237D02F">
            <wp:extent cx="5943600" cy="3276600"/>
            <wp:effectExtent l="0" t="0" r="0" b="0"/>
            <wp:docPr id="53" name="Рисунок 53" descr="д_качество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_качество работы фас"/>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50B3ABD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7D36BA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Помимо проведения ежегодного мониторинга эксперты «ОПОРЫ РОССИИ» курируют вопросы развития конкуренции и работают с системными проблемами в различных сферах, которые препятствуют формированию здоровой конкурентной среды. Некоторые из них считаем необходимым также внести в Доклад о состоянии конкуренции в Российской Федерации.</w:t>
      </w:r>
    </w:p>
    <w:p w14:paraId="24D5FA1A"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003954BB" w14:textId="77777777" w:rsidR="007757ED" w:rsidRPr="007757ED" w:rsidRDefault="007757ED" w:rsidP="007757ED">
      <w:pPr>
        <w:spacing w:after="0" w:line="240" w:lineRule="auto"/>
        <w:ind w:left="709"/>
        <w:contextualSpacing/>
        <w:jc w:val="both"/>
        <w:rPr>
          <w:rFonts w:ascii="Times New Roman" w:eastAsia="Calibri" w:hAnsi="Times New Roman" w:cs="Times New Roman"/>
          <w:sz w:val="28"/>
          <w:szCs w:val="28"/>
        </w:rPr>
      </w:pPr>
    </w:p>
    <w:p w14:paraId="32743AF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2.</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Закупки у единственного поставщика.</w:t>
      </w:r>
      <w:r w:rsidRPr="007757ED">
        <w:rPr>
          <w:rFonts w:ascii="Times New Roman" w:eastAsia="Calibri" w:hAnsi="Times New Roman" w:cs="Times New Roman"/>
          <w:sz w:val="28"/>
          <w:szCs w:val="28"/>
        </w:rPr>
        <w:t xml:space="preserve"> Безусловно, без закупок у единственного поставщика в государственном секторе не обойтись по ряду объективных причин. Однако довольно часто наблюдаются злоупотребления правом закупки у единственного поставщика. По нашим наблюдениям есть ряд категорий закупок, которые необоснованно проводят как закупки у единственного поставщика.</w:t>
      </w:r>
    </w:p>
    <w:p w14:paraId="3005DB1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К таким можно отнести закупки услуг по организации общественного питания в рамках официальных мероприятий. Так, например, в Республике Мордовия за период с 01.01.2018 по 31.07.2018 властями региона были закуплены услуги по организации общественного питания в рамках официальных мероприятий у единственного поставщика на общую сумму более 28 млн. руб. При этом закупки разных ведомств были буквально у «единственного» поставщика – ГУП Республики Мордовия «Комбинат питания «Мордовия». Стоит отметить, что согласно сведениям Единого реестра субъектов малого и среднего предпринимательства в Республике Мордовия на 2018 год есть 59 субъектов МСП, которые оказывают услуги в соответствии с кодом ОКВЭД 56.2 «Деятельность предприятий общественного питания по обслуживанию торжественных мероприятий и прочим видам организации питания». На наш взгляд в данном случае закупки указанных услуг могли быть в рамках конкурсных процедур, и только в случае признания их несостоявшимися можно было бы заключить контракт с единственным поставщиком. </w:t>
      </w:r>
    </w:p>
    <w:p w14:paraId="6BB2B14F"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Также в качестве примера можно привести закупки по поставке мебели. В г.Москве за тот же период заключены контракты на поставку мебели с единственным поставщиком на общую сумму более 100 млн.руб. При этом анализ закупок показал, что закупалась обычная офисная мебель – шкафы, письменные столы, стулья, тумбы и т.п. Стоит обратить внимание, что в основном единственным поставщиком является Федеральное государственное унитарное предприятие «Предприятие по поставкам продукции Управления делами Президента Российской Федерации». Очевидно, что после заключения контракта ФГУП «Предприятие по поставкам продукции Управления делами Президента Российской Федерации» будет вновь объявлять закупку мебели и выбирать реального поставщика. Обоснованных причин, по которым заказчик не может сразу объявить закупку без участия предприятия посредника, не усматривается. </w:t>
      </w:r>
    </w:p>
    <w:p w14:paraId="4149072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В некоторых закупках в качестве единственного поставщика фигурируют исправительные колонии. В данном случае закупка неконкурентным способом также видится необоснованной. В настоящее время законодательство предусматривает существенное преимущество для учреждений и предприятий уголовно-исполнительной системы в отношении предлагаемой ими цены контракта в размере  до 15%. Таким образом, при участии в конкурентных процедурах у исправительных колоний есть преимущество, но при этом у обычных поставщиков остается шанс на победу. </w:t>
      </w:r>
    </w:p>
    <w:p w14:paraId="29A3585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 мнению «ОПОРЫ РОССИИ» закупка у единственного поставщика должна быть исключением, а не правилом. Если на рынке есть конкуренция и действительно есть возможность закупить товар (услугу) у разных поставщиков, необходимо проводить закупки конкурентными способами.</w:t>
      </w:r>
    </w:p>
    <w:p w14:paraId="7A805219"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27DA832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3.</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Спецсчета в закупках.</w:t>
      </w:r>
      <w:r w:rsidRPr="007757ED">
        <w:rPr>
          <w:rFonts w:ascii="Times New Roman" w:eastAsia="Calibri" w:hAnsi="Times New Roman" w:cs="Times New Roman"/>
          <w:sz w:val="28"/>
          <w:szCs w:val="28"/>
        </w:rPr>
        <w:t xml:space="preserve"> Согласно закону банк в течение одного часа обязан осуществить блокирование денежных средств на спецсчете участника закупки по информации, полученной от оператора электронной площадки после окончания срока подачи заявок. Вместе с тем практика показывает, что банки в массовом порядке не выполняют указанное требование закона: либо не отвечают на запрос оператора электронной площадки на осуществление блокирования, либо направляют информацию о блокировании с нарушением срока, в течение которого банк был обязан информировать оператора электронной площадки. Известны случаи, когда банк направляет оператору электронной площадки недостоверные сведения о специальном счете предпринимателя. Например, банк на запрос оператора сообщает, что предприятию не открыт специальный счет, хотя участник закупки заблаговременно открыл счет в кредитной организации и внес на него необходимую сумму обеспечения заявки.</w:t>
      </w:r>
    </w:p>
    <w:p w14:paraId="04E5D1E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Следствием подобной практики являются правомерные действия операторов электронных площадок, которые в случае неполучения достоверной информации от банка осуществляют возврат заявки поставщикам, которые лишаются возможности принять участие в тендере. </w:t>
      </w:r>
      <w:r w:rsidRPr="007757ED">
        <w:rPr>
          <w:rFonts w:ascii="Times New Roman" w:eastAsia="Calibri" w:hAnsi="Times New Roman" w:cs="Times New Roman"/>
          <w:sz w:val="28"/>
          <w:szCs w:val="28"/>
        </w:rPr>
        <w:br/>
        <w:t>В дальнейшем такие поставщики пытаются обжаловать действия операторов электронных площадок по возврату их заявок в ФАС России.</w:t>
      </w:r>
      <w:r w:rsidRPr="007757ED">
        <w:rPr>
          <w:rFonts w:ascii="Times New Roman" w:eastAsia="Calibri" w:hAnsi="Times New Roman" w:cs="Times New Roman"/>
          <w:sz w:val="28"/>
          <w:szCs w:val="28"/>
        </w:rPr>
        <w:br/>
        <w:t xml:space="preserve">ФАС России вынуждена в таких случаях признавать нарушения в действиях операторов электронных площадок, поскольку в настоящее время ФАС России не имеет полномочий по привлечению к административной ответственности банков, уполномоченных на открытие и ведение специальных счетов участников закупки. </w:t>
      </w:r>
    </w:p>
    <w:p w14:paraId="7FB1310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следствие, бездействие банка или нарушение кредитной организацией порядка осуществления операций по специальным счетам участников закупки не влечет каких-либо юридических последствий для банка, что представляется нам необоснованным и многократно увеличивающим риски предпринимателей, но приводит к привлечению к ответственности операторов электронных площадок, которые фактически вынуждены отвечать за бездействие банков либо нарушение ими сроков информирования операторов о состоянии специального счета.</w:t>
      </w:r>
    </w:p>
    <w:p w14:paraId="4BB2AB4A"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закрепить в действующем законодательстве положения, применение которых позволило бы предпринимателям эффективно защищать свои права при взаимодействии с банками, уполномоченными на открытие и ведение специальных счетов участников закупки.</w:t>
      </w:r>
    </w:p>
    <w:p w14:paraId="2062165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DFEF27F"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4.</w:t>
      </w:r>
      <w:r w:rsidRPr="007757ED">
        <w:rPr>
          <w:rFonts w:ascii="Arial" w:eastAsia="Calibri" w:hAnsi="Arial" w:cs="Arial"/>
          <w:b/>
          <w:sz w:val="20"/>
          <w:szCs w:val="20"/>
        </w:rPr>
        <w:t xml:space="preserve"> </w:t>
      </w:r>
      <w:r w:rsidRPr="007757ED">
        <w:rPr>
          <w:rFonts w:ascii="Times New Roman" w:eastAsia="Calibri" w:hAnsi="Times New Roman" w:cs="Times New Roman"/>
          <w:b/>
          <w:sz w:val="28"/>
          <w:szCs w:val="28"/>
        </w:rPr>
        <w:t>Единый агрегатор торговли.</w:t>
      </w:r>
      <w:r w:rsidRPr="007757ED">
        <w:rPr>
          <w:rFonts w:ascii="Arial" w:eastAsia="Calibri" w:hAnsi="Arial" w:cs="Arial"/>
          <w:sz w:val="20"/>
          <w:szCs w:val="20"/>
        </w:rPr>
        <w:t xml:space="preserve"> </w:t>
      </w:r>
      <w:r w:rsidRPr="007757ED">
        <w:rPr>
          <w:rFonts w:ascii="Times New Roman" w:eastAsia="Calibri" w:hAnsi="Times New Roman" w:cs="Times New Roman"/>
          <w:sz w:val="28"/>
          <w:szCs w:val="28"/>
        </w:rPr>
        <w:t>Регламентом функционирования Единого агрегатора торговли, утвержденного АО «РТ-Проектные технологии» в редакции от 29 декабря 2018 г. (далее – Регламент ЕАТ), установлено, что участие поставщиков в таком агрегаторе является платным. При этом обязательным условием участия в закупке у единственного поставщика, согласно последней версии Регламента ЕАТ, является внесение денежных средств на депозит – расчетный счет оператора ЕАТ.</w:t>
      </w:r>
    </w:p>
    <w:p w14:paraId="68A9E081"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Вместе с тем практика закупок у единственного поставщика посредством использования различных электронных магазинов показывает, что государственные заказчики и муниципалитеты проводят сейчас такие закупки бесплатно (например, электронные магазины г. Москвы и Московской области). Во многих регионах возможность бесплатного участия в таких тендерах составляет значительный портфель заказов малого бизнеса, не имеющего по разным причинам финансовых возможностей для постоянного участия в крупных торгах.</w:t>
      </w:r>
    </w:p>
    <w:p w14:paraId="5816A421"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Поскольку заказчики вправе проводить тендеры у ед. поставщиков только если стартовая цена не превышает 400 тыс. руб., требование оператора ЕАТ об открытии предпринимателями депозитов, внесении суммы депозита на счет оператора ЕАТ нам представляются чрезмерными, тем более, что по торгам до 1 млн. руб. заказчики вправе, а не обязаны требовать с поставщиков обеспечения заявок. </w:t>
      </w:r>
    </w:p>
    <w:p w14:paraId="77A37C12"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рассмотреть возможность установления на законодательном уровне следующих единых правил осуществления заказчиками закупок у единственного поставщика в электронной форме в случаях, предусмотренных п.п.4, 5, 28 ч.1 ст.93 № 44-ФЗ:</w:t>
      </w:r>
    </w:p>
    <w:p w14:paraId="55DBC8E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1) предусмотреть, что закупки у единственного поставщика в электронной форме могут осуществляться заказчиками любого уровня с использованием функционала ЕИС, либо региональных государственных информационных систем в сфере закупок, либо электронных площадок, включенных в перечень Распоряжением Правительства Российской Федерации от 12 июля 2018 г. № 1447-р;</w:t>
      </w:r>
    </w:p>
    <w:p w14:paraId="6BB83F2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2) установить обязательность интеграции региональных государственных информационных систем в сфере закупок, обеспечивающих проведение закупок у единственного поставщика в электронной форме, а также электронных площадок, предоставляющих функционал проведения закупок у единственного поставщика в электронной форме, с ЕИС в части раскрытия информации о закупке и ведения единого реестра таких закупок;</w:t>
      </w:r>
    </w:p>
    <w:p w14:paraId="165CB70F"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3) распространить на закупки у единственного поставщика в электронной форме правила взимания платы, предусмотренные Постановлением Правительства РФ от 10 мая 2018 г. № 564;</w:t>
      </w:r>
    </w:p>
    <w:p w14:paraId="7DE76AED"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4) предоставить заказчикам, а не операторам электронных магазинов право по установлению требования обеспечения заявки по закупкам у единственного поставщика в размере от 0,5 до 1% НМЦК по аналогии с торгами с НМЦК от 1 до 5 млн. руб.</w:t>
      </w:r>
    </w:p>
    <w:p w14:paraId="31FDF3F2"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7684497A"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5. Рынок управления многоквартирными домами.</w:t>
      </w:r>
      <w:r w:rsidRPr="007757ED">
        <w:rPr>
          <w:rFonts w:ascii="Times New Roman" w:eastAsia="Calibri" w:hAnsi="Times New Roman" w:cs="Times New Roman"/>
          <w:sz w:val="28"/>
          <w:szCs w:val="28"/>
        </w:rPr>
        <w:t xml:space="preserve"> Управляющие компании Московской области обратили внимание на создание на официальном уровне рейтингов управляющих компаний, не предусмотренных действующим законодательством. Рейтинги представляют собой набор произвольно выбранных критериев с произвольной же их интерпретацией. Компании, получающие низкий рейтинг, становятся кандидатами на удаление из него. В первую очередь страдают малые предприятия, так как размер предприятия существенно влияет положение в рейтинге, предоставляя крупным предприятиям преимущество. МУПы, управляемые органами исполнительной власти, получают средние и высокие рейтинги. Кроме того, критериями рейтингов выступают факторы взаимодействия управляющей компании с органами Госжилинспекции (ГЖИ) и органами исполнительной власти и степень удовлетворенности последних этим взаимодействием. Это позволяет ГЖИ требовать от компаний выполнения не предусмотренных законодательством требований под угрозой понижения в рейтингах. И хотя рейтинги официально не являются основанием для удаления компаний с рынка, они самым серьезным образом влияют на репутацию компании в глазах населения (клиентов) и служат сигналом и основанием для местных органов власти осуществлять административное давление на компании. Пример – ссылка на рейтинг: </w:t>
      </w:r>
      <w:hyperlink r:id="rId108" w:history="1">
        <w:r w:rsidRPr="007757ED">
          <w:rPr>
            <w:rFonts w:ascii="Times New Roman" w:eastAsia="Calibri" w:hAnsi="Times New Roman" w:cs="Times New Roman"/>
            <w:sz w:val="28"/>
            <w:szCs w:val="28"/>
            <w:u w:val="single"/>
          </w:rPr>
          <w:t>http://gzhi.mosreg.ru/dokumenty/grazhdanam/reyting-upravlyayuschih-organizaciy/23-07-2018-10-48-58-reyting-upravlyayushchikh-organizatsiy-moskovskoy</w:t>
        </w:r>
      </w:hyperlink>
    </w:p>
    <w:p w14:paraId="4C03C0D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На наш взгляд, необходимо на законодательном уровне запретить органами исполнительной власти создавать и публиковать какие-либо рейтинги предприятий, так как данные органы не имеют для этого ни полномочий, ни квалификации, кроме того, они чаще всего являются заинтересованной стороной.</w:t>
      </w:r>
    </w:p>
    <w:p w14:paraId="470A955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7C10B14D"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6. Порядок отбора управляющей компании.</w:t>
      </w:r>
      <w:r w:rsidRPr="007757ED">
        <w:rPr>
          <w:rFonts w:ascii="Times New Roman" w:eastAsia="Calibri" w:hAnsi="Times New Roman" w:cs="Times New Roman"/>
          <w:sz w:val="28"/>
          <w:szCs w:val="28"/>
        </w:rPr>
        <w:t xml:space="preserve"> При проведении конкурса на выбор управляющей организации для управления многоквартирным домом с 01.01.2019 исключены условия об объеме и стоимости дополнительных услуг. В настоящее время в извещении о проведении конкурса указывается перечень услуг из минимального перечня услуг, установленного Постановлением Правительства РФ № 290 от 03.04.2013. При этом размер платы за содержание и ремонт устанавливается в размере не превышающем размер, который устанавливается органом местного самоуправления (муниципальный тариф). При проведении конкурса первым озвучивается предложение участника, подавшего заявку первым (естественно она будет содержать тот тариф, который указан в извещении (муниципальный). При этом остальным участникам остается только играть на снижение, что уже заведомо не будет соответствовать реальному объему и стоимости необходимых для многоквартирного дома услуг. В результате заведомо побеждает заявка той организации, которая была подана (зарегистрирована) первой, без какой-либо возможности для остальных участников, поскольку дополнительное снижение муниципального тарифа сделает нерентабельным обслуживание выставленного на конкурс многоквартирного дома. При этом найдутся способы зарегистрировать первой заявку компании, имеющей коррупционные связи.</w:t>
      </w:r>
    </w:p>
    <w:p w14:paraId="276ED0B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Необходимо изменить порядок предложения цены, уравняв в шансах на победу все компании, назвавшие одну и ту же цену.</w:t>
      </w:r>
    </w:p>
    <w:p w14:paraId="614A7637" w14:textId="77777777" w:rsidR="007757ED" w:rsidRPr="007757ED" w:rsidRDefault="007757ED" w:rsidP="007757ED">
      <w:pPr>
        <w:spacing w:after="0" w:line="240" w:lineRule="auto"/>
        <w:ind w:firstLine="709"/>
        <w:jc w:val="both"/>
        <w:rPr>
          <w:rFonts w:ascii="Times New Roman" w:eastAsia="Calibri" w:hAnsi="Times New Roman" w:cs="Times New Roman"/>
          <w:b/>
          <w:sz w:val="28"/>
          <w:szCs w:val="28"/>
        </w:rPr>
      </w:pPr>
    </w:p>
    <w:p w14:paraId="00A6057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7. Тарифы аэропортов.</w:t>
      </w:r>
      <w:r w:rsidRPr="007757ED">
        <w:rPr>
          <w:rFonts w:ascii="Times New Roman" w:eastAsia="Calibri" w:hAnsi="Times New Roman" w:cs="Times New Roman"/>
          <w:sz w:val="28"/>
          <w:szCs w:val="28"/>
        </w:rPr>
        <w:t xml:space="preserve"> Из 227 аэропортов России, существующих на сегодняшний день, подавляющее число являются аэропортами с пассажирооборотом до 100 тысяч пассажиров в год. В них, как правило, на основном направлении имеется только один перевозчик. Зачастую это приводит к высоким тарифам, приводящим к замедлению подвижности населения, к переходу пассажиров на более неудобную для него логистику через другой аэропорт, расположенный в другом регионе или на другой, более дешевый вид транспорта. Авиакомпании, по российскому законодательству не являются монополистами, тогда как в подавляющем количестве аэропортов на основном направлении, летает только одна авиакомпания, устанавливая монопольно высокие цены.</w:t>
      </w:r>
    </w:p>
    <w:p w14:paraId="7C2D0FEE"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Исправить существующее положение с системой формирования тарифов на воздушном транспорте в малых аэропортах помогла бы система ограничения рентабельности. При выполнении полетов на линии в единственном числе, любая авиакомпания должна быть ограничена предельным уровнем рентабельности 20%. При двух перевозчиках – 30-35%, при трех и более - без ограничений. На наш взгляд, ограничение рентабельности прекратило бы практику крупных авиакомпаний не пускать другие авиакомпании на рынок. Более того крупные компании сами будут заинтересованы привлекать на свой рынок конкурентов, чтобы получить возможность увеличить разрешенную рентабельность. </w:t>
      </w:r>
    </w:p>
    <w:p w14:paraId="46810EBA" w14:textId="77777777" w:rsidR="0055399B" w:rsidRDefault="0055399B" w:rsidP="0055399B">
      <w:pPr>
        <w:rPr>
          <w:lang w:eastAsia="ru-RU"/>
        </w:rPr>
      </w:pPr>
    </w:p>
    <w:p w14:paraId="601ECC69" w14:textId="56C299CF" w:rsidR="0055399B" w:rsidRPr="00DE3598" w:rsidRDefault="0055399B" w:rsidP="00EF64DA">
      <w:pPr>
        <w:pStyle w:val="2"/>
        <w:numPr>
          <w:ilvl w:val="1"/>
          <w:numId w:val="67"/>
        </w:numPr>
      </w:pPr>
      <w:bookmarkStart w:id="2064" w:name="_Toc7448056"/>
      <w:r w:rsidRPr="00DE3598">
        <w:t>Общероссийск</w:t>
      </w:r>
      <w:r w:rsidR="001B22A8">
        <w:t>ая</w:t>
      </w:r>
      <w:r w:rsidRPr="00DE3598">
        <w:t xml:space="preserve"> общественн</w:t>
      </w:r>
      <w:r w:rsidR="001B22A8">
        <w:t>ая</w:t>
      </w:r>
      <w:r w:rsidRPr="00DE3598">
        <w:t xml:space="preserve"> организаци</w:t>
      </w:r>
      <w:r w:rsidR="001B22A8">
        <w:t>я</w:t>
      </w:r>
      <w:r w:rsidRPr="00DE3598">
        <w:t xml:space="preserve"> «Деловая Россия»</w:t>
      </w:r>
      <w:bookmarkEnd w:id="2064"/>
    </w:p>
    <w:p w14:paraId="1894C5FE" w14:textId="77777777" w:rsidR="00EF5C9C" w:rsidRPr="00481A29" w:rsidRDefault="00EF5C9C" w:rsidP="00DE3598">
      <w:pPr>
        <w:keepNext/>
        <w:keepLines/>
        <w:spacing w:after="0" w:line="240" w:lineRule="auto"/>
        <w:outlineLvl w:val="2"/>
        <w:rPr>
          <w:rFonts w:ascii="Times New Roman" w:eastAsia="Times New Roman" w:hAnsi="Times New Roman" w:cs="Times New Roman"/>
          <w:b/>
          <w:sz w:val="28"/>
          <w:szCs w:val="28"/>
          <w:lang w:eastAsia="ru-RU"/>
        </w:rPr>
      </w:pPr>
    </w:p>
    <w:p w14:paraId="1E7C5FB1" w14:textId="77777777" w:rsidR="00DE3598" w:rsidRPr="00DE3598" w:rsidRDefault="00DE3598" w:rsidP="00BE213D">
      <w:pPr>
        <w:numPr>
          <w:ilvl w:val="0"/>
          <w:numId w:val="25"/>
        </w:numPr>
        <w:ind w:left="851" w:hanging="284"/>
        <w:contextualSpacing/>
        <w:jc w:val="center"/>
        <w:rPr>
          <w:rFonts w:ascii="Times New Roman" w:hAnsi="Times New Roman" w:cs="Times New Roman"/>
          <w:sz w:val="28"/>
          <w:szCs w:val="28"/>
        </w:rPr>
      </w:pPr>
      <w:r w:rsidRPr="00DE3598">
        <w:rPr>
          <w:rFonts w:ascii="Times New Roman" w:hAnsi="Times New Roman" w:cs="Times New Roman"/>
          <w:sz w:val="28"/>
          <w:szCs w:val="28"/>
        </w:rPr>
        <w:t>Предложения по пакету изменений в действующее уголовное и уголовно-процессуальное законодательство Российской Федерации.</w:t>
      </w:r>
    </w:p>
    <w:p w14:paraId="246FC88B" w14:textId="77777777" w:rsidR="00DE3598" w:rsidRPr="00DE3598" w:rsidRDefault="00DE3598" w:rsidP="00DE3598">
      <w:pPr>
        <w:ind w:left="1080"/>
        <w:contextualSpacing/>
        <w:rPr>
          <w:rFonts w:ascii="Times New Roman" w:hAnsi="Times New Roman" w:cs="Times New Roman"/>
          <w:b/>
          <w:sz w:val="28"/>
          <w:szCs w:val="28"/>
        </w:rPr>
      </w:pPr>
    </w:p>
    <w:p w14:paraId="6F6D3BA8"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ФАС России разработан пакет изменений в действующее уголовное, уголовно-процессуальное и антимонопольное законодательство РФ, направленных, в том числе, на ужесточение уголовной ответственности за картели и упрощение их доказывания. </w:t>
      </w:r>
    </w:p>
    <w:p w14:paraId="4C96A0F4" w14:textId="77777777" w:rsidR="00DE3598" w:rsidRPr="00DE3598" w:rsidRDefault="00DE3598" w:rsidP="00DE3598">
      <w:pPr>
        <w:spacing w:after="0" w:line="240" w:lineRule="auto"/>
        <w:ind w:firstLine="709"/>
        <w:contextualSpacing/>
        <w:rPr>
          <w:rFonts w:ascii="Times New Roman" w:hAnsi="Times New Roman" w:cs="Times New Roman"/>
          <w:sz w:val="28"/>
          <w:szCs w:val="28"/>
        </w:rPr>
      </w:pPr>
      <w:r w:rsidRPr="00DE3598">
        <w:rPr>
          <w:rFonts w:ascii="Times New Roman" w:hAnsi="Times New Roman" w:cs="Times New Roman"/>
          <w:sz w:val="28"/>
          <w:szCs w:val="28"/>
        </w:rPr>
        <w:t>В рамках пакета поправок, в том числе, предлагается:</w:t>
      </w:r>
    </w:p>
    <w:p w14:paraId="49A99379"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1) Расширить сферу применения ст. 178 УК РФ, исключив необходимость доказывать негативные последствия для конкуренции;</w:t>
      </w:r>
    </w:p>
    <w:p w14:paraId="098B52D7"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2) Добавить наказание в виде конфискации имущества;  </w:t>
      </w:r>
    </w:p>
    <w:p w14:paraId="40F5B954"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3) Обеспечить доступ ФАС к материалам оперативно-розыскных мероприятий правоохранительных органов;</w:t>
      </w:r>
    </w:p>
    <w:p w14:paraId="2DD3A056"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5) Выделить в качестве отдельного субъекта преступления собственника бизнеса; </w:t>
      </w:r>
    </w:p>
    <w:p w14:paraId="2ABACE66" w14:textId="77777777" w:rsidR="00DE3598" w:rsidRPr="00DE3598" w:rsidRDefault="00DE3598" w:rsidP="007849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6) Увеличить сроки давности по статье до 10 лет.</w:t>
      </w:r>
    </w:p>
    <w:p w14:paraId="5B8CD9A6"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Бизнес-сообщество выражает серьезную обеспокоенность в отношении предлагаемых изменений и возражает против такого ужесточения законодательства, так как предлагаемые решения не являются мерами, способными повысить эффективность борьбы с картелями, а лишь обеспечивают расширение полномочий регулятора одновременно с упрощением подхода к выявлению и доказыванию картелей. Предлагаемые изменения, на наш взгляд, будут несвоевременными и неэффективными. </w:t>
      </w:r>
    </w:p>
    <w:p w14:paraId="458690CB"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Основная масса дел по картелям (около 80%) – это сговор при проведении государственных закупок. При этом проблема такого количества нарушений именно в этой сфере лежит не в области антимонопольного законодательства. С нашей точки зрения, причинами нарушений являются коррупция и несовершенство закупочного законодательства. Антимонопольное и уголовное законодательство являются в данном случае вспомогательными, не выполняют основную роль и, следовательно, ужесточение в этих сферах не может стать решением проблем с картелями. </w:t>
      </w:r>
    </w:p>
    <w:p w14:paraId="566D8D4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 оценке бизнеса, предлагаемые изменения могут существенно увеличить необоснованное давление на предпринимателей и оказать негативное влияние на бизнес климат в Российской Федерации. </w:t>
      </w:r>
    </w:p>
    <w:p w14:paraId="43D15B85"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отказаться от инициатив ужесточения уголовной ответственности за картели и упрощения доказывания картелей по уголовным делам и разработать четкие стандарты правоприменения по борьбе с картелями, с приоритетом использования прямых доказательств участия в картелях.  </w:t>
      </w:r>
    </w:p>
    <w:p w14:paraId="51B0D3C8" w14:textId="77777777" w:rsidR="00DE3598" w:rsidRPr="00DE3598" w:rsidRDefault="00DE3598" w:rsidP="00DE3598">
      <w:pPr>
        <w:ind w:left="1080"/>
        <w:contextualSpacing/>
        <w:jc w:val="both"/>
        <w:rPr>
          <w:rFonts w:ascii="Times New Roman" w:hAnsi="Times New Roman" w:cs="Times New Roman"/>
          <w:sz w:val="28"/>
          <w:szCs w:val="28"/>
        </w:rPr>
      </w:pPr>
    </w:p>
    <w:p w14:paraId="07B99107" w14:textId="77777777" w:rsidR="00DE3598" w:rsidRPr="00DE3598" w:rsidRDefault="00DE3598" w:rsidP="00BE213D">
      <w:pPr>
        <w:numPr>
          <w:ilvl w:val="0"/>
          <w:numId w:val="25"/>
        </w:numPr>
        <w:ind w:left="851" w:hanging="284"/>
        <w:contextualSpacing/>
        <w:jc w:val="center"/>
        <w:rPr>
          <w:rFonts w:ascii="Times New Roman" w:hAnsi="Times New Roman" w:cs="Times New Roman"/>
          <w:sz w:val="28"/>
          <w:szCs w:val="28"/>
        </w:rPr>
      </w:pPr>
      <w:r w:rsidRPr="00DE3598">
        <w:rPr>
          <w:rFonts w:ascii="Times New Roman" w:hAnsi="Times New Roman" w:cs="Times New Roman"/>
          <w:sz w:val="28"/>
          <w:szCs w:val="28"/>
        </w:rPr>
        <w:t>Совершенствование порядка проведения анализа состояния конкуренции на товарном рынке при расследовании картелей на торгах.</w:t>
      </w:r>
    </w:p>
    <w:p w14:paraId="74FD6633"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Порядок проведения анализа состояния конкуренции на товарном рынке, утвержденный приказом ФАС России от 28 апреля 2010 г. № 220 (далее – Приказ № 220), предусматривает весьма скудный объем анализа товарного рынка по делам о картелях, особенно по картелям на торгах, сводя такой анализ практически до нуля. </w:t>
      </w:r>
    </w:p>
    <w:p w14:paraId="38469642"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Из формулировки ч. 1 ст. 11 Федерального закона от 26.07.2006 № 135-ФЗ «О защите конкуренции» (далее – Закон о защите конкуренции) следует,  что картель – это сговор конкурирующих субъектов, а факт наличия конкурирующих субъектов можно установить только в рамках анализа состояния конкуренции на товарном рынке. </w:t>
      </w:r>
    </w:p>
    <w:p w14:paraId="06FF32D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Следовательно, для того чтобы понять, имело ли место антиконкурентное соглашение на торгах, необходимо, как минимум, исследовать общеотраслевые значения снижения цен по рассматриваемым товарам, себестоимость, наличие реальной конкуренции между участниками и другие параметры. </w:t>
      </w:r>
    </w:p>
    <w:p w14:paraId="074DA21F"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подготовить и внести изменения в Приказ № 220 в части необходимости проведения полноценного анализа товарного рынка при расследовании дел по картелям на торгах. </w:t>
      </w:r>
    </w:p>
    <w:p w14:paraId="48512E17" w14:textId="77777777" w:rsid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Таким образом, на наш взгляд, прежде чем ужесточать уголовную ответственность за картели, необходимо повысить уровень доказывания по картелям. Именно комплексный подход, предусматривающий совокупную реализацию предложений 1 и 2, позволит исключить необоснованное привлечение лиц к уголовной ответственности за счет обеспечения более высокого уровня доказывания, при котором за действия, не являющиеся картелем и не приводящие ни к каким негативным последствиям для конкуренции, лицо не может быть привлечено к уголовной ответственности. </w:t>
      </w:r>
    </w:p>
    <w:p w14:paraId="6D621659" w14:textId="77777777" w:rsidR="002E75F5" w:rsidRDefault="002E75F5" w:rsidP="00DE3598">
      <w:pPr>
        <w:spacing w:after="0" w:line="240" w:lineRule="auto"/>
        <w:ind w:firstLine="709"/>
        <w:contextualSpacing/>
        <w:jc w:val="both"/>
        <w:rPr>
          <w:rFonts w:ascii="Times New Roman" w:hAnsi="Times New Roman" w:cs="Times New Roman"/>
          <w:sz w:val="28"/>
          <w:szCs w:val="28"/>
        </w:rPr>
      </w:pPr>
    </w:p>
    <w:p w14:paraId="6700470C" w14:textId="77777777" w:rsidR="002E75F5" w:rsidRDefault="002E75F5" w:rsidP="00AF62C4">
      <w:pPr>
        <w:spacing w:after="0" w:line="240" w:lineRule="auto"/>
        <w:contextualSpacing/>
        <w:jc w:val="both"/>
        <w:rPr>
          <w:rFonts w:ascii="Times New Roman" w:hAnsi="Times New Roman" w:cs="Times New Roman"/>
          <w:sz w:val="28"/>
          <w:szCs w:val="28"/>
        </w:rPr>
      </w:pPr>
    </w:p>
    <w:p w14:paraId="10B274CC" w14:textId="3E2B3E78" w:rsidR="002E75F5" w:rsidRDefault="002E75F5" w:rsidP="00EF64DA">
      <w:pPr>
        <w:pStyle w:val="2"/>
        <w:numPr>
          <w:ilvl w:val="1"/>
          <w:numId w:val="67"/>
        </w:numPr>
        <w:rPr>
          <w:rStyle w:val="wbformattributevalue"/>
        </w:rPr>
      </w:pPr>
      <w:bookmarkStart w:id="2065" w:name="_Toc7448057"/>
      <w:r w:rsidRPr="002E75F5">
        <w:rPr>
          <w:rStyle w:val="wbformattributevalue"/>
        </w:rPr>
        <w:t xml:space="preserve">Общероссийская общественно-государственная организация </w:t>
      </w:r>
      <w:r>
        <w:rPr>
          <w:rStyle w:val="wbformattributevalue"/>
        </w:rPr>
        <w:t>«</w:t>
      </w:r>
      <w:r w:rsidRPr="002E75F5">
        <w:rPr>
          <w:rStyle w:val="wbformattributevalue"/>
        </w:rPr>
        <w:t>Добровольное общество содействия армии, авиации и флоту России</w:t>
      </w:r>
      <w:r>
        <w:rPr>
          <w:rStyle w:val="wbformattributevalue"/>
        </w:rPr>
        <w:t>»</w:t>
      </w:r>
      <w:r w:rsidRPr="002E75F5">
        <w:rPr>
          <w:rStyle w:val="wbformattributevalue"/>
        </w:rPr>
        <w:t xml:space="preserve"> (ДОСААФ России)</w:t>
      </w:r>
      <w:bookmarkEnd w:id="2065"/>
    </w:p>
    <w:p w14:paraId="29377CFE" w14:textId="77777777" w:rsidR="00AF62C4" w:rsidRDefault="00AF62C4" w:rsidP="00AF62C4">
      <w:pPr>
        <w:rPr>
          <w:lang w:eastAsia="ru-RU"/>
        </w:rPr>
      </w:pPr>
    </w:p>
    <w:p w14:paraId="50C2EFAB"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 аппарате Центрального совета ДОСААФ России письмо по направлению в ФАС предложений и материалов в Доклад о состоянии конкуренции в соответствии с поручением Первого заместителя Председателя Правительства Российской Федерации Шувалова И.И. рассмотрено.</w:t>
      </w:r>
    </w:p>
    <w:p w14:paraId="6171535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Статистика за последний год показала, что темпы улучшения безопасности дорожного движения заметно замедлились по сравнению с предыдущими годами. Поэтому необходимо принимать эффективные меры, которые позволят выполнить задачи, поставленные руководством страны, и достичь запланированног</w:t>
      </w:r>
      <w:r>
        <w:rPr>
          <w:rFonts w:ascii="Times New Roman" w:eastAsia="Calibri" w:hAnsi="Times New Roman" w:cs="Times New Roman"/>
          <w:sz w:val="28"/>
          <w:szCs w:val="28"/>
        </w:rPr>
        <w:t>о уровня социального риска ДТП.</w:t>
      </w:r>
      <w:r w:rsidRPr="00AF62C4">
        <w:rPr>
          <w:rFonts w:ascii="Times New Roman" w:eastAsia="Calibri" w:hAnsi="Times New Roman" w:cs="Times New Roman"/>
          <w:sz w:val="28"/>
          <w:szCs w:val="28"/>
        </w:rPr>
        <w:t xml:space="preserve"> Одним из направлений по снижению аварийности на дорогах является повышение качества подготовки водителей.</w:t>
      </w:r>
    </w:p>
    <w:p w14:paraId="5396A00C"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Стоимость образовательных услуг в области подготовки водительских кадров не может быть ниже ее себестоимости. Разброс стоимости подготовки  даже в одном регионе достаточно велик.</w:t>
      </w:r>
    </w:p>
    <w:p w14:paraId="5486C0BA"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 xml:space="preserve">Недобросовестная конкуренция наносит ущерб качеству обучения и, как следствие, повышает </w:t>
      </w:r>
      <w:r>
        <w:rPr>
          <w:rFonts w:ascii="Times New Roman" w:eastAsia="Calibri" w:hAnsi="Times New Roman" w:cs="Times New Roman"/>
          <w:sz w:val="28"/>
          <w:szCs w:val="28"/>
        </w:rPr>
        <w:t xml:space="preserve">риск </w:t>
      </w:r>
      <w:r w:rsidRPr="00AF62C4">
        <w:rPr>
          <w:rFonts w:ascii="Times New Roman" w:eastAsia="Calibri" w:hAnsi="Times New Roman" w:cs="Times New Roman"/>
          <w:sz w:val="28"/>
          <w:szCs w:val="28"/>
        </w:rPr>
        <w:t>аварийности на дорогах.</w:t>
      </w:r>
    </w:p>
    <w:p w14:paraId="509C8DA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Отсутствие утвержденных тарифов рентабельности услуг при подготовке водителей как самой массовой профессии в России при условии, что ус</w:t>
      </w:r>
      <w:r>
        <w:rPr>
          <w:rFonts w:ascii="Times New Roman" w:eastAsia="Calibri" w:hAnsi="Times New Roman" w:cs="Times New Roman"/>
          <w:sz w:val="28"/>
          <w:szCs w:val="28"/>
        </w:rPr>
        <w:t xml:space="preserve">луга оказывается в соответствии с установленными </w:t>
      </w:r>
      <w:r w:rsidRPr="00AF62C4">
        <w:rPr>
          <w:rFonts w:ascii="Times New Roman" w:eastAsia="Calibri" w:hAnsi="Times New Roman" w:cs="Times New Roman"/>
          <w:sz w:val="28"/>
          <w:szCs w:val="28"/>
        </w:rPr>
        <w:t>стандартами, существенно способствует недобросовестной конкуренции среди образовательных организаций, осуществляющих подготовку водительских кадров.</w:t>
      </w:r>
    </w:p>
    <w:p w14:paraId="20F29FE7"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Выходом может явиться установление тарифов на оказание услуг, исходя из применения в расчетах средних нормативов финансовых затрат на оказание данного вида услуг.</w:t>
      </w:r>
    </w:p>
    <w:p w14:paraId="16ED13CC" w14:textId="77777777" w:rsidR="00AF62C4" w:rsidRPr="00AF62C4" w:rsidRDefault="00AF62C4" w:rsidP="00AF62C4">
      <w:pPr>
        <w:spacing w:after="0" w:line="240" w:lineRule="auto"/>
        <w:ind w:firstLine="709"/>
        <w:jc w:val="both"/>
        <w:rPr>
          <w:rFonts w:ascii="Times New Roman" w:eastAsia="Calibri" w:hAnsi="Times New Roman" w:cs="Times New Roman"/>
          <w:iCs/>
          <w:color w:val="000000"/>
          <w:sz w:val="28"/>
          <w:szCs w:val="28"/>
        </w:rPr>
      </w:pPr>
      <w:r w:rsidRPr="00AF62C4">
        <w:rPr>
          <w:rFonts w:ascii="Times New Roman" w:eastAsia="Calibri" w:hAnsi="Times New Roman" w:cs="Times New Roman"/>
          <w:sz w:val="28"/>
          <w:szCs w:val="28"/>
        </w:rPr>
        <w:t>В целях совершенствования антимонопольного регулирования и защиты конкуренции предлагаю обратить внимание на нарушение антимонопольного законодательства со стороны недобросовестных автошкол в части размещения на интернет-сайтах недобросовестной рекламы, недостоверной информации по предоставлению образовательных услуг и применить к нарушителям соответствующие меры, а также рассмотреть возможность включить в проект Федерального закона «Об основах государственного регулирования цен (тарифов)» установление тарифов на реализацию образовательной деятельности по профессиональному обучению водителей транспортных средств.</w:t>
      </w:r>
    </w:p>
    <w:p w14:paraId="201D3966" w14:textId="77777777" w:rsidR="00AF62C4" w:rsidRPr="00AF62C4" w:rsidRDefault="00AF62C4" w:rsidP="00AF62C4">
      <w:pPr>
        <w:rPr>
          <w:lang w:eastAsia="ru-RU"/>
        </w:rPr>
      </w:pPr>
    </w:p>
    <w:p w14:paraId="1C2FD20D" w14:textId="77777777" w:rsidR="00481A29" w:rsidRPr="00481A29" w:rsidRDefault="00481A29" w:rsidP="00481A29"/>
    <w:p w14:paraId="719A07F3" w14:textId="22275BB6" w:rsidR="00961572" w:rsidRPr="00B9260F" w:rsidRDefault="00883C8E" w:rsidP="00725D80">
      <w:pPr>
        <w:pStyle w:val="1"/>
        <w:numPr>
          <w:ilvl w:val="0"/>
          <w:numId w:val="69"/>
        </w:numPr>
        <w:rPr>
          <w:rFonts w:cs="Times New Roman"/>
        </w:rPr>
      </w:pPr>
      <w:bookmarkStart w:id="2066" w:name="_Toc7448058"/>
      <w:r w:rsidRPr="007C6DC9">
        <w:rPr>
          <w:rFonts w:cs="Times New Roman"/>
        </w:rPr>
        <w:t>Оценки федеральных органов исполнительной власти</w:t>
      </w:r>
      <w:bookmarkEnd w:id="2066"/>
    </w:p>
    <w:p w14:paraId="18DF6703" w14:textId="77777777" w:rsidR="00725D80" w:rsidRPr="00725D80" w:rsidRDefault="00725D80" w:rsidP="00725D80">
      <w:pPr>
        <w:pStyle w:val="a5"/>
        <w:keepNext/>
        <w:keepLines/>
        <w:numPr>
          <w:ilvl w:val="0"/>
          <w:numId w:val="67"/>
        </w:numPr>
        <w:spacing w:after="0"/>
        <w:contextualSpacing w:val="0"/>
        <w:jc w:val="both"/>
        <w:outlineLvl w:val="1"/>
        <w:rPr>
          <w:rFonts w:ascii="Times New Roman" w:eastAsia="Times New Roman" w:hAnsi="Times New Roman" w:cs="Times New Roman"/>
          <w:b/>
          <w:vanish/>
          <w:sz w:val="28"/>
          <w:szCs w:val="28"/>
          <w:lang w:eastAsia="ru-RU"/>
        </w:rPr>
      </w:pPr>
      <w:bookmarkStart w:id="2067" w:name="_Toc7190876"/>
      <w:bookmarkStart w:id="2068" w:name="_Toc7191629"/>
      <w:bookmarkStart w:id="2069" w:name="_Toc7447254"/>
      <w:bookmarkStart w:id="2070" w:name="_Toc7448059"/>
      <w:bookmarkEnd w:id="2067"/>
      <w:bookmarkEnd w:id="2068"/>
      <w:bookmarkEnd w:id="2069"/>
      <w:bookmarkEnd w:id="2070"/>
    </w:p>
    <w:p w14:paraId="3D2FDD34" w14:textId="29B4BAA1" w:rsidR="002B2C9C" w:rsidRDefault="00B9260F" w:rsidP="00BB7A44">
      <w:pPr>
        <w:pStyle w:val="2"/>
        <w:numPr>
          <w:ilvl w:val="1"/>
          <w:numId w:val="69"/>
        </w:numPr>
      </w:pPr>
      <w:bookmarkStart w:id="2071" w:name="_Toc7448060"/>
      <w:r>
        <w:t>Министерство экономического развития Российской Федерации</w:t>
      </w:r>
      <w:bookmarkEnd w:id="2071"/>
    </w:p>
    <w:p w14:paraId="7045EB54"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о выполнении мероприятий плана мероприятий («дорожной карты») по развитию конкуренции в отраслях экономики Российской Федерации, утвержденного распоряжением Правительства Российской Федерации от 16 августа 2018 г. № 1697-р (далее – «дорожная карта»).</w:t>
      </w:r>
    </w:p>
    <w:p w14:paraId="4561F4B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b/>
          <w:sz w:val="28"/>
          <w:szCs w:val="28"/>
        </w:rPr>
        <w:t>Пунктом 5 раздела 2 «дорожной карты»</w:t>
      </w:r>
      <w:r w:rsidRPr="0050661D">
        <w:rPr>
          <w:rFonts w:ascii="Times New Roman" w:eastAsia="Times New Roman" w:hAnsi="Times New Roman" w:cs="Times New Roman"/>
          <w:sz w:val="28"/>
          <w:szCs w:val="28"/>
        </w:rPr>
        <w:t xml:space="preserve"> предусмотрено внесение изменений в законодательство Российской Федерации, касающихся правового регулирования профессионального образования оценщиков.</w:t>
      </w:r>
    </w:p>
    <w:p w14:paraId="59F707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письмом от 21 декабря 2018 г. </w:t>
      </w:r>
      <w:r w:rsidRPr="0050661D">
        <w:rPr>
          <w:rFonts w:ascii="Times New Roman" w:eastAsia="Times New Roman" w:hAnsi="Times New Roman" w:cs="Times New Roman"/>
          <w:sz w:val="28"/>
          <w:szCs w:val="28"/>
        </w:rPr>
        <w:br/>
        <w:t>№ 38210-ИТ/Д22и докладывало в ФАС России о ходе реализации пункта 5 раздела 2 «дорожной карты».</w:t>
      </w:r>
    </w:p>
    <w:p w14:paraId="74E1B1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Дополнительно отмечаем, что Правительством Российской Федерации </w:t>
      </w:r>
      <w:r w:rsidRPr="0050661D">
        <w:rPr>
          <w:rFonts w:ascii="Times New Roman" w:eastAsia="Times New Roman" w:hAnsi="Times New Roman" w:cs="Times New Roman"/>
          <w:sz w:val="28"/>
          <w:szCs w:val="28"/>
        </w:rPr>
        <w:br/>
        <w:t xml:space="preserve">в Государственную Думу Федерального Собрания Российской Федерации внесены поправки к проекту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внесенному депутатами Государственной Думы Н.П. Николаевым, А.Б. Василенко, Д.В. Сазоновым и другими, принятому Государственной Думой в первом чтении 5 июля 2018 г. (письмо от 21 января 2019 г. № 362п-П13). </w:t>
      </w:r>
    </w:p>
    <w:p w14:paraId="116389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Указанными поправками предусмотрено признание утратившей силу статьи 21 Федерального закона от 29 июля 1998 г. № 135-ФЗ «Об оценочной деятельности в Российской Федерации», что предоставляет возможность осуществления обучения в области оценочной деятельности не только образовательным организациям высшего образования (как установлено действующей редакцией указанного Федерального закона), но и организациям, осуществляющим образовательную деятельность по программам профессиональной переподготовки в соответствии с законодательством об образовании Российской Федерации.</w:t>
      </w:r>
    </w:p>
    <w:p w14:paraId="3298A29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Минстроем России и ФАС России в соответствии с </w:t>
      </w:r>
      <w:r w:rsidRPr="0050661D">
        <w:rPr>
          <w:rFonts w:ascii="Times New Roman" w:eastAsia="Times New Roman" w:hAnsi="Times New Roman" w:cs="Times New Roman"/>
          <w:b/>
          <w:sz w:val="28"/>
          <w:szCs w:val="28"/>
        </w:rPr>
        <w:t>пунктом 7 раздела 8 «дорожной карты»</w:t>
      </w:r>
      <w:r w:rsidRPr="0050661D">
        <w:rPr>
          <w:rFonts w:ascii="Times New Roman" w:eastAsia="Times New Roman" w:hAnsi="Times New Roman" w:cs="Times New Roman"/>
          <w:sz w:val="28"/>
          <w:szCs w:val="28"/>
        </w:rPr>
        <w:t xml:space="preserve"> поручено разработать проект федерального закона «О внесении изменений в законодательство Российской Федерации, предусматривающих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w:t>
      </w:r>
    </w:p>
    <w:p w14:paraId="24A2B92D"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2017 году Минэкономразвития России внесло в Правительство Российской Федерации инициативный доклад о необходимости разработки проекта постановления Правительства Российской Федерации, предусматривающего реализацию вышеуказанного механизма вопроса (далее – проект постановления). </w:t>
      </w:r>
    </w:p>
    <w:p w14:paraId="11A6B4E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предложило установить в законодательстве Российской Федерации отдельную норму, определяющую, что не менее 15 % объема услуг по транспортированию твердых коммунальных отходов, разделяемых по лотам, должны быть выделены в отдельные лоты для проведения торгов среди субъектов малого и среднего предпринимательства. </w:t>
      </w:r>
    </w:p>
    <w:p w14:paraId="4377260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Данный подход поддержан ФАС России и Минстроем России. На проект постановления получено положительное заключение Минюста России. В настоящее время проект постановления внесен Минэкономразвития России в Правительство Российской Федерации в установленном порядке (письмо от 22 июня 2018 г. № 17214-МО/Д07и). </w:t>
      </w:r>
    </w:p>
    <w:p w14:paraId="4CFA12FC"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Учитывая работу, проведенную Минэкономразвития России по подготовке указанного нормативного правового акта, предусматривающего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считаем пункт 7 раздела 8 дорожной карты исполненным. </w:t>
      </w:r>
    </w:p>
    <w:p w14:paraId="30B73BD8"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Вышеуказанная информация включена в доклад в Правительство Российской Федерации об исполнении данного мероприятия дорожной карты и направлена Минэкономразвития России письмом от 26 сентября 2018 г. </w:t>
      </w:r>
      <w:r w:rsidRPr="0050661D">
        <w:rPr>
          <w:rFonts w:ascii="Times New Roman" w:eastAsia="Times New Roman" w:hAnsi="Times New Roman" w:cs="Times New Roman"/>
          <w:sz w:val="28"/>
          <w:szCs w:val="28"/>
        </w:rPr>
        <w:br/>
        <w:t xml:space="preserve">№ 27540-ИТ/Д07и на имя Председателя Правительства Российской Федерации Д.А. Медведева; также в данном письме содержится просьба о снятии с контроля данного мероприятия в случае признания его исполненным. Проект доклада согласован ФАС России без замечаний письмом от 21 сентября 2018 г. № ВК/76038/18. </w:t>
      </w:r>
    </w:p>
    <w:p w14:paraId="007F8F56"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Вопрос о реализации </w:t>
      </w:r>
      <w:r w:rsidRPr="0050661D">
        <w:rPr>
          <w:rFonts w:ascii="Times New Roman" w:eastAsia="Times New Roman" w:hAnsi="Times New Roman" w:cs="Times New Roman"/>
          <w:b/>
          <w:sz w:val="28"/>
          <w:szCs w:val="28"/>
        </w:rPr>
        <w:t>пункта 5 раздела 11 «дорожной карты»</w:t>
      </w:r>
      <w:r w:rsidRPr="0050661D">
        <w:rPr>
          <w:rFonts w:ascii="Times New Roman" w:eastAsia="Times New Roman" w:hAnsi="Times New Roman" w:cs="Times New Roman"/>
          <w:sz w:val="28"/>
          <w:szCs w:val="28"/>
        </w:rPr>
        <w:t xml:space="preserve"> рассмотрен 5 декабря 2018 г. на заседании Межведомственной рабочей группы по вопросам реализации положений Стандарта развития конкуренции в субъектах Российской Федерации, утвержденного распоряжением Правительства Российской Федерации от 5 сентября 2015 г. № 1738-р (далее – Межведомственная рабочая группа</w:t>
      </w:r>
      <w:r w:rsidRPr="0050661D">
        <w:rPr>
          <w:rFonts w:ascii="Times New Roman" w:eastAsia="Times New Roman" w:hAnsi="Times New Roman" w:cs="Times New Roman"/>
          <w:sz w:val="28"/>
          <w:szCs w:val="28"/>
          <w:vertAlign w:val="superscript"/>
        </w:rPr>
        <w:footnoteReference w:id="34"/>
      </w:r>
      <w:r w:rsidRPr="0050661D">
        <w:rPr>
          <w:rFonts w:ascii="Times New Roman" w:eastAsia="Times New Roman" w:hAnsi="Times New Roman" w:cs="Times New Roman"/>
          <w:sz w:val="28"/>
          <w:szCs w:val="28"/>
        </w:rPr>
        <w:t>, Стандарт).</w:t>
      </w:r>
    </w:p>
    <w:p w14:paraId="38AA7CC2"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результатам обсуждения данного вопроса выработана единая позиция Минэкономразвития России, ФАС России, Минэнерго России и Минфина России о нецелесообразности внесения изменений, направленных на развитие конкуренции на рынках энергетического угля (обеспечение недискриминационного доступа поставщиков и использование внебиржевых индикаторов цен при проведении таких закупочных процедур к конкурсным процедурам по государственным и муниципальным закупкам), в действующую редакцию Стандарта и о необходимости проработки вопроса о внесении указанных изменений после утверждения проекта распоряжения Правительства Российской Федерации, предусматривающего признание действующей редакции Стандарта утратившей силу и принятие его новой версии (далее – проект распоряжения). </w:t>
      </w:r>
    </w:p>
    <w:p w14:paraId="7F80DFE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При этом с учетом позиции Минфина России и Минэкономразвития России на заседании Межведомственной рабочей группы принято решение проработать механизм повышения эффективности проведения конкурсных процедур и формирования справедливой рыночной цены на рынке энергетического угля. </w:t>
      </w:r>
    </w:p>
    <w:p w14:paraId="0E1A02B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Письмом от 17 декабря 2018 г. № 37324-МР/Д05и Минэкономразвития России направлен соответствующий доклад в Правительство Российской Федерации, в котором отмечено отсутствие необходимости внесения изменений в действующую редакцию Стандарта, в связи с подготовкой Минэкономразвития России проекта распоряжения. Также отмечена целесообразность совместно с Минфином России, Минэнерго России и ФАС России дополнительно проработать данный вопрос и проинформировать Правительство Российской Федерации в первом квартале 2019 года. </w:t>
      </w:r>
    </w:p>
    <w:p w14:paraId="16E745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w:t>
      </w:r>
      <w:r w:rsidRPr="0050661D">
        <w:rPr>
          <w:rFonts w:ascii="Times New Roman" w:eastAsia="Times New Roman" w:hAnsi="Times New Roman" w:cs="Times New Roman"/>
          <w:b/>
          <w:sz w:val="28"/>
          <w:szCs w:val="28"/>
        </w:rPr>
        <w:t>пунктом 14 раздела 14 «дорожной карты»</w:t>
      </w:r>
      <w:r w:rsidRPr="0050661D">
        <w:rPr>
          <w:rFonts w:ascii="Times New Roman" w:eastAsia="Times New Roman" w:hAnsi="Times New Roman" w:cs="Times New Roman"/>
          <w:sz w:val="28"/>
          <w:szCs w:val="28"/>
        </w:rPr>
        <w:t xml:space="preserve"> письмом от 30 октября 2018 г. № 31676-ИТ/Д22и Минэкономразвития России согласовало проект доклада, подготовленный ФАС России, в Правительство Российской Федерации в представленной редакции.</w:t>
      </w:r>
    </w:p>
    <w:p w14:paraId="415E643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Письмом от 1 марта 2019 г. № 5908-МР/Д22и Минэкономразвития России согласовало проект доклада в Правительство Российской Федерации в представленной редакции в рамках аналогичного поручения Правительства Российской Федерации от 13 июля 2017 г. № ДМ-П13-4539 (пункт 5), данного во исполнение подпункта «д» пункта 1 перечня поручений Президента Российской Федерации от 4 июля 2017 г. № Пр-1266.</w:t>
      </w:r>
    </w:p>
    <w:p w14:paraId="5D37B67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рамках исполнения </w:t>
      </w:r>
      <w:r w:rsidRPr="0050661D">
        <w:rPr>
          <w:rFonts w:ascii="Times New Roman" w:eastAsia="Times New Roman" w:hAnsi="Times New Roman" w:cs="Times New Roman"/>
          <w:b/>
          <w:sz w:val="28"/>
          <w:szCs w:val="28"/>
        </w:rPr>
        <w:t>пункта 18 раздела 14 «дорожной карты»</w:t>
      </w:r>
      <w:r w:rsidRPr="0050661D">
        <w:rPr>
          <w:rFonts w:ascii="Times New Roman" w:eastAsia="Times New Roman" w:hAnsi="Times New Roman" w:cs="Times New Roman"/>
          <w:sz w:val="28"/>
          <w:szCs w:val="28"/>
        </w:rPr>
        <w:t xml:space="preserve"> письмом от 31 января 2019 г. № 2299-ИТ/Д22и Минэкономразвития России согласовало разработанный Минфином России проект федерального закона «О внесении изменений в статью 9 Федерального закона «О центральном депозитарии».</w:t>
      </w:r>
    </w:p>
    <w:p w14:paraId="3D5F282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исполнения </w:t>
      </w:r>
      <w:r w:rsidRPr="0050661D">
        <w:rPr>
          <w:rFonts w:ascii="Times New Roman" w:eastAsia="Times New Roman" w:hAnsi="Times New Roman" w:cs="Times New Roman"/>
          <w:b/>
          <w:sz w:val="28"/>
          <w:szCs w:val="28"/>
        </w:rPr>
        <w:t>пункта 19 раздела 14 «дорожной карты»</w:t>
      </w:r>
      <w:r w:rsidRPr="0050661D">
        <w:rPr>
          <w:rFonts w:ascii="Times New Roman" w:eastAsia="Times New Roman" w:hAnsi="Times New Roman" w:cs="Times New Roman"/>
          <w:sz w:val="28"/>
          <w:szCs w:val="28"/>
        </w:rPr>
        <w:t>.</w:t>
      </w:r>
    </w:p>
    <w:p w14:paraId="069439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Минэкономразвития России во исполнение подпункта «б» пункта 4 Национального плана развития конкуренции на 2018–2020 годы, утвержденного Указом Президента Российской Федерации от 21 декабря 2017 г. № 618 «Об основных направлениях государственной политики по развитию конкуренции», а также поручения Правительства Российской Федерации от 25 января 2018 г. № ДМ-П13-361 разработан проект федерального закона «О внесении изменений в Федеральный закон «О защите конкуренции» и иные законодательные акты Российской Федерации» (далее – законопроект), устанавливающего антимонопольные требования при приобретении Российской Федерацией, субъектами Российской Федерации или муниципальными образованиями, государственными или муниципальными унитарными предприятиями, а также хозяйственными обществами, в которых более 25 процентов голосующих акций или долей принадлежит Российской Федерации, субъектам Российской Федерации, муниципальным образованиям, а также Центральному банку Российской Федерации, акций и долей хозяйственных обществ, осуществляющих деятельность на товарных рынках в условиях конкуренции.</w:t>
      </w:r>
    </w:p>
    <w:p w14:paraId="7F7C70A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внесен в Правительство Российской Федерации письмом от 6 ноября 2018 г. № 32280-ИТ/Д06и.</w:t>
      </w:r>
    </w:p>
    <w:p w14:paraId="63FABEA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Вместе с тем в целях реализации пункта 19 «дорожной карты» Минэкономразвития России направлены запросы в Минфин России, ФАС России и Банк России о представлении предложений по имплементации норм в указанный законопроект, необходимых для определения политики допустимого участия государства в уставном капитале финансовых организаций (прямого или косвенного приобретения или долгосрочного удержания государством акций (долей в уставном капитале).</w:t>
      </w:r>
    </w:p>
    <w:p w14:paraId="25714D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Минфин России, ФАС России и Банк России считают достаточными нормы, предусмотренные законопроектом.</w:t>
      </w:r>
    </w:p>
    <w:p w14:paraId="06AFA97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возвращен на доработку в связи с наличием концептуальных замечаний Государственно-правового управления Президента Российской Федерации.</w:t>
      </w:r>
    </w:p>
    <w:p w14:paraId="1C0504F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настоящее время Минэкономразвития России проводится работа по доработке и согласованию законопроекта.</w:t>
      </w:r>
    </w:p>
    <w:p w14:paraId="079B225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w:t>
      </w:r>
      <w:r w:rsidRPr="0050661D">
        <w:rPr>
          <w:rFonts w:ascii="Times New Roman" w:eastAsia="Times New Roman" w:hAnsi="Times New Roman" w:cs="Times New Roman"/>
          <w:b/>
          <w:sz w:val="28"/>
          <w:szCs w:val="28"/>
        </w:rPr>
        <w:t xml:space="preserve">пункта 21 раздела 14 «дорожной карты» </w:t>
      </w:r>
      <w:r w:rsidRPr="0050661D">
        <w:rPr>
          <w:rFonts w:ascii="Times New Roman" w:eastAsia="Times New Roman" w:hAnsi="Times New Roman" w:cs="Times New Roman"/>
          <w:sz w:val="28"/>
          <w:szCs w:val="28"/>
        </w:rPr>
        <w:t>Минэкономразвития России письмом от 14 февраля 2019 г. № 3959-ИТ/Д22и Минэкономразвития России сообщило в Минфин России о готовности рассмотреть проект федерального закона при поступлении в установленном порядке.</w:t>
      </w:r>
    </w:p>
    <w:p w14:paraId="65810B17"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1.3.1. 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w:t>
      </w:r>
      <w:r w:rsidR="00B61B2C">
        <w:rPr>
          <w:rFonts w:ascii="Times New Roman" w:eastAsia="Times New Roman" w:hAnsi="Times New Roman" w:cs="Times New Roman"/>
          <w:b/>
          <w:sz w:val="28"/>
          <w:szCs w:val="28"/>
        </w:rPr>
        <w:t xml:space="preserve">ам заседания Государственного </w:t>
      </w:r>
      <w:r w:rsidRPr="0050661D">
        <w:rPr>
          <w:rFonts w:ascii="Times New Roman" w:eastAsia="Times New Roman" w:hAnsi="Times New Roman" w:cs="Times New Roman"/>
          <w:b/>
          <w:sz w:val="28"/>
          <w:szCs w:val="28"/>
        </w:rPr>
        <w:t>совета Российской Федерации.</w:t>
      </w:r>
    </w:p>
    <w:p w14:paraId="229366FF" w14:textId="77777777" w:rsidR="009D1082" w:rsidRPr="0050661D" w:rsidRDefault="009D1082" w:rsidP="0050661D">
      <w:pPr>
        <w:spacing w:before="360"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Информация об исполнении мероприятий по развитию конкуренции, предусмотренных Национальным планом развития конкуренции в Российской Федерации на 2018-2020 годы, направлена в ФАС России письмом от 4 марта 2019 г. № 6087-МР/Д05и.</w:t>
      </w:r>
    </w:p>
    <w:p w14:paraId="0BE2FE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5 апреля 2018 г. состоялось заседание Государственного совета Российской Федерации по вопросу развития конкуренции, по итогам которого Президентом Российской Федерации были даны поручения Правительству Российской Федерации (от 15 мая 2018 г. № Пр-817ГС, далее – перечень поручений), направленные на дальнейшее развитие конкуренции в Российской Федерации, в том числе снижения доли государственного участия на конкурентных товарных рынках.</w:t>
      </w:r>
    </w:p>
    <w:p w14:paraId="1E57F69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частности перечнем поручений Правительству Российской Федерации в лице Минэкономразвития России и ФАС России необходимо внести изменения в Стандарт, предусмотрев в том числе:</w:t>
      </w:r>
    </w:p>
    <w:p w14:paraId="2F9AFEC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формирование в субъектах Российской Федерации перечней ключевых показателей развития конкуренции, отражающих долю организаций частной формы собственности в отраслях (сферах) экономики субъектов Российской Федерации, а также обязательства органов исполнительной власти субъектов Российской Федерации по достижению ключевых показателей развития конкуренции;</w:t>
      </w:r>
    </w:p>
    <w:p w14:paraId="682DEE6A"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утверждение ФАС России по согласованию с другими заинтересованными федеральными органами исполнительной власти, осуществляющими функции по выработке государственной политики в соответствующей сфере (отрасли) экономики, методик расчета ключевых показателей развития конкуренции;</w:t>
      </w:r>
    </w:p>
    <w:p w14:paraId="45204095"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проведение в субъектах Российской Федерации мониторинга состояния и развития конкурентной среды с привлечением представителей Общероссийской общественной организации малого и среднего предпринимательства «ОПОРА РОССИИ», общероссийских общественных организаций «Российский союз промышленников и предпринимателей», «Деловая Россия», Торгово-промышленной палаты Российской Федерации.</w:t>
      </w:r>
    </w:p>
    <w:p w14:paraId="015A797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ФАС России и иными федеральными органами исполнительной власти, а также АНО «АСИ» и Банком России подготовлен соответствующий проект распоряжения Правительства Российской Федерации об утверждении Стандарта </w:t>
      </w:r>
      <w:r w:rsidR="00B9260F" w:rsidRPr="0050661D">
        <w:rPr>
          <w:rFonts w:ascii="Times New Roman" w:eastAsia="Times New Roman" w:hAnsi="Times New Roman" w:cs="Times New Roman"/>
          <w:sz w:val="28"/>
          <w:szCs w:val="28"/>
        </w:rPr>
        <w:t xml:space="preserve">(далее – проект распоряжения), </w:t>
      </w:r>
      <w:r w:rsidRPr="0050661D">
        <w:rPr>
          <w:rFonts w:ascii="Times New Roman" w:eastAsia="Times New Roman" w:hAnsi="Times New Roman" w:cs="Times New Roman"/>
          <w:sz w:val="28"/>
          <w:szCs w:val="28"/>
        </w:rPr>
        <w:t>включающий помимо изменений, предусмотренных перечнем поручений, возможность применения проектного подхода при подготовке и реализации мероприятий в рамках выполнения задач Стандарта.</w:t>
      </w:r>
    </w:p>
    <w:p w14:paraId="06F160F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Проектом распоряжения предусмотрено участие Банка России в реализации Стандарта. В частности, Банк России примет участие в проведении мониторинга состояния и развития конкурентной среды в субъектах Российской Федерации, анализе его результатов, а также в формировании региональных планов мероприятий («дорожных карт») по развитию конкуренции.</w:t>
      </w:r>
    </w:p>
    <w:p w14:paraId="752245D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 распоряжения в октябре 2018 года внесен в Правительство Российской Федерации.</w:t>
      </w:r>
    </w:p>
    <w:p w14:paraId="3EDF1BF8"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p>
    <w:p w14:paraId="1040D1E3"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1.3.2. Анализ докладов субъектов Российской Федерации о состоянии и развитии конкурентной среды на рынках товаров и услуг региона.</w:t>
      </w:r>
    </w:p>
    <w:p w14:paraId="21C0AE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p>
    <w:p w14:paraId="77EBD30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Указом Президента Российской Федерации от 21 декабря 2017 г. № 618 </w:t>
      </w:r>
      <w:r w:rsidRPr="0050661D">
        <w:rPr>
          <w:rFonts w:ascii="Times New Roman" w:eastAsia="Times New Roman" w:hAnsi="Times New Roman" w:cs="Times New Roman"/>
          <w:sz w:val="28"/>
          <w:szCs w:val="28"/>
        </w:rPr>
        <w:br/>
        <w:t xml:space="preserve">«Об основных направлениях государственной политики по развитию конкуренции» определены приоритетные направления государственной политики в Российской Федерации, в частности активизация работы по развитию конкуренции в субъектах Российской Федерации, и утвержден Национальный план развития конкуренции в Российской Федерации на 2018-2020 годы (далее – Национальный план). </w:t>
      </w:r>
    </w:p>
    <w:p w14:paraId="2D0CAF6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Указанный Национальный план координирует деятельность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 в целях укрепления национальной экономики, да</w:t>
      </w:r>
      <w:r w:rsidR="00B9260F" w:rsidRPr="0050661D">
        <w:rPr>
          <w:rFonts w:ascii="Times New Roman" w:eastAsia="Times New Roman" w:hAnsi="Times New Roman" w:cs="Times New Roman"/>
          <w:sz w:val="28"/>
          <w:szCs w:val="28"/>
        </w:rPr>
        <w:t xml:space="preserve">льнейшего развития конкуренции </w:t>
      </w:r>
      <w:r w:rsidRPr="0050661D">
        <w:rPr>
          <w:rFonts w:ascii="Times New Roman" w:eastAsia="Times New Roman" w:hAnsi="Times New Roman" w:cs="Times New Roman"/>
          <w:sz w:val="28"/>
          <w:szCs w:val="28"/>
        </w:rPr>
        <w:t>и недопущения монополистической деятельности.</w:t>
      </w:r>
    </w:p>
    <w:p w14:paraId="5AB2E5C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отчетном периоде Минэкономразвития России провело оценку внедрения и реализации регионами Стандарта.</w:t>
      </w:r>
    </w:p>
    <w:p w14:paraId="1C26D75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Соответствующая оценка осуществлялась на основе методики, утвержденной приказом Минэкономразвития России от 15 мая 2014 г. № 266   «Об утверждении методики расчета значений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в отношении которых Минэкономразвития России является федеральным органом исполнительной власти, ответственным за предоставление информации о достигнутых значениях показателей» (далее – Методика). </w:t>
      </w:r>
    </w:p>
    <w:p w14:paraId="191F2335"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постановлением Правительства Российской Федерации от 19 апреля 2018 г. № 472 «Об осуществлении мер по реализации государственной политики в сфере оценки эффективности деятельности органов исполнительной власти субъектов Российской Федерации и признании утратившими силу некоторых актов Правительства Российской Федерации» (далее – постановление № 472) утратили силу положения распоряжения Правительства Российской Федерации от 10 апреля 2014 г. </w:t>
      </w:r>
      <w:r w:rsidR="00B9260F" w:rsidRPr="0050661D">
        <w:rPr>
          <w:rFonts w:ascii="Times New Roman" w:eastAsia="Times New Roman" w:hAnsi="Times New Roman" w:cs="Times New Roman"/>
          <w:sz w:val="28"/>
          <w:szCs w:val="28"/>
        </w:rPr>
        <w:t xml:space="preserve">                 </w:t>
      </w:r>
      <w:r w:rsidRPr="0050661D">
        <w:rPr>
          <w:rFonts w:ascii="Times New Roman" w:eastAsia="Times New Roman" w:hAnsi="Times New Roman" w:cs="Times New Roman"/>
          <w:sz w:val="28"/>
          <w:szCs w:val="28"/>
        </w:rPr>
        <w:t>№ 570-р, закрепляющие обязанность АНО «АЦ» осуществлять анализ полученных от регионов сведений  о реализации Стандарта.</w:t>
      </w:r>
    </w:p>
    <w:p w14:paraId="5A96677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соответствии с решениями, принятыми на заседании Межведомственной рабочей группы 27 июня 2018 г., завершение оценки реализации Стандарта регионами осуществлялось Минэкономразвития России.</w:t>
      </w:r>
    </w:p>
    <w:p w14:paraId="570D324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При этом автономной некоммерческой организацией «Аналитический центр при Правительстве Российской Федерации» (далее – АНО «АЦ») проведен и представлен анализ деятельности регионов по содействию развитию конкуренции положениям Стандарта на основе их докладов (для каждого субъекта Российской Федерации АНО «АЦ» рассчитан показатель «Количество реализованных составляющих Стандарта» (Показатель № 1).</w:t>
      </w:r>
    </w:p>
    <w:p w14:paraId="304F928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рассчитан показатель «Достижение установленных целевых значений» (Показатель № 2) и составлен рейтинг регионов по уровню содействия развитию конкуренции в 2017 году (далее – Рейтинг). </w:t>
      </w:r>
    </w:p>
    <w:p w14:paraId="77B54E15" w14:textId="77777777" w:rsidR="009D1082" w:rsidRPr="0050661D" w:rsidRDefault="00B9260F"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Результаты</w:t>
      </w:r>
      <w:r w:rsidR="009D1082" w:rsidRPr="0050661D">
        <w:rPr>
          <w:rFonts w:ascii="Times New Roman" w:eastAsia="Times New Roman" w:hAnsi="Times New Roman" w:cs="Times New Roman"/>
          <w:sz w:val="28"/>
          <w:szCs w:val="28"/>
        </w:rPr>
        <w:t xml:space="preserve"> оценки свидетельствуют о положительной тенденции решения региональными властями вопросов, обозначенных в Стандарте. Регионы активнее включены в процесс его реализации. </w:t>
      </w:r>
    </w:p>
    <w:p w14:paraId="0181844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среднем в 2017 году реализация Стандарта составила на 68,79% в то время как в 2016 году – 63,23%. При этом составляющие стандарта в 2016 году в среднем были реализованы на 58,79%, а в 2017 году – 64,52% (Показатель № 1 «Реализация составляющих стандарта развития конкуренции), среднее значение Показателя № 2 «Достижение установленных целевых значений» составило в 2016 году 67,67%, в 2017 году – 73,1%.</w:t>
      </w:r>
    </w:p>
    <w:p w14:paraId="60BD3D6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Лидирующие позиции в Рейтинге по-прежнему занимает Республика Татарстан, если в 2016 году регионом было реализовано 72,26% составляющих Стандарта, то в 2017 году 96,39%. Итоговое значение оценки региона-лидера в 2017 году составило 105,3%, тогда как в 2016 году оно было 98,25%.</w:t>
      </w:r>
    </w:p>
    <w:p w14:paraId="56EAC5C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Также среди наиболее активных регионов по внедрению Стандарта следует отметить Московскую область, г. Москва, Омскую область и Удмуртскую Республику. </w:t>
      </w:r>
    </w:p>
    <w:p w14:paraId="07B18124"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По итогам оценки за 2017 год ни один из регионов не получил 0 баллов (в 2016 году нулевой показатель отмечался у одного региона). Менее 20% по оценке получили только три региона – Республика Калмыкия, Тверская область и Иркутская область (в 2016 году значение менее 20%  присвоено 10 регионам).</w:t>
      </w:r>
    </w:p>
    <w:p w14:paraId="3FB3F7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 3 года внедрения Стандарта уровень реализации каждой из составляющих увеличился на 15% и более, общий уровень реализации вырос практически в 2 раза. Наиболее сложной составляющей Стандарта для регионов с точки зрения реализации остается «Создание и реализация механизмов общественного контроля за деятельностью субъектов естественных монополий». В среднем данная составляющая реализована в субъектах Российской Федерации только на 46%.</w:t>
      </w:r>
    </w:p>
    <w:p w14:paraId="762AD6E4"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основополагающим составляющим Стандарта, определяющим последующую эффективность его внедрения, достигнуты следующие результаты. </w:t>
      </w:r>
    </w:p>
    <w:p w14:paraId="6482F085" w14:textId="77777777" w:rsidR="009D1082" w:rsidRPr="0050661D"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Все регионы, кроме Кировской и Иркутской областей, приступили к взаимодействию с муниципальными образованиями и заключили с ними соглашения или меморандумы.</w:t>
      </w:r>
    </w:p>
    <w:p w14:paraId="0E521CB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 концу 2017 года во всех 85 субъектах Российской Федерации был назначен орган исполнительной власти субъекта Российской Федерации, уполномоченного содействовать развитию конкуренции в регионе и осуществляющего функции и полномочия в соответствии со Стандартом (Уполномоченный орган).</w:t>
      </w:r>
    </w:p>
    <w:p w14:paraId="7F24A91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Коллегиальный орган сформирован во всех субъектах Российской Федерации, кроме Карачаево-Черкесской Республики и Вологодской области.</w:t>
      </w:r>
    </w:p>
    <w:p w14:paraId="3C77C6E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Практически все регионы (кроме Тульской и Вологодской областей, а также Забайкальского края) утвердили перечни рынков для содействия развитию конкуренции.</w:t>
      </w:r>
    </w:p>
    <w:p w14:paraId="5A1737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На момент проведения оценки за 2017 отчетный год «дорожные карты» по содействию развитию конкуренции были утверждены в 84 субъектах Российской Федерации (в Тверской области «дорожная карта» утверждена, но действует с 2018 года, в Вологодской области на момент оценки Показателя № 1 существовал только проект документа). </w:t>
      </w:r>
    </w:p>
    <w:p w14:paraId="47B56B4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К созданию и реализации механизмов общественного контроля за деятельностью субъектов естественных монополий фактически приступили 83 региона (кроме Кировской и Иркутской областей), в которых, как минимум, были утверждены положения о межотраслевом совете потребителей. </w:t>
      </w:r>
    </w:p>
    <w:p w14:paraId="15E20646"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период 2018 года проведено 2 заседания Межведомственной рабочей группы, на которых рассмотрены наиболее проблемные вопросы субъектов Российской Федерации, федеральных органов исполнительной власти и иных заинтересованных организаций относительно Стандарта в том числе: </w:t>
      </w:r>
    </w:p>
    <w:p w14:paraId="1B175FB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 предложения о корректировке оценки эффективности деятельности органов исполнительной власти субъектов Российской Федерации; </w:t>
      </w:r>
    </w:p>
    <w:p w14:paraId="6AC05A8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изменение Методики Минэкономразвития России;</w:t>
      </w:r>
    </w:p>
    <w:p w14:paraId="705DE5D3"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внесение в Стандарт дополнений и изменений.</w:t>
      </w:r>
    </w:p>
    <w:p w14:paraId="5D46C85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Соответствующие решения Межведомственной рабочей группы, необходимые для эффективной реализации Стандарта, размещены на официальном сайте Минэкономразвития России в сети «Интернет». </w:t>
      </w:r>
    </w:p>
    <w:p w14:paraId="7F81633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На заседании Межведомственной рабочей группы 5 декабря 2018 г. рассмотрены и одобрены лучшие региональные практики содействия развитию конкуренции в 2017 году (2 лучших региональных практики и 5 рекомендованных к внедрению практики) (Таблица 1).</w:t>
      </w:r>
    </w:p>
    <w:p w14:paraId="21C8F1A1" w14:textId="77777777" w:rsidR="009D1082" w:rsidRPr="009D1082" w:rsidRDefault="009D1082" w:rsidP="009D1082">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1. Лучшие региональные практики содействия развитию конкуренции, подлежащие оценке реализации Стандарта по результатам 2019 года, и рекомендованные к внедрению региональные практики содействия развитию конкуренции</w:t>
      </w:r>
    </w:p>
    <w:tbl>
      <w:tblPr>
        <w:tblStyle w:val="27"/>
        <w:tblW w:w="0" w:type="auto"/>
        <w:tblLook w:val="04A0" w:firstRow="1" w:lastRow="0" w:firstColumn="1" w:lastColumn="0" w:noHBand="0" w:noVBand="1"/>
      </w:tblPr>
      <w:tblGrid>
        <w:gridCol w:w="2675"/>
        <w:gridCol w:w="1804"/>
        <w:gridCol w:w="4865"/>
      </w:tblGrid>
      <w:tr w:rsidR="009D1082" w:rsidRPr="009D1082" w14:paraId="0C4A1881" w14:textId="77777777" w:rsidTr="00656AA1">
        <w:tc>
          <w:tcPr>
            <w:tcW w:w="2878" w:type="dxa"/>
          </w:tcPr>
          <w:p w14:paraId="34EA78A4"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Отрасль/сфера</w:t>
            </w:r>
          </w:p>
        </w:tc>
        <w:tc>
          <w:tcPr>
            <w:tcW w:w="1945" w:type="dxa"/>
          </w:tcPr>
          <w:p w14:paraId="22230C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Субъект Российской Федерации</w:t>
            </w:r>
          </w:p>
        </w:tc>
        <w:tc>
          <w:tcPr>
            <w:tcW w:w="5314" w:type="dxa"/>
          </w:tcPr>
          <w:p w14:paraId="35A4BF4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Наименование лучшей практики</w:t>
            </w:r>
          </w:p>
        </w:tc>
      </w:tr>
      <w:tr w:rsidR="009D1082" w:rsidRPr="009D1082" w14:paraId="76A9B41B" w14:textId="77777777" w:rsidTr="00656AA1">
        <w:tc>
          <w:tcPr>
            <w:tcW w:w="10137" w:type="dxa"/>
            <w:gridSpan w:val="3"/>
          </w:tcPr>
          <w:p w14:paraId="119AB1F5"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1. Лучшие региональные практики содействия развитию конкуренции</w:t>
            </w:r>
          </w:p>
        </w:tc>
      </w:tr>
      <w:tr w:rsidR="009D1082" w:rsidRPr="009D1082" w14:paraId="42962567" w14:textId="77777777" w:rsidTr="00656AA1">
        <w:tc>
          <w:tcPr>
            <w:tcW w:w="2878" w:type="dxa"/>
            <w:vMerge w:val="restart"/>
          </w:tcPr>
          <w:p w14:paraId="676F612C"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 xml:space="preserve">1.1.  Содействие органам местного самоуправления в вопросах развития конкуренции и внедрения Стандарта </w:t>
            </w:r>
          </w:p>
        </w:tc>
        <w:tc>
          <w:tcPr>
            <w:tcW w:w="1945" w:type="dxa"/>
          </w:tcPr>
          <w:p w14:paraId="36EFCE7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Московская область</w:t>
            </w:r>
          </w:p>
        </w:tc>
        <w:tc>
          <w:tcPr>
            <w:tcW w:w="5314" w:type="dxa"/>
          </w:tcPr>
          <w:p w14:paraId="28CFAFC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Разработка Методических рекомендаций о средствах и методах развития конкурентной среды на рынках товаров, работ и услуг муниципального образования</w:t>
            </w:r>
          </w:p>
        </w:tc>
      </w:tr>
      <w:tr w:rsidR="009D1082" w:rsidRPr="009D1082" w14:paraId="231A4C09" w14:textId="77777777" w:rsidTr="00656AA1">
        <w:tc>
          <w:tcPr>
            <w:tcW w:w="2878" w:type="dxa"/>
            <w:vMerge/>
          </w:tcPr>
          <w:p w14:paraId="1525B34B" w14:textId="77777777" w:rsidR="009D1082" w:rsidRPr="009D1082" w:rsidRDefault="009D1082" w:rsidP="009D1082">
            <w:pPr>
              <w:jc w:val="both"/>
              <w:rPr>
                <w:rFonts w:ascii="Times New Roman" w:hAnsi="Times New Roman"/>
                <w:szCs w:val="28"/>
              </w:rPr>
            </w:pPr>
          </w:p>
        </w:tc>
        <w:tc>
          <w:tcPr>
            <w:tcW w:w="1945" w:type="dxa"/>
          </w:tcPr>
          <w:p w14:paraId="625BF3A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Мордовия</w:t>
            </w:r>
          </w:p>
        </w:tc>
        <w:tc>
          <w:tcPr>
            <w:tcW w:w="5314" w:type="dxa"/>
          </w:tcPr>
          <w:p w14:paraId="7CA00CDC" w14:textId="77777777" w:rsidR="009D1082" w:rsidRPr="009D1082" w:rsidRDefault="009D1082" w:rsidP="009D1082">
            <w:pPr>
              <w:jc w:val="both"/>
              <w:rPr>
                <w:rFonts w:ascii="Times New Roman" w:hAnsi="Times New Roman"/>
                <w:szCs w:val="28"/>
              </w:rPr>
            </w:pPr>
            <w:r w:rsidRPr="009D1082">
              <w:rPr>
                <w:rFonts w:ascii="Times New Roman" w:hAnsi="Times New Roman" w:cs="Calibri"/>
                <w:szCs w:val="28"/>
              </w:rPr>
              <w:t xml:space="preserve">Формирование рейтинга муниципальных образований  по содействию развитию  конкуренции и обеспечению условий для благоприятного инвестиционного климата.  </w:t>
            </w:r>
          </w:p>
        </w:tc>
      </w:tr>
      <w:tr w:rsidR="009D1082" w:rsidRPr="009D1082" w14:paraId="2C1D512D" w14:textId="77777777" w:rsidTr="00656AA1">
        <w:tc>
          <w:tcPr>
            <w:tcW w:w="2878" w:type="dxa"/>
          </w:tcPr>
          <w:p w14:paraId="42E3AF5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1.2. Государственно-частное партнерство</w:t>
            </w:r>
          </w:p>
        </w:tc>
        <w:tc>
          <w:tcPr>
            <w:tcW w:w="1945" w:type="dxa"/>
          </w:tcPr>
          <w:p w14:paraId="33CA6DAE"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77DE743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объектов образования осуществляется на основании постановления Правительства Москвы от 11.03.2013 № 145-ПП «Об особенностях передачи в аренду частным образовательным организациям, реализующим основные общеобразовательные программы, объектов нежилого фонда, находящихся в имущественной казне города Москвы».</w:t>
            </w:r>
          </w:p>
        </w:tc>
      </w:tr>
      <w:tr w:rsidR="009D1082" w:rsidRPr="009D1082" w14:paraId="0E047199" w14:textId="77777777" w:rsidTr="00656AA1">
        <w:tc>
          <w:tcPr>
            <w:tcW w:w="10137" w:type="dxa"/>
            <w:gridSpan w:val="3"/>
          </w:tcPr>
          <w:p w14:paraId="7BBFF41A"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2. Рекомендованные региональные практики содействия развитию конкуренции</w:t>
            </w:r>
          </w:p>
        </w:tc>
      </w:tr>
      <w:tr w:rsidR="009D1082" w:rsidRPr="009D1082" w14:paraId="34150C2E" w14:textId="77777777" w:rsidTr="00656AA1">
        <w:tc>
          <w:tcPr>
            <w:tcW w:w="2878" w:type="dxa"/>
            <w:vMerge w:val="restart"/>
          </w:tcPr>
          <w:p w14:paraId="5B86C0A3"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2.1. Государственные и муниципальные закупки</w:t>
            </w:r>
          </w:p>
        </w:tc>
        <w:tc>
          <w:tcPr>
            <w:tcW w:w="1945" w:type="dxa"/>
          </w:tcPr>
          <w:p w14:paraId="5B99270C"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1D7BDE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Площадка «Биржа торгов» (https://investmoscow.ru/tenders/exchange-trading/announs/)</w:t>
            </w:r>
          </w:p>
        </w:tc>
      </w:tr>
      <w:tr w:rsidR="009D1082" w:rsidRPr="009D1082" w14:paraId="11629A92" w14:textId="77777777" w:rsidTr="00656AA1">
        <w:tc>
          <w:tcPr>
            <w:tcW w:w="2878" w:type="dxa"/>
            <w:vMerge/>
          </w:tcPr>
          <w:p w14:paraId="26811575" w14:textId="77777777" w:rsidR="009D1082" w:rsidRPr="009D1082" w:rsidRDefault="009D1082" w:rsidP="009D1082">
            <w:pPr>
              <w:jc w:val="both"/>
              <w:rPr>
                <w:rFonts w:ascii="Times New Roman" w:hAnsi="Times New Roman"/>
                <w:szCs w:val="28"/>
              </w:rPr>
            </w:pPr>
          </w:p>
        </w:tc>
        <w:tc>
          <w:tcPr>
            <w:tcW w:w="1945" w:type="dxa"/>
          </w:tcPr>
          <w:p w14:paraId="4120EDB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Татарстан</w:t>
            </w:r>
          </w:p>
        </w:tc>
        <w:tc>
          <w:tcPr>
            <w:tcW w:w="5314" w:type="dxa"/>
          </w:tcPr>
          <w:p w14:paraId="274B5E0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Обеспечение доступа малого и среднего предпринимательства к закупкам</w:t>
            </w:r>
          </w:p>
        </w:tc>
      </w:tr>
      <w:tr w:rsidR="009D1082" w:rsidRPr="009D1082" w14:paraId="68FE44B7" w14:textId="77777777" w:rsidTr="00656AA1">
        <w:tc>
          <w:tcPr>
            <w:tcW w:w="2878" w:type="dxa"/>
          </w:tcPr>
          <w:p w14:paraId="0ED081B9"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2.2. Государственно-частное партнерство</w:t>
            </w:r>
          </w:p>
        </w:tc>
        <w:tc>
          <w:tcPr>
            <w:tcW w:w="1945" w:type="dxa"/>
          </w:tcPr>
          <w:p w14:paraId="700D4FE6"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Республика Башкортостан</w:t>
            </w:r>
          </w:p>
          <w:p w14:paraId="49BF2583" w14:textId="77777777" w:rsidR="009D1082" w:rsidRPr="009D1082" w:rsidRDefault="009D1082" w:rsidP="009D1082">
            <w:pPr>
              <w:jc w:val="both"/>
              <w:rPr>
                <w:rFonts w:ascii="Times New Roman" w:hAnsi="Times New Roman"/>
                <w:szCs w:val="28"/>
              </w:rPr>
            </w:pPr>
          </w:p>
        </w:tc>
        <w:tc>
          <w:tcPr>
            <w:tcW w:w="5314" w:type="dxa"/>
          </w:tcPr>
          <w:p w14:paraId="450EEF4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Создание негосударственного пансионата стационарного обслуживания для пожилых и инвалидов в д. Ирсаево Мишкинского района Республики Башкортостан</w:t>
            </w:r>
          </w:p>
        </w:tc>
      </w:tr>
      <w:tr w:rsidR="009D1082" w:rsidRPr="009D1082" w14:paraId="2928D8A4" w14:textId="77777777" w:rsidTr="00656AA1">
        <w:tc>
          <w:tcPr>
            <w:tcW w:w="2878" w:type="dxa"/>
          </w:tcPr>
          <w:p w14:paraId="7D9F1D1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2.3.Рынок транспортных услуг</w:t>
            </w:r>
          </w:p>
        </w:tc>
        <w:tc>
          <w:tcPr>
            <w:tcW w:w="1945" w:type="dxa"/>
          </w:tcPr>
          <w:p w14:paraId="5C2BB174" w14:textId="77777777" w:rsidR="009D1082" w:rsidRPr="009D1082" w:rsidRDefault="009D1082" w:rsidP="009D1082">
            <w:pPr>
              <w:rPr>
                <w:rFonts w:ascii="Times New Roman" w:hAnsi="Times New Roman"/>
                <w:szCs w:val="28"/>
              </w:rPr>
            </w:pPr>
            <w:r w:rsidRPr="009D1082">
              <w:rPr>
                <w:rFonts w:ascii="Times New Roman" w:hAnsi="Times New Roman"/>
                <w:szCs w:val="28"/>
              </w:rPr>
              <w:t>Вологодская область</w:t>
            </w:r>
          </w:p>
          <w:p w14:paraId="13438EAD" w14:textId="77777777" w:rsidR="009D1082" w:rsidRPr="009D1082" w:rsidRDefault="009D1082" w:rsidP="009D1082">
            <w:pPr>
              <w:jc w:val="both"/>
              <w:rPr>
                <w:rFonts w:ascii="Times New Roman" w:hAnsi="Times New Roman"/>
                <w:szCs w:val="28"/>
              </w:rPr>
            </w:pPr>
          </w:p>
        </w:tc>
        <w:tc>
          <w:tcPr>
            <w:tcW w:w="5314" w:type="dxa"/>
          </w:tcPr>
          <w:p w14:paraId="21C54D0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Приобретение услуг специализированного склада на поставку продовольственных товаров для государственных учреждений области</w:t>
            </w:r>
          </w:p>
        </w:tc>
      </w:tr>
      <w:tr w:rsidR="009D1082" w:rsidRPr="009D1082" w14:paraId="3EE73527" w14:textId="77777777" w:rsidTr="00656AA1">
        <w:tc>
          <w:tcPr>
            <w:tcW w:w="2878" w:type="dxa"/>
          </w:tcPr>
          <w:p w14:paraId="1F0BCF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2.4. Создание и реализация механизмов общественного контроля за деятельностью субъектов естественных монополий</w:t>
            </w:r>
          </w:p>
        </w:tc>
        <w:tc>
          <w:tcPr>
            <w:tcW w:w="1945" w:type="dxa"/>
          </w:tcPr>
          <w:p w14:paraId="233410A9"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Республика Татарстан</w:t>
            </w:r>
          </w:p>
          <w:p w14:paraId="1F6FF644" w14:textId="77777777" w:rsidR="009D1082" w:rsidRPr="009D1082" w:rsidRDefault="009D1082" w:rsidP="009D1082">
            <w:pPr>
              <w:jc w:val="both"/>
              <w:rPr>
                <w:rFonts w:ascii="Times New Roman" w:hAnsi="Times New Roman"/>
                <w:szCs w:val="28"/>
              </w:rPr>
            </w:pPr>
          </w:p>
        </w:tc>
        <w:tc>
          <w:tcPr>
            <w:tcW w:w="5314" w:type="dxa"/>
          </w:tcPr>
          <w:p w14:paraId="2547647F"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механизмов общественного контроля за деятельностью субъектов естественных монополий</w:t>
            </w:r>
          </w:p>
        </w:tc>
      </w:tr>
      <w:tr w:rsidR="009D1082" w:rsidRPr="009D1082" w14:paraId="7293A57A" w14:textId="77777777" w:rsidTr="00656AA1">
        <w:tc>
          <w:tcPr>
            <w:tcW w:w="2878" w:type="dxa"/>
          </w:tcPr>
          <w:p w14:paraId="46EEEA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2.5. Повышение информированности субъектов предпринимательской деятельности</w:t>
            </w:r>
          </w:p>
        </w:tc>
        <w:tc>
          <w:tcPr>
            <w:tcW w:w="1945" w:type="dxa"/>
          </w:tcPr>
          <w:p w14:paraId="56B6F35D"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Воронежская область</w:t>
            </w:r>
          </w:p>
          <w:p w14:paraId="43A32741" w14:textId="77777777" w:rsidR="009D1082" w:rsidRPr="009D1082" w:rsidRDefault="009D1082" w:rsidP="009D1082">
            <w:pPr>
              <w:jc w:val="both"/>
              <w:rPr>
                <w:rFonts w:ascii="Times New Roman" w:hAnsi="Times New Roman"/>
                <w:szCs w:val="28"/>
              </w:rPr>
            </w:pPr>
          </w:p>
        </w:tc>
        <w:tc>
          <w:tcPr>
            <w:tcW w:w="5314" w:type="dxa"/>
          </w:tcPr>
          <w:p w14:paraId="6525B4B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Справочник предпринимателя, осуществляющего деятельность на приоритетных и (или) социально значимых рынках Воронежской области</w:t>
            </w:r>
          </w:p>
        </w:tc>
      </w:tr>
    </w:tbl>
    <w:p w14:paraId="25402BF6" w14:textId="77777777" w:rsidR="009D1082" w:rsidRPr="009D1082" w:rsidRDefault="009D1082" w:rsidP="009D1082">
      <w:pPr>
        <w:spacing w:after="0" w:line="360" w:lineRule="auto"/>
        <w:ind w:firstLine="709"/>
        <w:jc w:val="both"/>
        <w:rPr>
          <w:rFonts w:ascii="Times New Roman" w:eastAsia="Times New Roman" w:hAnsi="Times New Roman" w:cs="Times New Roman"/>
          <w:sz w:val="28"/>
          <w:szCs w:val="28"/>
        </w:rPr>
      </w:pPr>
    </w:p>
    <w:p w14:paraId="29E352E9" w14:textId="77777777" w:rsidR="009D1082" w:rsidRPr="009D1082" w:rsidRDefault="009D1082" w:rsidP="0050661D">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дальнейшего внедрения указанные практики направлены в субъекты Российской Федерации письмом Минэкономразвития России </w:t>
      </w:r>
      <w:r w:rsidRPr="009D1082">
        <w:rPr>
          <w:rFonts w:ascii="Times New Roman" w:eastAsia="Times New Roman" w:hAnsi="Times New Roman" w:cs="Times New Roman"/>
          <w:sz w:val="28"/>
          <w:szCs w:val="28"/>
        </w:rPr>
        <w:br/>
        <w:t>от 13 декабря 2018 г. № 37084-МР/Д05и. Оценку реализации Стандарта и составление рейтинга регионов в 2020 г. предполагается осуществлять с учетом внедрения указанных лучших региональных практик в 2019 г.</w:t>
      </w:r>
    </w:p>
    <w:p w14:paraId="10F0869F" w14:textId="77777777" w:rsidR="009D1082" w:rsidRPr="009D1082" w:rsidRDefault="009D1082" w:rsidP="0050661D">
      <w:pPr>
        <w:spacing w:before="360"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1.4.3. Информация о мерах по организации и функционированию антимонопольного комплаенса в федеральных органах исполнительной власти.</w:t>
      </w:r>
    </w:p>
    <w:p w14:paraId="76692A4C" w14:textId="77777777" w:rsidR="009D1082" w:rsidRPr="009D1082" w:rsidRDefault="009D1082" w:rsidP="0050661D">
      <w:pPr>
        <w:spacing w:after="0" w:line="240" w:lineRule="auto"/>
        <w:ind w:firstLine="720"/>
        <w:jc w:val="both"/>
        <w:rPr>
          <w:rFonts w:ascii="Times New Roman" w:eastAsia="Times New Roman" w:hAnsi="Times New Roman" w:cs="Times New Roman"/>
          <w:sz w:val="28"/>
          <w:szCs w:val="28"/>
        </w:rPr>
      </w:pPr>
    </w:p>
    <w:p w14:paraId="3B8889B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Минэкономразвития России в соответствии с пунктом 3 распоряжения Правительства Российской Федерации от 16 августа 2018 г. № 1697-р «</w:t>
      </w:r>
      <w:r w:rsidRPr="009D1082">
        <w:rPr>
          <w:rFonts w:ascii="Times New Roman" w:eastAsia="Calibri" w:hAnsi="Times New Roman" w:cs="Times New Roman"/>
          <w:sz w:val="28"/>
          <w:szCs w:val="28"/>
        </w:rPr>
        <w:t xml:space="preserve">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r w:rsidRPr="009D1082">
        <w:rPr>
          <w:rFonts w:ascii="Times New Roman" w:eastAsia="Times New Roman" w:hAnsi="Times New Roman" w:cs="Times New Roman"/>
          <w:sz w:val="28"/>
          <w:szCs w:val="28"/>
        </w:rPr>
        <w:t>приказом Минэкономразвития России от 5 декабря 2018 г. № 671 организовало систему антимонопольного комплаенса.</w:t>
      </w:r>
    </w:p>
    <w:p w14:paraId="0017FE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339430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1.4.4. Реформа контрольно-надзорной деятельности.</w:t>
      </w:r>
    </w:p>
    <w:p w14:paraId="57097CA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b/>
          <w:sz w:val="28"/>
          <w:szCs w:val="28"/>
        </w:rPr>
      </w:pPr>
    </w:p>
    <w:p w14:paraId="21FEEFC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Повышение конкурентоспособности субъектов предпринимательской деятельности является одной из главных задач развития экономики Российской Федерации. Для достижения его высокого уровня необходимо в том числе поддерживать такой уровень административной нагрузки, который с одно стороны позволял бы субъектам предпринимательской деятельности вести конкурентную ценовую политику, а с другой стороны обеспечивал бы максимальную защиту охраняемых законом ценностей. </w:t>
      </w:r>
    </w:p>
    <w:p w14:paraId="4C415D1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оптимизации административной нагрузки на субъекты предпринимательской деятельности, повышения результативности и эффективности исполнения контрольно-надзорных функций в рамках реализации приоритетной программы «Реформа контрольной и надзорной деятельности», утвержденной протоколом заседания Совета при Президенте Российской Федерации по стратегическому развитию и приоритетным проектам от 13 июля 2016 г. № 1 (далее – приоритетная программа), продолжена работа по совершенствованию контрольно-надзорной деятельности в 2018 году. </w:t>
      </w:r>
    </w:p>
    <w:p w14:paraId="029E07B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Основными направлениями совершенствования контрольно-надзорной деятельности, ответственным куратором которых выступало Минэкономразвития России, в 2018 году являлись внедрение риск-ориентированного подхода, внедрение оценки результативности и эффективности контрольно-надзорной деятельности, внедрение системы комплексной профилактики нарушений обязательных требований и совершенствование контрольно-надзорной деятельности на региональном и муниципальном уровнях. </w:t>
      </w:r>
    </w:p>
    <w:p w14:paraId="039BAE3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рамках внедрения риск-ориентированного подхода приняты нормативные правовые акты, устанавливающие категории риска (классы опасности) и критерии отнесения к ним подконтрольных объектов, в отношении 32 видов контроля (надзора), из них по 6 видам контроля (надзора) – 2018 году. </w:t>
      </w:r>
    </w:p>
    <w:p w14:paraId="06770B3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Нормативные правовые акты, предусматривающие отмену плановых проверок, приняты в отношении 7 видов контроля (надзора), из них по 2 видам регионального государственного контроля (надзора). </w:t>
      </w:r>
    </w:p>
    <w:p w14:paraId="1FF5ECE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Принят Федеральный закон от 3 августа 2018 г. № 316-ФЗ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19 Федерального закона «О лицензировании отдельных видов деятельности», который позволяет субъектам Российской Федерации самостоятельно определять перечень видов регионального государственного контроля (надзора), в отношении которых применяется риск-ориентированный подход, а также устанавливать критерии и категории риска. </w:t>
      </w:r>
    </w:p>
    <w:p w14:paraId="388F144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Субъектами Российской Федерации приняты нормативные правовые акты, утверждающие критерии риска по 6 видам регионального государственного контроля (надзора). </w:t>
      </w:r>
    </w:p>
    <w:p w14:paraId="64097BA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отношении внепланового контроля приняты нормативные правовые акты, утверждающие индикаторы риска нарушения обязательных требований по 2 видам федерального государственного контроля (надзора): федеральный государственный контроль за деятельностью аккредитованных лиц, осуществляемый Росаккредитацией, а также государственный земельный надзор, осуществляемый Росреестром. </w:t>
      </w:r>
    </w:p>
    <w:p w14:paraId="5AD96E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В отношении внедрения системы оценки результативности и эффективности контрольно-надзорной деятельности необходимо отметить, что помимо 9 федеральных органов исполнительной власти – участников реализации приоритетной программы (далее – участники реализации приоритетной программы), утвердивших в 2017 году на основании распоряжения Правительства Российской Федерации от 17 мая 2016 г. № 934-р, закрепляющего основные направления разработки и внедрения системы оценки результативности и эффективности контрольно-надзорной деятельности, ведомственные приказы с</w:t>
      </w:r>
      <w:r w:rsidRPr="009D1082">
        <w:rPr>
          <w:rFonts w:ascii="Calibri" w:eastAsia="Times New Roman" w:hAnsi="Calibri" w:cs="Calibri"/>
        </w:rPr>
        <w:t> </w:t>
      </w:r>
      <w:r w:rsidRPr="009D1082">
        <w:rPr>
          <w:rFonts w:ascii="Times New Roman" w:eastAsia="Times New Roman" w:hAnsi="Times New Roman" w:cs="Times New Roman"/>
          <w:sz w:val="28"/>
          <w:szCs w:val="28"/>
        </w:rPr>
        <w:t xml:space="preserve">разработанными показателями результативности и эффективности контрольно-надзорной деятельности, в 2018 году 5 участников реализации приоритетной программы утвердили такие ведомственные приказы. </w:t>
      </w:r>
    </w:p>
    <w:p w14:paraId="6269D9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нормативного правового закрепления, а также обеспечения публичности и доступности разработанных участниками реализации приоритетной программы ключевых показателей результативности контрольно-надзорной деятельности (далее – показатели результативности) распоряжением Правительства Российской Федерации от 27 апреля 2018 г. № 788-р утвержден Перечень ключевых показателей результативности контрольно-надзорной деятельности федеральных органов исполнительной власти, содержащий 75 показателей результативности 9 участников реализации приоритетной программы по 21 виду государственного контроля (надзора). </w:t>
      </w:r>
    </w:p>
    <w:p w14:paraId="11BDF6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Также Минэкономразвития России обеспечено методическое сопровождение деятельности участников реализации приоритетной программы, внедряющих систему оценки результативности и эффективности контрольно-надзорной деятельности, на основе методологического документа – Стандарта зрелости управления результативностью и эффективностью контрольно-надзорной деятельности, утвержденного протоколом заседания проектного комитета по основному направлению стратегического развития Российской Федерации «Реформа контрольной и надзорной деятельности» </w:t>
      </w:r>
      <w:r w:rsidRPr="009D1082">
        <w:rPr>
          <w:rFonts w:ascii="Times New Roman" w:eastAsia="Times New Roman" w:hAnsi="Times New Roman" w:cs="Times New Roman"/>
          <w:sz w:val="28"/>
          <w:szCs w:val="28"/>
        </w:rPr>
        <w:br/>
        <w:t xml:space="preserve">от 13 февраля 2018 г. № 1. </w:t>
      </w:r>
    </w:p>
    <w:p w14:paraId="3FA1CF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методических инструментов указанного Стандарта в 2018 году 9 участников реализации приоритетной программы утвердили 79 паспортов показателей результативности с целью формирования в одном документе информации, необходимой для управления указанными показателями и совершенствования систем работы с данными, 5 участниками на текущий момент проводится разработка (доработка) указанных паспортов на основании замечаний и рекомендаций Минэкономразвития России. </w:t>
      </w:r>
    </w:p>
    <w:p w14:paraId="3D9B155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 целью совершенствования автоматизации процессов управления данными контрольно-надзорной деятельности участниками реализации приоритетной программы в 2018 году проведена работа по передаче данных о значениях показателей результативности и эффективности контрольно-надзорной деятельности в государственную автоматизированную информационную систему «Управление» (ГАС «Управление»), в том числе осуществлена передача данных о значениях указанных показателей ФНС России, Рострудом и Росздравнадзором. </w:t>
      </w:r>
    </w:p>
    <w:p w14:paraId="018F80C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Ключевым результатом внедрения системы комплексной профилактики нарушений обязательных требований стал запуск процесса формирования ведомственных систем профилактики на основе единых требований и методических рекомендаций, сформированных в Стандарте комплексной профилактики рисков причинения вреда охраняемым законом ценностям. </w:t>
      </w:r>
    </w:p>
    <w:p w14:paraId="794D278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Редакция Стандарта комплексной профилактики рисков причинения вреда охраняемым законом ценностям доработана в 2018 году по итогам его апробации в 2017 году, в том числе с учетом направления по внедрению риск-ориентированного подхода, тем самым ориентируя участников реализации приоритетной программы на проведение профилактической деятельности дифференцированно в зависимости от категорий риска (классов опасности). </w:t>
      </w:r>
    </w:p>
    <w:p w14:paraId="1FF1D42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Стандарта комплексной профилактики рисков причинения вреда охраняемым законом ценностям Минэкономразвития России проведена предварительная оценка соответствия уровням зрелости ведомственных систем профилактики участников реализации приоритетной программы по 37 видам контроля. </w:t>
      </w:r>
    </w:p>
    <w:p w14:paraId="1B64185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конце 2018 года Правительством Российской Федерации были утверждены общие требования к организации и осуществлению контрольно-надзорными органами мероприятий по профилактике нарушений обязательных требований (постановление Правительства Российской Федерации </w:t>
      </w:r>
      <w:r w:rsidRPr="009D1082">
        <w:rPr>
          <w:rFonts w:ascii="Times New Roman" w:eastAsia="Times New Roman" w:hAnsi="Times New Roman" w:cs="Times New Roman"/>
          <w:sz w:val="28"/>
          <w:szCs w:val="28"/>
        </w:rPr>
        <w:br/>
        <w:t xml:space="preserve">от 26 декабря 2018 г. № 1680). Общие требования в развитие положений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устанавливают обязательные для всех органов государственного контроля (надзора), муниципального контроля правила осуществления мероприятий по профилактике нарушения обязательных требований – размещение перечня нормативных правовых актов, содержащих обязательные требования, информирования поднадзорных лиц, обобщения практики осуществления контроля. </w:t>
      </w:r>
    </w:p>
    <w:p w14:paraId="6A074C7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Стандарт сохраняет роль методического документа, положения которого могут использоваться в частности, при осуществлении информирования поднадзорных лиц. </w:t>
      </w:r>
    </w:p>
    <w:p w14:paraId="350EA47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соответствии со сводной информацией от Аналитического центра при Правительстве Российской Федерации за 3 квартал 2018 г. участниками реализации приоритетной программы проведено порядка 1732 публичных мероприятия, с анализом правоприменительной практики и размещением результатов публичных мероприятий на официальных сайтах контрольно-надзорных органов вместе с анкетами для обеспечения «обратной связи» от участников мероприятий, включая совместные публичные мероприятия по смежным видам государственного контроля (надзора), в том числе с органами исполнительной власти субъектов Российской Федерации. </w:t>
      </w:r>
    </w:p>
    <w:p w14:paraId="0DC92F0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Кроме того, в субъектах Российской Федерации реализуется целевая модель «Осуществление контрольно-надзорной деятельности в субъектах Российской Федерации», утвержденная распоряжением Правительства Российской Федерации от 31 января 2017 г. № 147-р. </w:t>
      </w:r>
    </w:p>
    <w:p w14:paraId="7A1DA3F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По итогам 2018 года процент внедрения в субъектах Российской Федерации целевой модели составил 85,4 %. </w:t>
      </w:r>
    </w:p>
    <w:p w14:paraId="5E2809B4"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Проект распоряжения Правительства Российской Федерации, предусматривающий продолжение совершенствования контрольно-надзорной деятельности в субъектах Российской Федерации до 2021 года в настоящее время внесен на рассмотрение в Правительство Российской Федерации. </w:t>
      </w:r>
    </w:p>
    <w:p w14:paraId="4109299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2018 году в целях оптимизации контрольно-надзорной деятельности и повышения ее эффективности был принят ряд мер по совершенствованию нормативно-правового регулирования вопросов государственного контроля (надзора) и муниципального контроля, в том числе направленных на снижение административной нагрузки на субъекты предпринимательской деятельности. </w:t>
      </w:r>
    </w:p>
    <w:p w14:paraId="178E431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1. Законодательно закреплена обязанность включения в единый реестр проверок информации о проверках, проводимых ФАС России при осуществлении контроля за соблюдением антимонопольного законодательства, органами государственного контроля (надзора) – в отношении органов местного самоуправления. Данная мера также направлена на расширение перечня информации, вносимой в Единый реестр проверок, в целях обеспечения открытости и прозрачности контрольно-надзорной деятельности (Федеральный закон от 19 февраля 2018 г. № 17-ФЗ). </w:t>
      </w:r>
    </w:p>
    <w:p w14:paraId="47B118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2. Обеспечена практическая возможность для органов государственного контроля (надзора) внесения в единый реестр проверок информации о контрольных закупках, о проверках, проводимых ФАС России при осуществлении контроля за соблюдением антимонопольного законодательства, и о проверках, проводимых органами государственного контроля (надзора) в отношении органов местного самоуправления (постановление Правительства Российской Федерации от 21 ноября 2018 г. № 1399). </w:t>
      </w:r>
    </w:p>
    <w:p w14:paraId="70127BC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3. Изменениями в Федеральный закон 294-ФЗ, помимо уже указанных выше вопросов передачи части полномочий по риск-ориентированному подходу на региональный уровень, введен ряд новаций, в частности: </w:t>
      </w:r>
    </w:p>
    <w:p w14:paraId="1024017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введено понятие вида контроля; </w:t>
      </w:r>
    </w:p>
    <w:p w14:paraId="505959F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уточнено регулирование лицензионного контроля, в том числе при применении риск-ориентированного подхода; </w:t>
      </w:r>
    </w:p>
    <w:p w14:paraId="0EDE59B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предусмотрено применение мероприятий по контролю без взаимодействия с юридическими лицами, индивидуальными предпринимателями при осуществлении муниципального контроля; </w:t>
      </w:r>
    </w:p>
    <w:p w14:paraId="03247F4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расширены возможности контрольно-надзорных органов по получению информации, которая может быть использована для индикаторов риска нарушения обязательных требований; </w:t>
      </w:r>
    </w:p>
    <w:p w14:paraId="2A345A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4. Утверждены правила организации и проведения нового мероприятия по контролю – контрольной закупки – при осуществлении отдельных видов государственного контроля (надзора) (постановление Правительства Российской Федерации от 21 ноября 2018 г. № 1398). </w:t>
      </w:r>
    </w:p>
    <w:p w14:paraId="358D572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Контрольная закупка проводится при наличии оснований для проведения внеплановой проверки в случаях, когда оценка соблюдения обязательных требований при продаже товаров, выполнении работ и оказании услуг потребителям может быть осуществлена только в рамках проведения контрольной закупки. </w:t>
      </w:r>
    </w:p>
    <w:p w14:paraId="0A553F6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Внедрение института контрольной закупки направлено на снижение административной нагрузки от внеплановых проверок. </w:t>
      </w:r>
    </w:p>
    <w:p w14:paraId="036CEEF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5. В 2018 году введен на двухлетний период с 1 января 2019 г. по </w:t>
      </w:r>
      <w:r w:rsidRPr="009D1082">
        <w:rPr>
          <w:rFonts w:ascii="Times New Roman" w:eastAsia="Times New Roman" w:hAnsi="Times New Roman" w:cs="Times New Roman"/>
          <w:sz w:val="28"/>
          <w:szCs w:val="28"/>
        </w:rPr>
        <w:br/>
        <w:t xml:space="preserve">31 декабря 2020 г. новый период «надзорных каникул» для субъектов малого предпринимательства с отдельными исключениями (Федеральный закон </w:t>
      </w:r>
      <w:r w:rsidRPr="009D1082">
        <w:rPr>
          <w:rFonts w:ascii="Times New Roman" w:eastAsia="Times New Roman" w:hAnsi="Times New Roman" w:cs="Times New Roman"/>
          <w:sz w:val="28"/>
          <w:szCs w:val="28"/>
        </w:rPr>
        <w:br/>
        <w:t xml:space="preserve">от 25 декабря 2018 г. № 480-ФЗ). </w:t>
      </w:r>
    </w:p>
    <w:p w14:paraId="05173559"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защиты охраняемых законом ценностей устанавливаемый запрет на плановые проверки не будет распространяться: </w:t>
      </w:r>
    </w:p>
    <w:p w14:paraId="666647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виды деятельности и имеющие объекты контроля с высоким риском возникновения угрозы причинения вреда жизни и здоровью граждан (сферы радиационной безопасности, использования атомной энергии, защиты государственной тайны); </w:t>
      </w:r>
    </w:p>
    <w:p w14:paraId="7CDADE2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лицензируемые виды деятельности; </w:t>
      </w:r>
    </w:p>
    <w:p w14:paraId="738A26E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в отношении которых было вынесено вступившее в законную силу постановление о назначении административного наказания за </w:t>
      </w:r>
    </w:p>
    <w:p w14:paraId="1602915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совершение грубого нарушения; </w:t>
      </w:r>
    </w:p>
    <w:p w14:paraId="7B8E2CA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виды государственного контроля (надзора), в отношении которых применяется риск-ориентированный подход; </w:t>
      </w:r>
    </w:p>
    <w:p w14:paraId="1853635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операции с драгоценными металлами и драгоценными камнями. </w:t>
      </w:r>
    </w:p>
    <w:p w14:paraId="52172A2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6. В 2018 году продолжалась работа над проектом федерального закона «О государственном контроле (надзоре) и муниципальном контроле в Российской Федерации», направленного на создание нового механизма организации и осуществления контрольно-надзорной деятельности и защиты прав подконтрольных субъектов в Российской Федерации. </w:t>
      </w:r>
    </w:p>
    <w:p w14:paraId="5DB98F7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Законопроект принят Государственной Думой Федерального Собрания Российской Федерации в первом чтении 21 февраля 2018 года. </w:t>
      </w:r>
    </w:p>
    <w:p w14:paraId="32C2560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настоящее время на основании проведенных в Правительстве Российской Федерации совещаний проводится системная доработка законопроекта с целью кодификации положений законодательства, регулирующих процессы осуществления контрольно-надзорной деятельности. </w:t>
      </w:r>
    </w:p>
    <w:p w14:paraId="646BE79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Дальнейшее рассмотрение законопроекта Государственной Думой Федерального Собрания Российской Федерации планируется во II квартале 2019 года. </w:t>
      </w:r>
    </w:p>
    <w:p w14:paraId="1A9FA4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Результаты реформы контрольно-надзорной деятельности подтверждаются в том числе статистическими данными по количеству проведенных органами государственного контроля (надзора) проверок. </w:t>
      </w:r>
    </w:p>
    <w:p w14:paraId="7971FCF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За период с 2012 по 2018 год общее число проверок в России сократилось на 43,5 %. При этом число плановых проверок сократилось в 4 раза – на 76 %. Число внеплановых проверок сократилось на 8,5 %.</w:t>
      </w:r>
    </w:p>
    <w:p w14:paraId="2503A1B9" w14:textId="77777777" w:rsidR="009D1082" w:rsidRPr="009D1082" w:rsidRDefault="009D1082" w:rsidP="009D1082">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2. Данные по количеству проверок</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1031"/>
        <w:gridCol w:w="1237"/>
        <w:gridCol w:w="1108"/>
        <w:gridCol w:w="1134"/>
        <w:gridCol w:w="1134"/>
        <w:gridCol w:w="1134"/>
      </w:tblGrid>
      <w:tr w:rsidR="009D1082" w:rsidRPr="009D1082" w14:paraId="0AFEFB54" w14:textId="77777777" w:rsidTr="00656AA1">
        <w:trPr>
          <w:trHeight w:val="90"/>
        </w:trPr>
        <w:tc>
          <w:tcPr>
            <w:tcW w:w="2093" w:type="dxa"/>
          </w:tcPr>
          <w:p w14:paraId="175FFD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Наименование показателя </w:t>
            </w:r>
          </w:p>
        </w:tc>
        <w:tc>
          <w:tcPr>
            <w:tcW w:w="1134" w:type="dxa"/>
          </w:tcPr>
          <w:p w14:paraId="587A4E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2012 г. </w:t>
            </w:r>
          </w:p>
        </w:tc>
        <w:tc>
          <w:tcPr>
            <w:tcW w:w="1031" w:type="dxa"/>
          </w:tcPr>
          <w:p w14:paraId="6730F2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2013 г. </w:t>
            </w:r>
          </w:p>
        </w:tc>
        <w:tc>
          <w:tcPr>
            <w:tcW w:w="1237" w:type="dxa"/>
          </w:tcPr>
          <w:p w14:paraId="5BC3585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2014 г. </w:t>
            </w:r>
          </w:p>
        </w:tc>
        <w:tc>
          <w:tcPr>
            <w:tcW w:w="1108" w:type="dxa"/>
          </w:tcPr>
          <w:p w14:paraId="70208CC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2015 г. </w:t>
            </w:r>
          </w:p>
        </w:tc>
        <w:tc>
          <w:tcPr>
            <w:tcW w:w="1134" w:type="dxa"/>
          </w:tcPr>
          <w:p w14:paraId="2BC53D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2016 г. </w:t>
            </w:r>
          </w:p>
        </w:tc>
        <w:tc>
          <w:tcPr>
            <w:tcW w:w="1134" w:type="dxa"/>
          </w:tcPr>
          <w:p w14:paraId="48E3B22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2017 г. </w:t>
            </w:r>
          </w:p>
        </w:tc>
        <w:tc>
          <w:tcPr>
            <w:tcW w:w="1134" w:type="dxa"/>
          </w:tcPr>
          <w:p w14:paraId="62379F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2018 г. </w:t>
            </w:r>
          </w:p>
        </w:tc>
      </w:tr>
      <w:tr w:rsidR="009D1082" w:rsidRPr="009D1082" w14:paraId="40A1B35D" w14:textId="77777777" w:rsidTr="00656AA1">
        <w:trPr>
          <w:trHeight w:val="204"/>
        </w:trPr>
        <w:tc>
          <w:tcPr>
            <w:tcW w:w="2093" w:type="dxa"/>
          </w:tcPr>
          <w:p w14:paraId="72FC69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5872F4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2 905 540 </w:t>
            </w:r>
          </w:p>
        </w:tc>
        <w:tc>
          <w:tcPr>
            <w:tcW w:w="1031" w:type="dxa"/>
          </w:tcPr>
          <w:p w14:paraId="4D0F1A9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2 611 295 </w:t>
            </w:r>
          </w:p>
        </w:tc>
        <w:tc>
          <w:tcPr>
            <w:tcW w:w="1237" w:type="dxa"/>
          </w:tcPr>
          <w:p w14:paraId="577B4F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2 374 059 </w:t>
            </w:r>
          </w:p>
        </w:tc>
        <w:tc>
          <w:tcPr>
            <w:tcW w:w="1108" w:type="dxa"/>
          </w:tcPr>
          <w:p w14:paraId="309CEA0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2 354 791 </w:t>
            </w:r>
          </w:p>
        </w:tc>
        <w:tc>
          <w:tcPr>
            <w:tcW w:w="1134" w:type="dxa"/>
          </w:tcPr>
          <w:p w14:paraId="0ECBC25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2 025 561 </w:t>
            </w:r>
          </w:p>
        </w:tc>
        <w:tc>
          <w:tcPr>
            <w:tcW w:w="1134" w:type="dxa"/>
          </w:tcPr>
          <w:p w14:paraId="39EBB1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1 789 630 </w:t>
            </w:r>
          </w:p>
        </w:tc>
        <w:tc>
          <w:tcPr>
            <w:tcW w:w="1134" w:type="dxa"/>
          </w:tcPr>
          <w:p w14:paraId="21F49FC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1 643 396 </w:t>
            </w:r>
          </w:p>
        </w:tc>
      </w:tr>
      <w:tr w:rsidR="009D1082" w:rsidRPr="009D1082" w14:paraId="1A350535" w14:textId="77777777" w:rsidTr="00656AA1">
        <w:trPr>
          <w:trHeight w:val="203"/>
        </w:trPr>
        <w:tc>
          <w:tcPr>
            <w:tcW w:w="2093" w:type="dxa"/>
          </w:tcPr>
          <w:p w14:paraId="166AC1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187F56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2 215 900 </w:t>
            </w:r>
          </w:p>
        </w:tc>
        <w:tc>
          <w:tcPr>
            <w:tcW w:w="1031" w:type="dxa"/>
          </w:tcPr>
          <w:p w14:paraId="6828DB2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1 950 477 </w:t>
            </w:r>
          </w:p>
        </w:tc>
        <w:tc>
          <w:tcPr>
            <w:tcW w:w="1237" w:type="dxa"/>
          </w:tcPr>
          <w:p w14:paraId="026B74C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1 690 237 </w:t>
            </w:r>
          </w:p>
        </w:tc>
        <w:tc>
          <w:tcPr>
            <w:tcW w:w="1108" w:type="dxa"/>
          </w:tcPr>
          <w:p w14:paraId="6F6ADBF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1 514 010 </w:t>
            </w:r>
          </w:p>
        </w:tc>
        <w:tc>
          <w:tcPr>
            <w:tcW w:w="1134" w:type="dxa"/>
          </w:tcPr>
          <w:p w14:paraId="71847F7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1 189 335 </w:t>
            </w:r>
          </w:p>
        </w:tc>
        <w:tc>
          <w:tcPr>
            <w:tcW w:w="1134" w:type="dxa"/>
          </w:tcPr>
          <w:p w14:paraId="031C1EE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1 050 248 </w:t>
            </w:r>
          </w:p>
        </w:tc>
        <w:tc>
          <w:tcPr>
            <w:tcW w:w="1134" w:type="dxa"/>
          </w:tcPr>
          <w:p w14:paraId="68DA4FD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978 679 </w:t>
            </w:r>
          </w:p>
        </w:tc>
      </w:tr>
      <w:tr w:rsidR="009D1082" w:rsidRPr="009D1082" w14:paraId="7DF6D141" w14:textId="77777777" w:rsidTr="00656AA1">
        <w:trPr>
          <w:trHeight w:val="204"/>
        </w:trPr>
        <w:tc>
          <w:tcPr>
            <w:tcW w:w="2093" w:type="dxa"/>
          </w:tcPr>
          <w:p w14:paraId="7F158B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7896D2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511 320 </w:t>
            </w:r>
          </w:p>
        </w:tc>
        <w:tc>
          <w:tcPr>
            <w:tcW w:w="1031" w:type="dxa"/>
          </w:tcPr>
          <w:p w14:paraId="4D2869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536 670 </w:t>
            </w:r>
          </w:p>
        </w:tc>
        <w:tc>
          <w:tcPr>
            <w:tcW w:w="1237" w:type="dxa"/>
          </w:tcPr>
          <w:p w14:paraId="2275AB3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538 071 </w:t>
            </w:r>
          </w:p>
        </w:tc>
        <w:tc>
          <w:tcPr>
            <w:tcW w:w="1108" w:type="dxa"/>
          </w:tcPr>
          <w:p w14:paraId="1735C38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570 913 </w:t>
            </w:r>
          </w:p>
        </w:tc>
        <w:tc>
          <w:tcPr>
            <w:tcW w:w="1134" w:type="dxa"/>
          </w:tcPr>
          <w:p w14:paraId="049A0EF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425 151 </w:t>
            </w:r>
          </w:p>
        </w:tc>
        <w:tc>
          <w:tcPr>
            <w:tcW w:w="1134" w:type="dxa"/>
          </w:tcPr>
          <w:p w14:paraId="253E0C0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340 497 </w:t>
            </w:r>
          </w:p>
        </w:tc>
        <w:tc>
          <w:tcPr>
            <w:tcW w:w="1134" w:type="dxa"/>
          </w:tcPr>
          <w:p w14:paraId="586035A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311 940 </w:t>
            </w:r>
          </w:p>
        </w:tc>
      </w:tr>
      <w:tr w:rsidR="009D1082" w:rsidRPr="009D1082" w14:paraId="7B661998" w14:textId="77777777" w:rsidTr="00656AA1">
        <w:trPr>
          <w:trHeight w:val="90"/>
        </w:trPr>
        <w:tc>
          <w:tcPr>
            <w:tcW w:w="2093" w:type="dxa"/>
          </w:tcPr>
          <w:p w14:paraId="00C6B46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6203D5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23 956 </w:t>
            </w:r>
          </w:p>
        </w:tc>
        <w:tc>
          <w:tcPr>
            <w:tcW w:w="1031" w:type="dxa"/>
          </w:tcPr>
          <w:p w14:paraId="4813C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36 030 </w:t>
            </w:r>
          </w:p>
        </w:tc>
        <w:tc>
          <w:tcPr>
            <w:tcW w:w="1237" w:type="dxa"/>
          </w:tcPr>
          <w:p w14:paraId="3A3368F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51 815 </w:t>
            </w:r>
          </w:p>
        </w:tc>
        <w:tc>
          <w:tcPr>
            <w:tcW w:w="1108" w:type="dxa"/>
          </w:tcPr>
          <w:p w14:paraId="614FA5F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73 090 </w:t>
            </w:r>
          </w:p>
        </w:tc>
        <w:tc>
          <w:tcPr>
            <w:tcW w:w="1134" w:type="dxa"/>
          </w:tcPr>
          <w:p w14:paraId="479F292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61 472 </w:t>
            </w:r>
          </w:p>
        </w:tc>
        <w:tc>
          <w:tcPr>
            <w:tcW w:w="1134" w:type="dxa"/>
          </w:tcPr>
          <w:p w14:paraId="3FFACC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55 059 </w:t>
            </w:r>
          </w:p>
        </w:tc>
        <w:tc>
          <w:tcPr>
            <w:tcW w:w="1134" w:type="dxa"/>
          </w:tcPr>
          <w:p w14:paraId="137E9D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50 944 </w:t>
            </w:r>
          </w:p>
        </w:tc>
      </w:tr>
      <w:tr w:rsidR="009D1082" w:rsidRPr="009D1082" w14:paraId="4217D689" w14:textId="77777777" w:rsidTr="00656AA1">
        <w:trPr>
          <w:trHeight w:val="90"/>
        </w:trPr>
        <w:tc>
          <w:tcPr>
            <w:tcW w:w="2093" w:type="dxa"/>
          </w:tcPr>
          <w:p w14:paraId="16F0CF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2F42640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154 364 </w:t>
            </w:r>
          </w:p>
        </w:tc>
        <w:tc>
          <w:tcPr>
            <w:tcW w:w="1031" w:type="dxa"/>
          </w:tcPr>
          <w:p w14:paraId="21054F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88 118 </w:t>
            </w:r>
          </w:p>
        </w:tc>
        <w:tc>
          <w:tcPr>
            <w:tcW w:w="1237" w:type="dxa"/>
          </w:tcPr>
          <w:p w14:paraId="63BDD5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93 936 </w:t>
            </w:r>
          </w:p>
        </w:tc>
        <w:tc>
          <w:tcPr>
            <w:tcW w:w="1108" w:type="dxa"/>
          </w:tcPr>
          <w:p w14:paraId="04B11F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196 778 </w:t>
            </w:r>
          </w:p>
        </w:tc>
        <w:tc>
          <w:tcPr>
            <w:tcW w:w="1134" w:type="dxa"/>
          </w:tcPr>
          <w:p w14:paraId="1A1E8CB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349 603 </w:t>
            </w:r>
          </w:p>
        </w:tc>
        <w:tc>
          <w:tcPr>
            <w:tcW w:w="1134" w:type="dxa"/>
          </w:tcPr>
          <w:p w14:paraId="2109F32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343 826 </w:t>
            </w:r>
          </w:p>
        </w:tc>
        <w:tc>
          <w:tcPr>
            <w:tcW w:w="1134" w:type="dxa"/>
          </w:tcPr>
          <w:p w14:paraId="15C1AD0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301 833 </w:t>
            </w:r>
          </w:p>
        </w:tc>
      </w:tr>
      <w:tr w:rsidR="009D1082" w:rsidRPr="009D1082" w14:paraId="11E0FB0A" w14:textId="77777777" w:rsidTr="00656AA1">
        <w:trPr>
          <w:trHeight w:val="110"/>
        </w:trPr>
        <w:tc>
          <w:tcPr>
            <w:tcW w:w="10005" w:type="dxa"/>
            <w:gridSpan w:val="8"/>
          </w:tcPr>
          <w:p w14:paraId="278E1C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Плановые проверки </w:t>
            </w:r>
          </w:p>
        </w:tc>
      </w:tr>
      <w:tr w:rsidR="009D1082" w:rsidRPr="009D1082" w14:paraId="71595AE3" w14:textId="77777777" w:rsidTr="00656AA1">
        <w:trPr>
          <w:trHeight w:val="204"/>
        </w:trPr>
        <w:tc>
          <w:tcPr>
            <w:tcW w:w="2093" w:type="dxa"/>
          </w:tcPr>
          <w:p w14:paraId="7F0B572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11BF0B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1 509 337 </w:t>
            </w:r>
          </w:p>
        </w:tc>
        <w:tc>
          <w:tcPr>
            <w:tcW w:w="1031" w:type="dxa"/>
          </w:tcPr>
          <w:p w14:paraId="57EEDCD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1 269 616 </w:t>
            </w:r>
          </w:p>
        </w:tc>
        <w:tc>
          <w:tcPr>
            <w:tcW w:w="1237" w:type="dxa"/>
          </w:tcPr>
          <w:p w14:paraId="019A48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986 562 </w:t>
            </w:r>
          </w:p>
        </w:tc>
        <w:tc>
          <w:tcPr>
            <w:tcW w:w="1108" w:type="dxa"/>
          </w:tcPr>
          <w:p w14:paraId="16E0B7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924 596 </w:t>
            </w:r>
          </w:p>
        </w:tc>
        <w:tc>
          <w:tcPr>
            <w:tcW w:w="1134" w:type="dxa"/>
          </w:tcPr>
          <w:p w14:paraId="45EE9A7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618 700 </w:t>
            </w:r>
          </w:p>
        </w:tc>
        <w:tc>
          <w:tcPr>
            <w:tcW w:w="1134" w:type="dxa"/>
          </w:tcPr>
          <w:p w14:paraId="6DA9222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465 012 </w:t>
            </w:r>
          </w:p>
        </w:tc>
        <w:tc>
          <w:tcPr>
            <w:tcW w:w="1134" w:type="dxa"/>
          </w:tcPr>
          <w:p w14:paraId="0C8F52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366 283 </w:t>
            </w:r>
          </w:p>
        </w:tc>
      </w:tr>
      <w:tr w:rsidR="009D1082" w:rsidRPr="009D1082" w14:paraId="66F1B39C" w14:textId="77777777" w:rsidTr="00656AA1">
        <w:trPr>
          <w:trHeight w:val="204"/>
        </w:trPr>
        <w:tc>
          <w:tcPr>
            <w:tcW w:w="2093" w:type="dxa"/>
          </w:tcPr>
          <w:p w14:paraId="0C00A1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0F2DD5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1 150 897 </w:t>
            </w:r>
          </w:p>
        </w:tc>
        <w:tc>
          <w:tcPr>
            <w:tcW w:w="1031" w:type="dxa"/>
          </w:tcPr>
          <w:p w14:paraId="6C5D6D7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1 064 781 </w:t>
            </w:r>
          </w:p>
        </w:tc>
        <w:tc>
          <w:tcPr>
            <w:tcW w:w="1237" w:type="dxa"/>
          </w:tcPr>
          <w:p w14:paraId="573DAE1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802 002 </w:t>
            </w:r>
          </w:p>
        </w:tc>
        <w:tc>
          <w:tcPr>
            <w:tcW w:w="1108" w:type="dxa"/>
          </w:tcPr>
          <w:p w14:paraId="744DBC2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722 870 </w:t>
            </w:r>
          </w:p>
        </w:tc>
        <w:tc>
          <w:tcPr>
            <w:tcW w:w="1134" w:type="dxa"/>
          </w:tcPr>
          <w:p w14:paraId="6537AB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509 841 </w:t>
            </w:r>
          </w:p>
        </w:tc>
        <w:tc>
          <w:tcPr>
            <w:tcW w:w="1134" w:type="dxa"/>
          </w:tcPr>
          <w:p w14:paraId="23CCD2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375 046 </w:t>
            </w:r>
          </w:p>
        </w:tc>
        <w:tc>
          <w:tcPr>
            <w:tcW w:w="1134" w:type="dxa"/>
          </w:tcPr>
          <w:p w14:paraId="03A1882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302 196 </w:t>
            </w:r>
          </w:p>
        </w:tc>
      </w:tr>
      <w:tr w:rsidR="009D1082" w:rsidRPr="009D1082" w14:paraId="50FA9E3E" w14:textId="77777777" w:rsidTr="00656AA1">
        <w:trPr>
          <w:trHeight w:val="204"/>
        </w:trPr>
        <w:tc>
          <w:tcPr>
            <w:tcW w:w="2093" w:type="dxa"/>
          </w:tcPr>
          <w:p w14:paraId="6184474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2AAF664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225 768 </w:t>
            </w:r>
          </w:p>
        </w:tc>
        <w:tc>
          <w:tcPr>
            <w:tcW w:w="1031" w:type="dxa"/>
          </w:tcPr>
          <w:p w14:paraId="25F48D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139 820 </w:t>
            </w:r>
          </w:p>
        </w:tc>
        <w:tc>
          <w:tcPr>
            <w:tcW w:w="1237" w:type="dxa"/>
          </w:tcPr>
          <w:p w14:paraId="31DDFAC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118 618 </w:t>
            </w:r>
          </w:p>
        </w:tc>
        <w:tc>
          <w:tcPr>
            <w:tcW w:w="1108" w:type="dxa"/>
          </w:tcPr>
          <w:p w14:paraId="2BEA471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142 224 </w:t>
            </w:r>
          </w:p>
        </w:tc>
        <w:tc>
          <w:tcPr>
            <w:tcW w:w="1134" w:type="dxa"/>
          </w:tcPr>
          <w:p w14:paraId="55B4EF1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83 295 </w:t>
            </w:r>
          </w:p>
        </w:tc>
        <w:tc>
          <w:tcPr>
            <w:tcW w:w="1134" w:type="dxa"/>
          </w:tcPr>
          <w:p w14:paraId="1944A9E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63 356 </w:t>
            </w:r>
          </w:p>
        </w:tc>
        <w:tc>
          <w:tcPr>
            <w:tcW w:w="1134" w:type="dxa"/>
          </w:tcPr>
          <w:p w14:paraId="7A37FD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43 075 </w:t>
            </w:r>
          </w:p>
        </w:tc>
      </w:tr>
      <w:tr w:rsidR="009D1082" w:rsidRPr="009D1082" w14:paraId="4DAB4825" w14:textId="77777777" w:rsidTr="00656AA1">
        <w:trPr>
          <w:trHeight w:val="90"/>
        </w:trPr>
        <w:tc>
          <w:tcPr>
            <w:tcW w:w="2093" w:type="dxa"/>
          </w:tcPr>
          <w:p w14:paraId="39959A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3B4B480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17 605 </w:t>
            </w:r>
          </w:p>
        </w:tc>
        <w:tc>
          <w:tcPr>
            <w:tcW w:w="1031" w:type="dxa"/>
          </w:tcPr>
          <w:p w14:paraId="521789B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18 840 </w:t>
            </w:r>
          </w:p>
        </w:tc>
        <w:tc>
          <w:tcPr>
            <w:tcW w:w="1237" w:type="dxa"/>
          </w:tcPr>
          <w:p w14:paraId="6C0B026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18 782 </w:t>
            </w:r>
          </w:p>
        </w:tc>
        <w:tc>
          <w:tcPr>
            <w:tcW w:w="1108" w:type="dxa"/>
          </w:tcPr>
          <w:p w14:paraId="7D680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22 925 </w:t>
            </w:r>
          </w:p>
        </w:tc>
        <w:tc>
          <w:tcPr>
            <w:tcW w:w="1134" w:type="dxa"/>
          </w:tcPr>
          <w:p w14:paraId="1B4EC15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8 492 </w:t>
            </w:r>
          </w:p>
        </w:tc>
        <w:tc>
          <w:tcPr>
            <w:tcW w:w="1134" w:type="dxa"/>
          </w:tcPr>
          <w:p w14:paraId="375C1C0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9 510 </w:t>
            </w:r>
          </w:p>
        </w:tc>
        <w:tc>
          <w:tcPr>
            <w:tcW w:w="1134" w:type="dxa"/>
          </w:tcPr>
          <w:p w14:paraId="63ABB77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7 786 </w:t>
            </w:r>
          </w:p>
        </w:tc>
      </w:tr>
      <w:tr w:rsidR="009D1082" w:rsidRPr="009D1082" w14:paraId="46C94583" w14:textId="77777777" w:rsidTr="00656AA1">
        <w:trPr>
          <w:trHeight w:val="90"/>
        </w:trPr>
        <w:tc>
          <w:tcPr>
            <w:tcW w:w="2093" w:type="dxa"/>
          </w:tcPr>
          <w:p w14:paraId="3EFB987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51421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115 067 </w:t>
            </w:r>
          </w:p>
        </w:tc>
        <w:tc>
          <w:tcPr>
            <w:tcW w:w="1031" w:type="dxa"/>
          </w:tcPr>
          <w:p w14:paraId="005844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46 175 </w:t>
            </w:r>
          </w:p>
        </w:tc>
        <w:tc>
          <w:tcPr>
            <w:tcW w:w="1237" w:type="dxa"/>
          </w:tcPr>
          <w:p w14:paraId="5539EC3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47 160 </w:t>
            </w:r>
          </w:p>
        </w:tc>
        <w:tc>
          <w:tcPr>
            <w:tcW w:w="1108" w:type="dxa"/>
          </w:tcPr>
          <w:p w14:paraId="2A27F8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36 577 </w:t>
            </w:r>
          </w:p>
        </w:tc>
        <w:tc>
          <w:tcPr>
            <w:tcW w:w="1134" w:type="dxa"/>
          </w:tcPr>
          <w:p w14:paraId="5A73A01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17 072 </w:t>
            </w:r>
          </w:p>
        </w:tc>
        <w:tc>
          <w:tcPr>
            <w:tcW w:w="1134" w:type="dxa"/>
          </w:tcPr>
          <w:p w14:paraId="20D212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17 100 </w:t>
            </w:r>
          </w:p>
        </w:tc>
        <w:tc>
          <w:tcPr>
            <w:tcW w:w="1134" w:type="dxa"/>
          </w:tcPr>
          <w:p w14:paraId="361B0CD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13 226 </w:t>
            </w:r>
          </w:p>
        </w:tc>
      </w:tr>
      <w:tr w:rsidR="009D1082" w:rsidRPr="009D1082" w14:paraId="71409151" w14:textId="77777777" w:rsidTr="00656AA1">
        <w:trPr>
          <w:trHeight w:val="110"/>
        </w:trPr>
        <w:tc>
          <w:tcPr>
            <w:tcW w:w="10005" w:type="dxa"/>
            <w:gridSpan w:val="8"/>
          </w:tcPr>
          <w:p w14:paraId="327C9A8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Внеплановые проверки </w:t>
            </w:r>
          </w:p>
        </w:tc>
      </w:tr>
      <w:tr w:rsidR="009D1082" w:rsidRPr="009D1082" w14:paraId="631A5808" w14:textId="77777777" w:rsidTr="00656AA1">
        <w:trPr>
          <w:trHeight w:val="204"/>
        </w:trPr>
        <w:tc>
          <w:tcPr>
            <w:tcW w:w="2093" w:type="dxa"/>
          </w:tcPr>
          <w:p w14:paraId="5513C8A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306CFF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1 396 203 </w:t>
            </w:r>
          </w:p>
        </w:tc>
        <w:tc>
          <w:tcPr>
            <w:tcW w:w="1031" w:type="dxa"/>
          </w:tcPr>
          <w:p w14:paraId="67643FB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1 341 679 </w:t>
            </w:r>
          </w:p>
        </w:tc>
        <w:tc>
          <w:tcPr>
            <w:tcW w:w="1237" w:type="dxa"/>
          </w:tcPr>
          <w:p w14:paraId="0BEE4B2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1 387 497 </w:t>
            </w:r>
          </w:p>
        </w:tc>
        <w:tc>
          <w:tcPr>
            <w:tcW w:w="1108" w:type="dxa"/>
          </w:tcPr>
          <w:p w14:paraId="4FC58C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1 430 195 </w:t>
            </w:r>
          </w:p>
        </w:tc>
        <w:tc>
          <w:tcPr>
            <w:tcW w:w="1134" w:type="dxa"/>
          </w:tcPr>
          <w:p w14:paraId="68A1795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1 406 861 </w:t>
            </w:r>
          </w:p>
        </w:tc>
        <w:tc>
          <w:tcPr>
            <w:tcW w:w="1134" w:type="dxa"/>
          </w:tcPr>
          <w:p w14:paraId="15B8EA8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1 324 618 </w:t>
            </w:r>
          </w:p>
        </w:tc>
        <w:tc>
          <w:tcPr>
            <w:tcW w:w="1134" w:type="dxa"/>
          </w:tcPr>
          <w:p w14:paraId="72091FE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1 277 113 </w:t>
            </w:r>
          </w:p>
        </w:tc>
      </w:tr>
      <w:tr w:rsidR="009D1082" w:rsidRPr="009D1082" w14:paraId="1EB54DCB" w14:textId="77777777" w:rsidTr="00656AA1">
        <w:trPr>
          <w:trHeight w:val="203"/>
        </w:trPr>
        <w:tc>
          <w:tcPr>
            <w:tcW w:w="2093" w:type="dxa"/>
          </w:tcPr>
          <w:p w14:paraId="04B006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7003616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1 065 003 </w:t>
            </w:r>
          </w:p>
        </w:tc>
        <w:tc>
          <w:tcPr>
            <w:tcW w:w="1031" w:type="dxa"/>
          </w:tcPr>
          <w:p w14:paraId="4CBDDE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885 696 </w:t>
            </w:r>
          </w:p>
        </w:tc>
        <w:tc>
          <w:tcPr>
            <w:tcW w:w="1237" w:type="dxa"/>
          </w:tcPr>
          <w:p w14:paraId="2B18511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888 235 </w:t>
            </w:r>
          </w:p>
        </w:tc>
        <w:tc>
          <w:tcPr>
            <w:tcW w:w="1108" w:type="dxa"/>
          </w:tcPr>
          <w:p w14:paraId="5EEB75D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791 140 </w:t>
            </w:r>
          </w:p>
        </w:tc>
        <w:tc>
          <w:tcPr>
            <w:tcW w:w="1134" w:type="dxa"/>
          </w:tcPr>
          <w:p w14:paraId="0A14591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679 494 </w:t>
            </w:r>
          </w:p>
        </w:tc>
        <w:tc>
          <w:tcPr>
            <w:tcW w:w="1134" w:type="dxa"/>
          </w:tcPr>
          <w:p w14:paraId="49AB036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675 202 </w:t>
            </w:r>
          </w:p>
        </w:tc>
        <w:tc>
          <w:tcPr>
            <w:tcW w:w="1134" w:type="dxa"/>
          </w:tcPr>
          <w:p w14:paraId="40AF434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676 483 </w:t>
            </w:r>
          </w:p>
        </w:tc>
      </w:tr>
      <w:tr w:rsidR="009D1082" w:rsidRPr="009D1082" w14:paraId="3876E484" w14:textId="77777777" w:rsidTr="00656AA1">
        <w:trPr>
          <w:trHeight w:val="204"/>
        </w:trPr>
        <w:tc>
          <w:tcPr>
            <w:tcW w:w="2093" w:type="dxa"/>
          </w:tcPr>
          <w:p w14:paraId="2C762B6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4C6BF3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285 552 </w:t>
            </w:r>
          </w:p>
        </w:tc>
        <w:tc>
          <w:tcPr>
            <w:tcW w:w="1031" w:type="dxa"/>
          </w:tcPr>
          <w:p w14:paraId="64608AA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396 850 </w:t>
            </w:r>
          </w:p>
        </w:tc>
        <w:tc>
          <w:tcPr>
            <w:tcW w:w="1237" w:type="dxa"/>
          </w:tcPr>
          <w:p w14:paraId="66B370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419 453 </w:t>
            </w:r>
          </w:p>
        </w:tc>
        <w:tc>
          <w:tcPr>
            <w:tcW w:w="1108" w:type="dxa"/>
          </w:tcPr>
          <w:p w14:paraId="0CF462B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428 689 </w:t>
            </w:r>
          </w:p>
        </w:tc>
        <w:tc>
          <w:tcPr>
            <w:tcW w:w="1134" w:type="dxa"/>
          </w:tcPr>
          <w:p w14:paraId="167B25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341 856 </w:t>
            </w:r>
          </w:p>
        </w:tc>
        <w:tc>
          <w:tcPr>
            <w:tcW w:w="1134" w:type="dxa"/>
          </w:tcPr>
          <w:p w14:paraId="0D66DD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277 141 </w:t>
            </w:r>
          </w:p>
        </w:tc>
        <w:tc>
          <w:tcPr>
            <w:tcW w:w="1134" w:type="dxa"/>
          </w:tcPr>
          <w:p w14:paraId="3E46AD6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268 865 </w:t>
            </w:r>
          </w:p>
        </w:tc>
      </w:tr>
      <w:tr w:rsidR="009D1082" w:rsidRPr="009D1082" w14:paraId="7415B791" w14:textId="77777777" w:rsidTr="00656AA1">
        <w:trPr>
          <w:trHeight w:val="90"/>
        </w:trPr>
        <w:tc>
          <w:tcPr>
            <w:tcW w:w="2093" w:type="dxa"/>
          </w:tcPr>
          <w:p w14:paraId="44297A3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064256C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6 351 </w:t>
            </w:r>
          </w:p>
        </w:tc>
        <w:tc>
          <w:tcPr>
            <w:tcW w:w="1031" w:type="dxa"/>
          </w:tcPr>
          <w:p w14:paraId="3A084FC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17 190 </w:t>
            </w:r>
          </w:p>
        </w:tc>
        <w:tc>
          <w:tcPr>
            <w:tcW w:w="1237" w:type="dxa"/>
          </w:tcPr>
          <w:p w14:paraId="6BEA9C8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33 033 </w:t>
            </w:r>
          </w:p>
        </w:tc>
        <w:tc>
          <w:tcPr>
            <w:tcW w:w="1108" w:type="dxa"/>
          </w:tcPr>
          <w:p w14:paraId="2283C9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50 165 </w:t>
            </w:r>
          </w:p>
        </w:tc>
        <w:tc>
          <w:tcPr>
            <w:tcW w:w="1134" w:type="dxa"/>
          </w:tcPr>
          <w:p w14:paraId="34CA81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52 980 </w:t>
            </w:r>
          </w:p>
        </w:tc>
        <w:tc>
          <w:tcPr>
            <w:tcW w:w="1134" w:type="dxa"/>
          </w:tcPr>
          <w:p w14:paraId="57D981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45 549 </w:t>
            </w:r>
          </w:p>
        </w:tc>
        <w:tc>
          <w:tcPr>
            <w:tcW w:w="1134" w:type="dxa"/>
          </w:tcPr>
          <w:p w14:paraId="4E5A2A4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43 158 </w:t>
            </w:r>
          </w:p>
        </w:tc>
      </w:tr>
      <w:tr w:rsidR="009D1082" w:rsidRPr="009D1082" w14:paraId="53F2CA63" w14:textId="77777777" w:rsidTr="00656AA1">
        <w:trPr>
          <w:trHeight w:val="90"/>
        </w:trPr>
        <w:tc>
          <w:tcPr>
            <w:tcW w:w="2093" w:type="dxa"/>
          </w:tcPr>
          <w:p w14:paraId="00302F9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39E555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39 297 </w:t>
            </w:r>
          </w:p>
        </w:tc>
        <w:tc>
          <w:tcPr>
            <w:tcW w:w="1031" w:type="dxa"/>
          </w:tcPr>
          <w:p w14:paraId="7C3D189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41 943 </w:t>
            </w:r>
          </w:p>
        </w:tc>
        <w:tc>
          <w:tcPr>
            <w:tcW w:w="1237" w:type="dxa"/>
          </w:tcPr>
          <w:p w14:paraId="4EE5383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46 776 </w:t>
            </w:r>
          </w:p>
        </w:tc>
        <w:tc>
          <w:tcPr>
            <w:tcW w:w="1108" w:type="dxa"/>
          </w:tcPr>
          <w:p w14:paraId="4AAB5ED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160 201 </w:t>
            </w:r>
          </w:p>
        </w:tc>
        <w:tc>
          <w:tcPr>
            <w:tcW w:w="1134" w:type="dxa"/>
          </w:tcPr>
          <w:p w14:paraId="2B6240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332 531 </w:t>
            </w:r>
          </w:p>
        </w:tc>
        <w:tc>
          <w:tcPr>
            <w:tcW w:w="1134" w:type="dxa"/>
          </w:tcPr>
          <w:p w14:paraId="734DE1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326 726 </w:t>
            </w:r>
          </w:p>
        </w:tc>
        <w:tc>
          <w:tcPr>
            <w:tcW w:w="1134" w:type="dxa"/>
          </w:tcPr>
          <w:p w14:paraId="0DE2E1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288 607 </w:t>
            </w:r>
          </w:p>
        </w:tc>
      </w:tr>
    </w:tbl>
    <w:p w14:paraId="244B29B5" w14:textId="77777777" w:rsidR="002B2C9C" w:rsidRPr="002B2C9C" w:rsidRDefault="002B2C9C" w:rsidP="002B2C9C">
      <w:pPr>
        <w:rPr>
          <w:lang w:eastAsia="ru-RU"/>
        </w:rPr>
      </w:pPr>
    </w:p>
    <w:p w14:paraId="728BD440" w14:textId="1D9F23AA" w:rsidR="0050661D" w:rsidRDefault="0050661D" w:rsidP="00BB7A44">
      <w:pPr>
        <w:pStyle w:val="2"/>
        <w:numPr>
          <w:ilvl w:val="1"/>
          <w:numId w:val="69"/>
        </w:numPr>
      </w:pPr>
      <w:bookmarkStart w:id="2072" w:name="_Toc7448061"/>
      <w:r>
        <w:t>Министерство промышленности и торговли Российской Федерации</w:t>
      </w:r>
      <w:bookmarkEnd w:id="2072"/>
    </w:p>
    <w:p w14:paraId="795A90BC" w14:textId="77777777" w:rsidR="0050661D" w:rsidRDefault="0050661D" w:rsidP="0050661D">
      <w:pPr>
        <w:rPr>
          <w:lang w:eastAsia="ru-RU"/>
        </w:rPr>
      </w:pPr>
    </w:p>
    <w:p w14:paraId="226F754F" w14:textId="77777777" w:rsidR="0050661D" w:rsidRPr="0050661D" w:rsidRDefault="0050661D" w:rsidP="0050661D">
      <w:pPr>
        <w:tabs>
          <w:tab w:val="left" w:pos="756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внутренней торговли</w:t>
      </w:r>
    </w:p>
    <w:p w14:paraId="28F418A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настоящее время основные направления государственной Прполитики по развитию конкуренции в сфере торговли предусмотрены в Стратегии развития торговли в Российской Федерации на 2015 - 2016 г. и период до 2020 г., утвержденной приказом Минпромторга России от 25.12.2014 № 2733 </w:t>
      </w:r>
      <w:r w:rsidRPr="0050661D">
        <w:rPr>
          <w:rFonts w:ascii="Times New Roman" w:eastAsia="Times New Roman" w:hAnsi="Times New Roman" w:cs="Times New Roman"/>
          <w:sz w:val="28"/>
          <w:szCs w:val="28"/>
          <w:lang w:eastAsia="ru-RU"/>
        </w:rPr>
        <w:br/>
        <w:t>(далее – Стратегия).</w:t>
      </w:r>
    </w:p>
    <w:p w14:paraId="3762F7B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Под развитием торговой отрасли в Стратегии понимается создание равных возможностей для беспрепятственного открытия, расширения и ведения бизнеса субъектами торговой деятельности любых размеров (малых, средних, крупных) вне зависимости от выбранного хозяйствующим субъектом торгового формата, при стабильных условиях ведения бизнеса, всесторонней гарантии прав и минимизации административного воздействия. </w:t>
      </w:r>
    </w:p>
    <w:p w14:paraId="6AC7008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Стратегия подразумевает необходимость обеспечения постоянного роста количества хозяйствующих субъектов, занятых в сфере розничной торговли, прежде всего малых и средних предприятий, микропредприятий и индивидуальных предпринимателей, как неотъемлемого элемента формирования конкурентной среды.</w:t>
      </w:r>
    </w:p>
    <w:p w14:paraId="6F6BFFF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В соответствии с планом мероприятий, утвержденным Стратегией, Минпромторг России совместно с федеральными органами исполнительной власти реализует ряд задач. В их числе – осуществление работы по совершенствованию законодательства Российской Федерации в сфере торговли.</w:t>
      </w:r>
    </w:p>
    <w:p w14:paraId="1D47F7D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Доля оборота розничной торговли розничных торговых сетей в общем объеме оборота розничной торговли в 2018 г. по д</w:t>
      </w:r>
      <w:r w:rsidR="005729AC">
        <w:rPr>
          <w:rFonts w:ascii="Times New Roman" w:eastAsia="Times New Roman" w:hAnsi="Times New Roman" w:cs="Times New Roman"/>
          <w:sz w:val="28"/>
          <w:szCs w:val="28"/>
          <w:lang w:eastAsia="ru-RU"/>
        </w:rPr>
        <w:t xml:space="preserve">анным Росстата составила 32,8% </w:t>
      </w:r>
      <w:r w:rsidRPr="0050661D">
        <w:rPr>
          <w:rFonts w:ascii="Times New Roman" w:eastAsia="Times New Roman" w:hAnsi="Times New Roman" w:cs="Times New Roman"/>
          <w:sz w:val="28"/>
          <w:szCs w:val="28"/>
          <w:lang w:eastAsia="ru-RU"/>
        </w:rPr>
        <w:t>(по данным Росстата в 2017 г. сетевая торговля занимала 29,9%).</w:t>
      </w:r>
    </w:p>
    <w:p w14:paraId="6CFC64E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Относительно развития малоформатной торговли стоит отметить, что по данным мониторинга, осуществляемого Минпромторгом России, по результатам I квартала 2018 г. в целом по России насчитывалось 180340 нестационарных торговых объектов, что на 2,7% больше по сравнению с I кварталом 2017 г.</w:t>
      </w:r>
    </w:p>
    <w:p w14:paraId="29B7AB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Помимо этого, в I квартале 2018 г. насчитывалось 20610 мобильных торговых объектов (автомагазины, автокафе и иные передвижные торговые объекты), что на 2,6% больше чем в I квартале 2017 г. </w:t>
      </w:r>
    </w:p>
    <w:p w14:paraId="0633FB4D"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xml:space="preserve">В части совершенствования правового регулирования организации нестационарной и развозной торговли 05.12.2018 Правительством Российской Федерации в Государственную Думу Федерального Собрания Российской Федерации внесен законопроект «О внесении изменений в Федеральный закон </w:t>
      </w:r>
      <w:r w:rsidRPr="0050661D">
        <w:rPr>
          <w:rFonts w:ascii="Times New Roman" w:eastAsia="Calibri" w:hAnsi="Times New Roman" w:cs="Times New Roman"/>
          <w:sz w:val="28"/>
          <w:szCs w:val="28"/>
          <w:lang w:eastAsia="ru-RU"/>
        </w:rPr>
        <w:br/>
        <w:t>«Об основах государственного регулирования торговой деятельности в Российской Федерации» и статью 28 Федерального закона «Об общих принципах организации местного самоуправления в Российской Федерации» (в части совершенствования правового регулирования организации нестационарной и развозной торговли)», разработанный Минпромторгом России.</w:t>
      </w:r>
    </w:p>
    <w:p w14:paraId="133C6748"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входит в национальный проект «Малое и среднее предпринимательство и поддержка индивидуальной предпринимательской инициативы».</w:t>
      </w:r>
    </w:p>
    <w:p w14:paraId="0F52F260"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Согласно паспорту национального проекта он должен быть принят в апреле 2019 года.</w:t>
      </w:r>
    </w:p>
    <w:p w14:paraId="7C290FB5"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предусматривает:</w:t>
      </w:r>
    </w:p>
    <w:p w14:paraId="4E4C93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выделение в отдельную категорию мобильных торговых объектов (автомагазины, автолавки и т.д.), что создаст необходимые условия развития развозной торговли;</w:t>
      </w:r>
    </w:p>
    <w:p w14:paraId="6AD11132"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предоставление компенсационных мест, если место размещения торгового объекта требуется для государственных или муниципальных нужд (принцип «меняется место – сохраняется бизнес»);</w:t>
      </w:r>
    </w:p>
    <w:p w14:paraId="718DA6C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долгосрочный характер договоров на размещение (5-7 лет) с их последующим продлением без проведения торгов;</w:t>
      </w:r>
    </w:p>
    <w:p w14:paraId="6244AE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расширение полномочий субъектов Российской Федерации (они должны будут с учетом местных особенностей региона определить единый порядок администрирования: начиная от приема заявлений и вплоть до ведения реестра торговых объектов);</w:t>
      </w:r>
    </w:p>
    <w:p w14:paraId="7FF5042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формирование органами местного самоуправления территориальных схем размещения торговых объектов (также муниципалитеты будут устанавливать обязательные требования к внешнему виду нестационарных и мобильных торговых объектов).</w:t>
      </w:r>
    </w:p>
    <w:p w14:paraId="75AD9BB7"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Предлагаемые законопроектом изменения обеспечат малому и среднему бизнесу стабильные условия работы в долгосрочной перспективе, позволят мелким предпринимателям начать развиваться, а не выживать.</w:t>
      </w:r>
    </w:p>
    <w:p w14:paraId="203BC161"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Это также даст возможность развиваться региональным производителям, которые не могут обеспечить полноценное взаимодействие с торговыми сетями в силу специфики их работы.</w:t>
      </w:r>
    </w:p>
    <w:p w14:paraId="2F76707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Касательно развития ярмарочной торговли необходимо отметить, что на основании данных Росстата по итогам 2018 г. в стране насчитывалось 9678 ярмарочных площадок, что на 3,4% больше по сравнению с 2017 г.</w:t>
      </w:r>
    </w:p>
    <w:p w14:paraId="6DC66BD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итогам 2018 г. функционировало 1002 розничных рынка, что на 8,2% меньше по сравнению с 2017 г. Это происходит из-за наличия избыточных требований законодательства, предъявляемых к организации и осуществлению торговли на рынках.</w:t>
      </w:r>
    </w:p>
    <w:p w14:paraId="7023D7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доля розничных рынков и ярмарок в общем объеме оборота торговли составила 5,8% (в 2017 г. - 6,5%).</w:t>
      </w:r>
    </w:p>
    <w:p w14:paraId="2A0831E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разработал пакет законопроектов, направленных на упрощение порядка организации розничных рынков и осуществления на них торговой деятельности. В частности, «О внесении изменений в отдельные законодательные акты Российской Федерации и признании утратившими силу законодательных актов (положений законодательных актов) Российской Федерации по вопросам деятельности розничных рынков»; «О внесении изменений в статьи 346.28 и 413 Налогового кодекса Российской Федерации по вопросам деятельности розничных рынков»; «О внесении изменений в Кодекс Российской Федерации об административных правонарушениях по вопросам деятельности розничных рынков».</w:t>
      </w:r>
    </w:p>
    <w:p w14:paraId="176ECE3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законопроекты представлены замечания Минюста России. С учётом данных замечаний законопроект будет доработан и представлен в Правительство Российской Федерации.</w:t>
      </w:r>
    </w:p>
    <w:p w14:paraId="10EA24BF"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указанный законопроект будет дополнен предложениями в части совершенствования правового регулирования организации ярмарок.</w:t>
      </w:r>
    </w:p>
    <w:p w14:paraId="019064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Одновременно сообщаем, что в настоящее время Минпромторгом России разработана новая Стратегия развития т</w:t>
      </w:r>
      <w:r w:rsidR="005729AC">
        <w:rPr>
          <w:rFonts w:ascii="Times New Roman" w:eastAsia="Times New Roman" w:hAnsi="Times New Roman" w:cs="Times New Roman"/>
          <w:sz w:val="28"/>
          <w:szCs w:val="28"/>
          <w:lang w:eastAsia="ru-RU"/>
        </w:rPr>
        <w:t xml:space="preserve">орговли в Российской Федерации </w:t>
      </w:r>
      <w:r w:rsidRPr="0050661D">
        <w:rPr>
          <w:rFonts w:ascii="Times New Roman" w:eastAsia="Times New Roman" w:hAnsi="Times New Roman" w:cs="Times New Roman"/>
          <w:sz w:val="28"/>
          <w:szCs w:val="28"/>
          <w:lang w:eastAsia="ru-RU"/>
        </w:rPr>
        <w:t xml:space="preserve">до 2025 года, которую предполагается утвердить распоряжением Правительства Российской Федерации. </w:t>
      </w:r>
    </w:p>
    <w:p w14:paraId="1B5F829E" w14:textId="77777777" w:rsidR="0050661D" w:rsidRPr="0050661D" w:rsidRDefault="0050661D" w:rsidP="0050661D">
      <w:pPr>
        <w:spacing w:after="0" w:line="240" w:lineRule="auto"/>
        <w:ind w:firstLine="709"/>
        <w:jc w:val="both"/>
        <w:rPr>
          <w:rFonts w:ascii="Times New Roman" w:eastAsia="Times New Roman" w:hAnsi="Times New Roman" w:cs="Times New Roman"/>
          <w:kern w:val="24"/>
          <w:sz w:val="28"/>
          <w:szCs w:val="28"/>
          <w:lang w:eastAsia="ru-RU"/>
        </w:rPr>
      </w:pPr>
      <w:r w:rsidRPr="0050661D">
        <w:rPr>
          <w:rFonts w:ascii="Times New Roman" w:eastAsia="Times New Roman" w:hAnsi="Times New Roman" w:cs="Times New Roman"/>
          <w:kern w:val="24"/>
          <w:sz w:val="28"/>
          <w:szCs w:val="28"/>
          <w:lang w:eastAsia="ru-RU"/>
        </w:rPr>
        <w:t xml:space="preserve">Новая Стратегия будет посвящена созданию комфортной потребительской среды. Мы продолжим и усилим направление на дерегулирование и развитие всех форматов торговли – от малых до торговых сетей. </w:t>
      </w:r>
    </w:p>
    <w:p w14:paraId="3A2295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kern w:val="24"/>
          <w:sz w:val="28"/>
          <w:szCs w:val="28"/>
          <w:lang w:eastAsia="ru-RU"/>
        </w:rPr>
        <w:t xml:space="preserve">В Стратегии будут содержаться конкретные рекомендации, в основном адресованные </w:t>
      </w:r>
      <w:r w:rsidRPr="0050661D">
        <w:rPr>
          <w:rFonts w:ascii="Times New Roman" w:eastAsia="Times New Roman" w:hAnsi="Times New Roman" w:cs="Times New Roman"/>
          <w:sz w:val="28"/>
          <w:szCs w:val="28"/>
          <w:lang w:eastAsia="ru-RU"/>
        </w:rPr>
        <w:t>органам государственной власти субъектов Российской Федерации и органам местного самоуправления,</w:t>
      </w:r>
      <w:r w:rsidRPr="0050661D">
        <w:rPr>
          <w:rFonts w:ascii="Times New Roman" w:eastAsia="Times New Roman" w:hAnsi="Times New Roman" w:cs="Times New Roman"/>
          <w:kern w:val="24"/>
          <w:sz w:val="28"/>
          <w:szCs w:val="28"/>
          <w:lang w:eastAsia="ru-RU"/>
        </w:rPr>
        <w:t xml:space="preserve"> </w:t>
      </w:r>
      <w:r w:rsidRPr="0050661D">
        <w:rPr>
          <w:rFonts w:ascii="Times New Roman" w:eastAsia="Times New Roman" w:hAnsi="Times New Roman" w:cs="Times New Roman"/>
          <w:sz w:val="28"/>
          <w:szCs w:val="28"/>
          <w:lang w:eastAsia="ru-RU"/>
        </w:rPr>
        <w:t>чтобы комфортно развивались все торговые форматы и соответственно конкурентная среда.</w:t>
      </w:r>
    </w:p>
    <w:p w14:paraId="5BC7AA1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Кроме того, в связи с изменяющейся экономической ситуацией в стране, появлением новых вызовов и необходимостью совершенствования законодательства в сфере торговли, в новой Стратегии будут сформулированы новые задачи. </w:t>
      </w:r>
    </w:p>
    <w:p w14:paraId="15D626F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Проект указанной Стратегии планируется внести в Правительство Российской Федерации в первом полугодии 2019 г.</w:t>
      </w:r>
    </w:p>
    <w:p w14:paraId="53A12140" w14:textId="77777777" w:rsidR="0050661D" w:rsidRPr="0050661D" w:rsidRDefault="0050661D" w:rsidP="0050661D">
      <w:pPr>
        <w:spacing w:after="0" w:line="240" w:lineRule="auto"/>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судостроения</w:t>
      </w:r>
    </w:p>
    <w:p w14:paraId="678580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При анализе конкуренции в судостроении необходимо разделять </w:t>
      </w:r>
      <w:r w:rsidRPr="0050661D">
        <w:rPr>
          <w:rFonts w:ascii="Times New Roman" w:eastAsia="Times New Roman" w:hAnsi="Times New Roman" w:cs="Times New Roman"/>
          <w:color w:val="000000"/>
          <w:spacing w:val="-2"/>
          <w:sz w:val="28"/>
          <w:szCs w:val="28"/>
          <w:lang w:eastAsia="ru-RU"/>
        </w:rPr>
        <w:t xml:space="preserve">специфические рынки: внутренний рынок военной продукции, внутренний рынок </w:t>
      </w:r>
      <w:r w:rsidRPr="0050661D">
        <w:rPr>
          <w:rFonts w:ascii="Times New Roman" w:eastAsia="Times New Roman" w:hAnsi="Times New Roman" w:cs="Times New Roman"/>
          <w:color w:val="000000"/>
          <w:sz w:val="28"/>
          <w:szCs w:val="28"/>
          <w:lang w:eastAsia="ru-RU"/>
        </w:rPr>
        <w:t>гражданской продукции и внешний рынок.</w:t>
      </w:r>
    </w:p>
    <w:p w14:paraId="079D7A5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внутреннем рынке военной судостроительной продукции </w:t>
      </w:r>
      <w:r w:rsidRPr="0050661D">
        <w:rPr>
          <w:rFonts w:ascii="Times New Roman" w:eastAsia="Times New Roman" w:hAnsi="Times New Roman" w:cs="Times New Roman"/>
          <w:color w:val="000000"/>
          <w:spacing w:val="-1"/>
          <w:sz w:val="28"/>
          <w:szCs w:val="28"/>
          <w:lang w:eastAsia="ru-RU"/>
        </w:rPr>
        <w:t xml:space="preserve">доминирующую роль играет АО «ОСК», конкуренция осуществляется внутри </w:t>
      </w:r>
      <w:r w:rsidRPr="0050661D">
        <w:rPr>
          <w:rFonts w:ascii="Times New Roman" w:eastAsia="Times New Roman" w:hAnsi="Times New Roman" w:cs="Times New Roman"/>
          <w:color w:val="000000"/>
          <w:sz w:val="28"/>
          <w:szCs w:val="28"/>
          <w:lang w:eastAsia="ru-RU"/>
        </w:rPr>
        <w:t xml:space="preserve">корпорации. Судостроительные верфи, не входящие в АО «ОСК», могут </w:t>
      </w:r>
      <w:r w:rsidR="005729AC">
        <w:rPr>
          <w:rFonts w:ascii="Times New Roman" w:eastAsia="Times New Roman" w:hAnsi="Times New Roman" w:cs="Times New Roman"/>
          <w:color w:val="000000"/>
          <w:spacing w:val="-3"/>
          <w:sz w:val="28"/>
          <w:szCs w:val="28"/>
          <w:lang w:eastAsia="ru-RU"/>
        </w:rPr>
        <w:t xml:space="preserve">конкурировать лишь </w:t>
      </w:r>
      <w:r w:rsidRPr="0050661D">
        <w:rPr>
          <w:rFonts w:ascii="Times New Roman" w:eastAsia="Times New Roman" w:hAnsi="Times New Roman" w:cs="Times New Roman"/>
          <w:color w:val="000000"/>
          <w:spacing w:val="-3"/>
          <w:sz w:val="28"/>
          <w:szCs w:val="28"/>
          <w:lang w:eastAsia="ru-RU"/>
        </w:rPr>
        <w:t>по отдельным ограниченным сегментам рынка.</w:t>
      </w:r>
    </w:p>
    <w:p w14:paraId="3F6B4F2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Практически аналогичная ситуация наблюдается в подотрасли судовое приборостроение, где доминируют созданные государством приборостроительные </w:t>
      </w:r>
      <w:r w:rsidRPr="0050661D">
        <w:rPr>
          <w:rFonts w:ascii="Times New Roman" w:eastAsia="Times New Roman" w:hAnsi="Times New Roman" w:cs="Times New Roman"/>
          <w:color w:val="000000"/>
          <w:sz w:val="28"/>
          <w:szCs w:val="28"/>
          <w:lang w:eastAsia="ru-RU"/>
        </w:rPr>
        <w:t>Концерны. Таким образом, конкуренцию на этом рынке можно охарактеризовать как неразвитую.</w:t>
      </w:r>
    </w:p>
    <w:p w14:paraId="12C81BB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color w:val="000000"/>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color w:val="000000"/>
          <w:spacing w:val="-1"/>
          <w:sz w:val="28"/>
          <w:szCs w:val="28"/>
          <w:lang w:eastAsia="ru-RU"/>
        </w:rPr>
        <w:t>импортозамещения и повышении конкурентоспособности российских верфей.</w:t>
      </w:r>
    </w:p>
    <w:p w14:paraId="21DC8DE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Внешний рынок судостроительной продукции обширен, наибольшие успехи у отечественных предприятий имеются на рынке военного кораблестроения, гражданский экспорт незначителен из-за низкой конкурентоспособности отечественных предприятий. Конкуренцию на мировом рынке можно охарактеризовать как развитую.</w:t>
      </w:r>
    </w:p>
    <w:p w14:paraId="253BCC6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 xml:space="preserve">Конкурентоспособность предприятий российской судостроительной </w:t>
      </w:r>
      <w:r w:rsidRPr="0050661D">
        <w:rPr>
          <w:rFonts w:ascii="Times New Roman" w:eastAsia="Times New Roman" w:hAnsi="Times New Roman" w:cs="Times New Roman"/>
          <w:color w:val="000000"/>
          <w:sz w:val="28"/>
          <w:szCs w:val="28"/>
          <w:lang w:eastAsia="ru-RU"/>
        </w:rPr>
        <w:t>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w:t>
      </w:r>
    </w:p>
    <w:p w14:paraId="021C5E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данный момент в судостроительной отрасли функционирует </w:t>
      </w:r>
      <w:r w:rsidRPr="0050661D">
        <w:rPr>
          <w:rFonts w:ascii="Times New Roman" w:eastAsia="Times New Roman" w:hAnsi="Times New Roman" w:cs="Times New Roman"/>
          <w:color w:val="000000"/>
          <w:sz w:val="28"/>
          <w:szCs w:val="28"/>
          <w:lang w:eastAsia="ru-RU"/>
        </w:rPr>
        <w:br/>
        <w:t xml:space="preserve">9 подконтрольных государству интегрированных структур, многие из которых </w:t>
      </w:r>
      <w:r w:rsidRPr="0050661D">
        <w:rPr>
          <w:rFonts w:ascii="Times New Roman" w:eastAsia="Times New Roman" w:hAnsi="Times New Roman" w:cs="Times New Roman"/>
          <w:color w:val="000000"/>
          <w:spacing w:val="-1"/>
          <w:sz w:val="28"/>
          <w:szCs w:val="28"/>
          <w:lang w:eastAsia="ru-RU"/>
        </w:rPr>
        <w:t>фактически являются монополистами в своих сферах деятельности.</w:t>
      </w:r>
    </w:p>
    <w:p w14:paraId="155BCC7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Наибольший объем выпускаемой судостроительной продукции (корабли, суда и другая морская техника) имеет АО «ОСК», в последние годы доля объемов работ данной интегрированной структуры составила около 80% от общего объема выпускаемой судостроительной продукции отрасли.</w:t>
      </w:r>
    </w:p>
    <w:p w14:paraId="7DBF555B"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Государство оказывает поддержку, как правило, крупным предприятиям с</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достаточно высоким уровнем конкурентоспособности и входящим в </w:t>
      </w:r>
      <w:r w:rsidRPr="0050661D">
        <w:rPr>
          <w:rFonts w:ascii="Times New Roman" w:eastAsia="Times New Roman" w:hAnsi="Times New Roman" w:cs="Times New Roman"/>
          <w:color w:val="000000"/>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color w:val="000000"/>
          <w:sz w:val="28"/>
          <w:szCs w:val="28"/>
          <w:lang w:eastAsia="ru-RU"/>
        </w:rPr>
        <w:t>российских предприятий на мировом рынке, но уровень конкуренции между отечественными заводами снижается. Мелким и средним частным предприятиям сложно выдержать конкуренцию.</w:t>
      </w:r>
    </w:p>
    <w:p w14:paraId="303A85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Необходима открытость информации о достижениях предприятий отрасли (в рамках законодательства Российской Федерации), о выставках, конференциях, о проводимых конкурсах и т.д., а также об иной информации, касающейся рынков судостроительной продукции.</w:t>
      </w:r>
    </w:p>
    <w:p w14:paraId="501BEE3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Необходимо также увеличить количество открытых конкурсов с высокой значимостью не стоимостных критериев оценки (при этом создать возможность </w:t>
      </w:r>
      <w:r w:rsidRPr="0050661D">
        <w:rPr>
          <w:rFonts w:ascii="Times New Roman" w:eastAsia="Times New Roman" w:hAnsi="Times New Roman" w:cs="Times New Roman"/>
          <w:color w:val="000000"/>
          <w:spacing w:val="-1"/>
          <w:sz w:val="28"/>
          <w:szCs w:val="28"/>
          <w:lang w:eastAsia="ru-RU"/>
        </w:rPr>
        <w:t>подачи заявок в электронном виде: создание электронных аукционов).</w:t>
      </w:r>
    </w:p>
    <w:p w14:paraId="5A8ED09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Поддерживаем предложения ФАС о необходимости упорядочить </w:t>
      </w:r>
      <w:r w:rsidRPr="0050661D">
        <w:rPr>
          <w:rFonts w:ascii="Times New Roman" w:eastAsia="Times New Roman" w:hAnsi="Times New Roman" w:cs="Times New Roman"/>
          <w:color w:val="000000"/>
          <w:spacing w:val="-1"/>
          <w:sz w:val="28"/>
          <w:szCs w:val="28"/>
          <w:lang w:eastAsia="ru-RU"/>
        </w:rPr>
        <w:t>существующую систему статистической отчетности Росстата и интеграции информационных ресурсов министерств и других органон исполнительной власти.</w:t>
      </w:r>
    </w:p>
    <w:p w14:paraId="33E4AFB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Специфические особенности судостроения и судостроительной продукции снижают конкурентоспособность продукции предприятий смежных отраслей или частных фирм из-за необходимости адаптации ее к морским условиям («оморячивание»), на которое требуется выделение значительных ресурсов, а также интеграции в такое сложное техническое сооружение, как корабль или судно.</w:t>
      </w:r>
    </w:p>
    <w:p w14:paraId="67367D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зависимости от типа судна, стоимость импортных комплектующих </w:t>
      </w:r>
      <w:r w:rsidRPr="0050661D">
        <w:rPr>
          <w:rFonts w:ascii="Times New Roman" w:eastAsia="Times New Roman" w:hAnsi="Times New Roman" w:cs="Times New Roman"/>
          <w:color w:val="000000"/>
          <w:spacing w:val="-1"/>
          <w:sz w:val="28"/>
          <w:szCs w:val="28"/>
          <w:lang w:eastAsia="ru-RU"/>
        </w:rPr>
        <w:t xml:space="preserve">изделий достигает уровня 70-80%, даже при строительстве боевых кораблей доля </w:t>
      </w:r>
      <w:r w:rsidRPr="0050661D">
        <w:rPr>
          <w:rFonts w:ascii="Times New Roman" w:eastAsia="Times New Roman" w:hAnsi="Times New Roman" w:cs="Times New Roman"/>
          <w:color w:val="000000"/>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color w:val="000000"/>
          <w:sz w:val="28"/>
          <w:szCs w:val="28"/>
          <w:lang w:eastAsia="ru-RU"/>
        </w:rPr>
        <w:t>В</w:t>
      </w:r>
      <w:r w:rsidRPr="0050661D">
        <w:rPr>
          <w:rFonts w:ascii="Times New Roman" w:eastAsia="Times New Roman" w:hAnsi="Times New Roman" w:cs="Times New Roman"/>
          <w:i/>
          <w:iCs/>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связи с необходимостью </w:t>
      </w:r>
      <w:r w:rsidRPr="0050661D">
        <w:rPr>
          <w:rFonts w:ascii="Times New Roman" w:eastAsia="Times New Roman" w:hAnsi="Times New Roman" w:cs="Times New Roman"/>
          <w:color w:val="000000"/>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color w:val="000000"/>
          <w:sz w:val="28"/>
          <w:szCs w:val="28"/>
          <w:lang w:eastAsia="ru-RU"/>
        </w:rPr>
        <w:t xml:space="preserve">конкуренция среди отечественных поставщиков комплектующего оборудования, </w:t>
      </w:r>
      <w:r w:rsidRPr="0050661D">
        <w:rPr>
          <w:rFonts w:ascii="Times New Roman" w:eastAsia="Times New Roman" w:hAnsi="Times New Roman" w:cs="Times New Roman"/>
          <w:color w:val="000000"/>
          <w:spacing w:val="-1"/>
          <w:sz w:val="28"/>
          <w:szCs w:val="28"/>
          <w:lang w:eastAsia="ru-RU"/>
        </w:rPr>
        <w:t>что может повлиять на конкуренцию на рынке конечной продукции.</w:t>
      </w:r>
    </w:p>
    <w:p w14:paraId="3073355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Указанные выше, а также иные проблемы, препятствующие развитию конкуренции в судостроении, имеют межотраслевой характер и должны решаться</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комплексно в рамках общих для ОПК мероприятий по развитию конкуренции при существенной поддержке федеральных органов исполнительной власти.</w:t>
      </w:r>
    </w:p>
    <w:p w14:paraId="4ED32AE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Кроме этого, необходимо отметить, что судостроение - это «собирающая» отрасль, в производстве кораблей и судов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1622560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Учитывая вышесказанное, считаем, что создание отдельного плана развития конкуренции в судостроении («дорожной карты») не рационально. По нашему мнению, необходима общая «дорожная карта».</w:t>
      </w:r>
    </w:p>
    <w:p w14:paraId="3E4C4B6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0FF4781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обеспечение возможностей выхода на рынок «не ключевых игроков» путем модернизации мощностей и соответствующего финансирования;</w:t>
      </w:r>
    </w:p>
    <w:p w14:paraId="30B0F35C"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w:t>
      </w:r>
    </w:p>
    <w:p w14:paraId="0F74EFC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поиск и завоевание новых рынков сбыта (требуется определенный государственно-политический протекционизм);</w:t>
      </w:r>
    </w:p>
    <w:p w14:paraId="14209472"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государственного участия в компенсационной политике по кредитным ставкам;</w:t>
      </w:r>
    </w:p>
    <w:p w14:paraId="40EB8E63"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осуществление комплекса мероприятий по реализации сбалансированной экспортно-импортной политики в интересах су</w:t>
      </w:r>
      <w:r w:rsidR="005729AC">
        <w:rPr>
          <w:rFonts w:ascii="Times New Roman" w:eastAsia="Times New Roman" w:hAnsi="Times New Roman" w:cs="Times New Roman"/>
          <w:color w:val="000000"/>
          <w:sz w:val="28"/>
          <w:szCs w:val="28"/>
          <w:lang w:eastAsia="ru-RU"/>
        </w:rPr>
        <w:t xml:space="preserve">достроительной промышленности, </w:t>
      </w:r>
      <w:r w:rsidRPr="0050661D">
        <w:rPr>
          <w:rFonts w:ascii="Times New Roman" w:eastAsia="Times New Roman" w:hAnsi="Times New Roman" w:cs="Times New Roman"/>
          <w:color w:val="000000"/>
          <w:sz w:val="28"/>
          <w:szCs w:val="28"/>
          <w:lang w:eastAsia="ru-RU"/>
        </w:rPr>
        <w:t xml:space="preserve">в том числе введение импортных квот и специальных пошлин </w:t>
      </w:r>
      <w:r w:rsidR="005729AC">
        <w:rPr>
          <w:rFonts w:ascii="Times New Roman" w:eastAsia="Times New Roman" w:hAnsi="Times New Roman" w:cs="Times New Roman"/>
          <w:color w:val="000000"/>
          <w:sz w:val="28"/>
          <w:szCs w:val="28"/>
          <w:lang w:eastAsia="ru-RU"/>
        </w:rPr>
        <w:t xml:space="preserve">на импорт судов, </w:t>
      </w:r>
      <w:r w:rsidRPr="0050661D">
        <w:rPr>
          <w:rFonts w:ascii="Times New Roman" w:eastAsia="Times New Roman" w:hAnsi="Times New Roman" w:cs="Times New Roman"/>
          <w:color w:val="000000"/>
          <w:sz w:val="28"/>
          <w:szCs w:val="28"/>
          <w:lang w:eastAsia="ru-RU"/>
        </w:rPr>
        <w:t>и проведение мероприятий по законодательному ограничению закупок за рубежом товаров, работ и услуг- в области судостроения;</w:t>
      </w:r>
    </w:p>
    <w:p w14:paraId="27C255E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566C5B3"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системы квотирования для собственников рыбопромыслового флота;</w:t>
      </w:r>
    </w:p>
    <w:p w14:paraId="32BB601C"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стимулирование расширения высокотехнологичного экспорта наукоемкой продукции;</w:t>
      </w:r>
    </w:p>
    <w:p w14:paraId="5962E438"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определение товарных приоритетов, а также концентрация усилий на сегменте мирового рынка, в котором отрасль имеет (или способна создать) конкурентные преимущества (например, суда ледового плавания);</w:t>
      </w:r>
    </w:p>
    <w:p w14:paraId="41DA0E3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кооперационных связей и поиск новых поставщиков судового комплектующего оборудования и материалов, не присоединившихся к санкциям;</w:t>
      </w:r>
    </w:p>
    <w:p w14:paraId="65600D9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обеспечение заинтересованности заказчиков судостроительной продукции отечественного производства с точки зрения экономических, технических, и политических интересов. </w:t>
      </w:r>
    </w:p>
    <w:p w14:paraId="30F69A93"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черной металлургии</w:t>
      </w:r>
    </w:p>
    <w:p w14:paraId="7F94B3C5" w14:textId="77777777" w:rsidR="0050661D" w:rsidRPr="0050661D" w:rsidRDefault="0050661D" w:rsidP="0050661D">
      <w:pPr>
        <w:shd w:val="clear" w:color="auto" w:fill="FFFFFF"/>
        <w:spacing w:after="0" w:line="240" w:lineRule="auto"/>
        <w:ind w:left="24" w:right="5" w:firstLine="56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Для черной металлургии, как отрасли промышленности, характерен высокий уровень конкуренции. По данным 2018 года, количество предприятий черной металлургии - 199 (сто девяносто девять). Российские предприятия черной металлургии полностью обеспечивают внутренний спрос (порядка 41 млн тонн металлопроката/год), при производстве на уровне 65 </w:t>
      </w:r>
      <w:r w:rsidRPr="0050661D">
        <w:rPr>
          <w:rFonts w:ascii="Times New Roman" w:eastAsia="Times New Roman" w:hAnsi="Times New Roman" w:cs="Times New Roman"/>
          <w:color w:val="000000"/>
          <w:spacing w:val="-7"/>
          <w:sz w:val="28"/>
          <w:szCs w:val="28"/>
          <w:lang w:eastAsia="ru-RU"/>
        </w:rPr>
        <w:t xml:space="preserve">млн тонн. Дополнительные объемы продукции, не потребляемые на внутреннем рынке, </w:t>
      </w:r>
      <w:r w:rsidRPr="0050661D">
        <w:rPr>
          <w:rFonts w:ascii="Times New Roman" w:eastAsia="Times New Roman" w:hAnsi="Times New Roman" w:cs="Times New Roman"/>
          <w:color w:val="000000"/>
          <w:spacing w:val="-6"/>
          <w:sz w:val="28"/>
          <w:szCs w:val="28"/>
          <w:lang w:eastAsia="ru-RU"/>
        </w:rPr>
        <w:t xml:space="preserve">направляются на экспорт (около 30 млн. тонн). Основные виды продукции российской </w:t>
      </w:r>
      <w:r w:rsidRPr="0050661D">
        <w:rPr>
          <w:rFonts w:ascii="Times New Roman" w:eastAsia="Times New Roman" w:hAnsi="Times New Roman" w:cs="Times New Roman"/>
          <w:color w:val="000000"/>
          <w:spacing w:val="-9"/>
          <w:sz w:val="28"/>
          <w:szCs w:val="28"/>
          <w:lang w:eastAsia="ru-RU"/>
        </w:rPr>
        <w:t xml:space="preserve">черной металлургии входят в список немногих российских товаров, которые являются </w:t>
      </w:r>
      <w:r w:rsidRPr="0050661D">
        <w:rPr>
          <w:rFonts w:ascii="Times New Roman" w:eastAsia="Times New Roman" w:hAnsi="Times New Roman" w:cs="Times New Roman"/>
          <w:color w:val="000000"/>
          <w:spacing w:val="-7"/>
          <w:sz w:val="28"/>
          <w:szCs w:val="28"/>
          <w:lang w:eastAsia="ru-RU"/>
        </w:rPr>
        <w:t xml:space="preserve">конкурентоспособными на внешних рынках. На внешних рынках российские предприятия </w:t>
      </w:r>
      <w:r w:rsidRPr="0050661D">
        <w:rPr>
          <w:rFonts w:ascii="Times New Roman" w:eastAsia="Times New Roman" w:hAnsi="Times New Roman" w:cs="Times New Roman"/>
          <w:color w:val="000000"/>
          <w:spacing w:val="-10"/>
          <w:sz w:val="28"/>
          <w:szCs w:val="28"/>
          <w:lang w:eastAsia="ru-RU"/>
        </w:rPr>
        <w:t xml:space="preserve">черной металлургии конкурируют с лидерами мировой металлургии, поддерживая на должном </w:t>
      </w:r>
      <w:r w:rsidRPr="0050661D">
        <w:rPr>
          <w:rFonts w:ascii="Times New Roman" w:eastAsia="Times New Roman" w:hAnsi="Times New Roman" w:cs="Times New Roman"/>
          <w:color w:val="000000"/>
          <w:sz w:val="28"/>
          <w:szCs w:val="28"/>
          <w:lang w:eastAsia="ru-RU"/>
        </w:rPr>
        <w:t>уровне качество продукции и производства:</w:t>
      </w:r>
    </w:p>
    <w:tbl>
      <w:tblPr>
        <w:tblW w:w="5000" w:type="pct"/>
        <w:tblLook w:val="04A0" w:firstRow="1" w:lastRow="0" w:firstColumn="1" w:lastColumn="0" w:noHBand="0" w:noVBand="1"/>
      </w:tblPr>
      <w:tblGrid>
        <w:gridCol w:w="919"/>
        <w:gridCol w:w="4792"/>
        <w:gridCol w:w="3633"/>
      </w:tblGrid>
      <w:tr w:rsidR="0050661D" w:rsidRPr="0050661D" w14:paraId="7D3E331D" w14:textId="77777777" w:rsidTr="0050661D">
        <w:trPr>
          <w:trHeight w:val="376"/>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1798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Место</w:t>
            </w:r>
          </w:p>
        </w:tc>
        <w:tc>
          <w:tcPr>
            <w:tcW w:w="2564" w:type="pct"/>
            <w:tcBorders>
              <w:top w:val="single" w:sz="4" w:space="0" w:color="auto"/>
              <w:left w:val="nil"/>
              <w:bottom w:val="single" w:sz="4" w:space="0" w:color="auto"/>
              <w:right w:val="single" w:sz="4" w:space="0" w:color="auto"/>
            </w:tcBorders>
            <w:shd w:val="clear" w:color="auto" w:fill="auto"/>
            <w:vAlign w:val="center"/>
            <w:hideMark/>
          </w:tcPr>
          <w:p w14:paraId="475F74A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Компания</w:t>
            </w:r>
          </w:p>
        </w:tc>
        <w:tc>
          <w:tcPr>
            <w:tcW w:w="1944" w:type="pct"/>
            <w:tcBorders>
              <w:top w:val="single" w:sz="4" w:space="0" w:color="auto"/>
              <w:left w:val="nil"/>
              <w:bottom w:val="single" w:sz="4" w:space="0" w:color="auto"/>
              <w:right w:val="single" w:sz="4" w:space="0" w:color="auto"/>
            </w:tcBorders>
            <w:shd w:val="clear" w:color="auto" w:fill="auto"/>
            <w:vAlign w:val="center"/>
            <w:hideMark/>
          </w:tcPr>
          <w:p w14:paraId="3409F66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Производство в 2017 г., млн тонн</w:t>
            </w:r>
          </w:p>
        </w:tc>
      </w:tr>
      <w:tr w:rsidR="0050661D" w:rsidRPr="0050661D" w14:paraId="2D2E6BA4" w14:textId="77777777" w:rsidTr="0050661D">
        <w:trPr>
          <w:trHeight w:val="126"/>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3BE91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w:t>
            </w:r>
          </w:p>
        </w:tc>
        <w:tc>
          <w:tcPr>
            <w:tcW w:w="2564" w:type="pct"/>
            <w:tcBorders>
              <w:top w:val="nil"/>
              <w:left w:val="nil"/>
              <w:bottom w:val="single" w:sz="4" w:space="0" w:color="auto"/>
              <w:right w:val="single" w:sz="4" w:space="0" w:color="auto"/>
            </w:tcBorders>
            <w:shd w:val="clear" w:color="auto" w:fill="auto"/>
            <w:noWrap/>
            <w:vAlign w:val="bottom"/>
            <w:hideMark/>
          </w:tcPr>
          <w:p w14:paraId="536A772A"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ArcelorMittal </w:t>
            </w:r>
          </w:p>
        </w:tc>
        <w:tc>
          <w:tcPr>
            <w:tcW w:w="1944" w:type="pct"/>
            <w:tcBorders>
              <w:top w:val="nil"/>
              <w:left w:val="nil"/>
              <w:bottom w:val="single" w:sz="4" w:space="0" w:color="auto"/>
              <w:right w:val="single" w:sz="4" w:space="0" w:color="auto"/>
            </w:tcBorders>
            <w:shd w:val="clear" w:color="auto" w:fill="auto"/>
            <w:noWrap/>
            <w:vAlign w:val="bottom"/>
            <w:hideMark/>
          </w:tcPr>
          <w:p w14:paraId="366A759A"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97,03</w:t>
            </w:r>
          </w:p>
        </w:tc>
      </w:tr>
      <w:tr w:rsidR="0050661D" w:rsidRPr="0050661D" w14:paraId="310C4A4D"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8E42C1F"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w:t>
            </w:r>
          </w:p>
        </w:tc>
        <w:tc>
          <w:tcPr>
            <w:tcW w:w="2564" w:type="pct"/>
            <w:tcBorders>
              <w:top w:val="nil"/>
              <w:left w:val="nil"/>
              <w:bottom w:val="single" w:sz="4" w:space="0" w:color="auto"/>
              <w:right w:val="single" w:sz="4" w:space="0" w:color="auto"/>
            </w:tcBorders>
            <w:shd w:val="clear" w:color="auto" w:fill="auto"/>
            <w:noWrap/>
            <w:vAlign w:val="bottom"/>
            <w:hideMark/>
          </w:tcPr>
          <w:p w14:paraId="147D8E4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China Baowu Group </w:t>
            </w:r>
          </w:p>
        </w:tc>
        <w:tc>
          <w:tcPr>
            <w:tcW w:w="1944" w:type="pct"/>
            <w:tcBorders>
              <w:top w:val="nil"/>
              <w:left w:val="nil"/>
              <w:bottom w:val="single" w:sz="4" w:space="0" w:color="auto"/>
              <w:right w:val="single" w:sz="4" w:space="0" w:color="auto"/>
            </w:tcBorders>
            <w:shd w:val="clear" w:color="auto" w:fill="auto"/>
            <w:noWrap/>
            <w:vAlign w:val="bottom"/>
            <w:hideMark/>
          </w:tcPr>
          <w:p w14:paraId="2FC845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65,39</w:t>
            </w:r>
          </w:p>
        </w:tc>
      </w:tr>
      <w:tr w:rsidR="0050661D" w:rsidRPr="0050661D" w14:paraId="615B5553" w14:textId="77777777" w:rsidTr="0050661D">
        <w:trPr>
          <w:trHeight w:val="119"/>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8B270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w:t>
            </w:r>
          </w:p>
        </w:tc>
        <w:tc>
          <w:tcPr>
            <w:tcW w:w="2564" w:type="pct"/>
            <w:tcBorders>
              <w:top w:val="nil"/>
              <w:left w:val="nil"/>
              <w:bottom w:val="single" w:sz="4" w:space="0" w:color="auto"/>
              <w:right w:val="single" w:sz="4" w:space="0" w:color="auto"/>
            </w:tcBorders>
            <w:shd w:val="clear" w:color="auto" w:fill="auto"/>
            <w:hideMark/>
          </w:tcPr>
          <w:p w14:paraId="5864A363"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Nippon Steel and Sumitomo Metal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27DCEC20"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47,36</w:t>
            </w:r>
          </w:p>
        </w:tc>
      </w:tr>
      <w:tr w:rsidR="0050661D" w:rsidRPr="0050661D" w14:paraId="40BD7839"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7E538D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w:t>
            </w:r>
          </w:p>
        </w:tc>
        <w:tc>
          <w:tcPr>
            <w:tcW w:w="2564" w:type="pct"/>
            <w:tcBorders>
              <w:top w:val="nil"/>
              <w:left w:val="nil"/>
              <w:bottom w:val="single" w:sz="4" w:space="0" w:color="auto"/>
              <w:right w:val="single" w:sz="4" w:space="0" w:color="auto"/>
            </w:tcBorders>
            <w:shd w:val="clear" w:color="auto" w:fill="auto"/>
            <w:noWrap/>
            <w:vAlign w:val="bottom"/>
            <w:hideMark/>
          </w:tcPr>
          <w:p w14:paraId="7FC2EC0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HBIS Group </w:t>
            </w:r>
          </w:p>
        </w:tc>
        <w:tc>
          <w:tcPr>
            <w:tcW w:w="1944" w:type="pct"/>
            <w:tcBorders>
              <w:top w:val="nil"/>
              <w:left w:val="nil"/>
              <w:bottom w:val="single" w:sz="4" w:space="0" w:color="auto"/>
              <w:right w:val="single" w:sz="4" w:space="0" w:color="auto"/>
            </w:tcBorders>
            <w:shd w:val="clear" w:color="auto" w:fill="auto"/>
            <w:noWrap/>
            <w:vAlign w:val="bottom"/>
            <w:hideMark/>
          </w:tcPr>
          <w:p w14:paraId="73E55A1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45,56</w:t>
            </w:r>
          </w:p>
        </w:tc>
      </w:tr>
      <w:tr w:rsidR="0050661D" w:rsidRPr="0050661D" w14:paraId="33E30BF5" w14:textId="77777777" w:rsidTr="0050661D">
        <w:trPr>
          <w:trHeight w:val="7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B9FD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5</w:t>
            </w:r>
          </w:p>
        </w:tc>
        <w:tc>
          <w:tcPr>
            <w:tcW w:w="2564" w:type="pct"/>
            <w:tcBorders>
              <w:top w:val="nil"/>
              <w:left w:val="nil"/>
              <w:bottom w:val="single" w:sz="4" w:space="0" w:color="auto"/>
              <w:right w:val="single" w:sz="4" w:space="0" w:color="auto"/>
            </w:tcBorders>
            <w:shd w:val="clear" w:color="auto" w:fill="auto"/>
            <w:noWrap/>
            <w:vAlign w:val="bottom"/>
            <w:hideMark/>
          </w:tcPr>
          <w:p w14:paraId="5D31577F"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POSCO </w:t>
            </w:r>
          </w:p>
        </w:tc>
        <w:tc>
          <w:tcPr>
            <w:tcW w:w="1944" w:type="pct"/>
            <w:tcBorders>
              <w:top w:val="nil"/>
              <w:left w:val="nil"/>
              <w:bottom w:val="single" w:sz="4" w:space="0" w:color="auto"/>
              <w:right w:val="single" w:sz="4" w:space="0" w:color="auto"/>
            </w:tcBorders>
            <w:shd w:val="clear" w:color="auto" w:fill="auto"/>
            <w:noWrap/>
            <w:vAlign w:val="bottom"/>
            <w:hideMark/>
          </w:tcPr>
          <w:p w14:paraId="48F681E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42,19</w:t>
            </w:r>
          </w:p>
        </w:tc>
      </w:tr>
      <w:tr w:rsidR="0050661D" w:rsidRPr="0050661D" w14:paraId="039E8047" w14:textId="77777777" w:rsidTr="0050661D">
        <w:trPr>
          <w:trHeight w:val="10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84E8BF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w:t>
            </w:r>
          </w:p>
        </w:tc>
        <w:tc>
          <w:tcPr>
            <w:tcW w:w="2564" w:type="pct"/>
            <w:tcBorders>
              <w:top w:val="nil"/>
              <w:left w:val="nil"/>
              <w:bottom w:val="single" w:sz="4" w:space="0" w:color="auto"/>
              <w:right w:val="single" w:sz="4" w:space="0" w:color="auto"/>
            </w:tcBorders>
            <w:shd w:val="clear" w:color="auto" w:fill="auto"/>
            <w:noWrap/>
            <w:vAlign w:val="bottom"/>
            <w:hideMark/>
          </w:tcPr>
          <w:p w14:paraId="685BA9DD"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Shagang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1F907328"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38,35</w:t>
            </w:r>
          </w:p>
        </w:tc>
      </w:tr>
      <w:tr w:rsidR="0050661D" w:rsidRPr="0050661D" w14:paraId="2B9C41DE"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2ABE6D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w:t>
            </w:r>
          </w:p>
        </w:tc>
        <w:tc>
          <w:tcPr>
            <w:tcW w:w="2564" w:type="pct"/>
            <w:tcBorders>
              <w:top w:val="nil"/>
              <w:left w:val="nil"/>
              <w:bottom w:val="single" w:sz="4" w:space="0" w:color="auto"/>
              <w:right w:val="single" w:sz="4" w:space="0" w:color="auto"/>
            </w:tcBorders>
            <w:shd w:val="clear" w:color="auto" w:fill="auto"/>
            <w:noWrap/>
            <w:vAlign w:val="bottom"/>
            <w:hideMark/>
          </w:tcPr>
          <w:p w14:paraId="47C428D7"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Ansteel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4B5F8C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35,76</w:t>
            </w:r>
          </w:p>
        </w:tc>
      </w:tr>
      <w:tr w:rsidR="0050661D" w:rsidRPr="0050661D" w14:paraId="068026E3"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497A19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8</w:t>
            </w:r>
          </w:p>
        </w:tc>
        <w:tc>
          <w:tcPr>
            <w:tcW w:w="2564" w:type="pct"/>
            <w:tcBorders>
              <w:top w:val="nil"/>
              <w:left w:val="nil"/>
              <w:bottom w:val="single" w:sz="4" w:space="0" w:color="auto"/>
              <w:right w:val="single" w:sz="4" w:space="0" w:color="auto"/>
            </w:tcBorders>
            <w:shd w:val="clear" w:color="auto" w:fill="auto"/>
            <w:noWrap/>
            <w:vAlign w:val="bottom"/>
            <w:hideMark/>
          </w:tcPr>
          <w:p w14:paraId="681DE8D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JFE Steel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5E79ECD9"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30,15</w:t>
            </w:r>
          </w:p>
        </w:tc>
      </w:tr>
      <w:tr w:rsidR="0050661D" w:rsidRPr="0050661D" w14:paraId="7D8E6A56" w14:textId="77777777" w:rsidTr="0050661D">
        <w:trPr>
          <w:trHeight w:val="8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D6095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w:t>
            </w:r>
          </w:p>
        </w:tc>
        <w:tc>
          <w:tcPr>
            <w:tcW w:w="2564" w:type="pct"/>
            <w:tcBorders>
              <w:top w:val="nil"/>
              <w:left w:val="nil"/>
              <w:bottom w:val="single" w:sz="4" w:space="0" w:color="auto"/>
              <w:right w:val="single" w:sz="4" w:space="0" w:color="auto"/>
            </w:tcBorders>
            <w:shd w:val="clear" w:color="auto" w:fill="auto"/>
            <w:noWrap/>
            <w:vAlign w:val="bottom"/>
            <w:hideMark/>
          </w:tcPr>
          <w:p w14:paraId="7D43E61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Shougang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30DF32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27,63</w:t>
            </w:r>
          </w:p>
        </w:tc>
      </w:tr>
      <w:tr w:rsidR="0050661D" w:rsidRPr="0050661D" w14:paraId="1B3CA6C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B926FDC"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10</w:t>
            </w:r>
          </w:p>
        </w:tc>
        <w:tc>
          <w:tcPr>
            <w:tcW w:w="2564" w:type="pct"/>
            <w:tcBorders>
              <w:top w:val="nil"/>
              <w:left w:val="nil"/>
              <w:bottom w:val="single" w:sz="4" w:space="0" w:color="auto"/>
              <w:right w:val="single" w:sz="4" w:space="0" w:color="auto"/>
            </w:tcBorders>
            <w:shd w:val="clear" w:color="auto" w:fill="auto"/>
            <w:noWrap/>
            <w:vAlign w:val="bottom"/>
            <w:hideMark/>
          </w:tcPr>
          <w:p w14:paraId="1BDA2643"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Tata 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1AFA9BEE"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25,11</w:t>
            </w:r>
          </w:p>
        </w:tc>
      </w:tr>
      <w:tr w:rsidR="0050661D" w:rsidRPr="0050661D" w14:paraId="3CED1DD8"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0D78F7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w:t>
            </w:r>
          </w:p>
        </w:tc>
        <w:tc>
          <w:tcPr>
            <w:tcW w:w="2564" w:type="pct"/>
            <w:tcBorders>
              <w:top w:val="nil"/>
              <w:left w:val="nil"/>
              <w:bottom w:val="single" w:sz="4" w:space="0" w:color="auto"/>
              <w:right w:val="single" w:sz="4" w:space="0" w:color="auto"/>
            </w:tcBorders>
            <w:shd w:val="clear" w:color="auto" w:fill="auto"/>
            <w:noWrap/>
            <w:vAlign w:val="bottom"/>
            <w:hideMark/>
          </w:tcPr>
          <w:p w14:paraId="68A79A4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Nucor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00D66BAB"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24,39</w:t>
            </w:r>
          </w:p>
        </w:tc>
      </w:tr>
      <w:tr w:rsidR="0050661D" w:rsidRPr="0050661D" w14:paraId="01054C8B"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F9EAD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w:t>
            </w:r>
          </w:p>
        </w:tc>
        <w:tc>
          <w:tcPr>
            <w:tcW w:w="2564" w:type="pct"/>
            <w:tcBorders>
              <w:top w:val="nil"/>
              <w:left w:val="nil"/>
              <w:bottom w:val="single" w:sz="4" w:space="0" w:color="auto"/>
              <w:right w:val="single" w:sz="4" w:space="0" w:color="auto"/>
            </w:tcBorders>
            <w:shd w:val="clear" w:color="auto" w:fill="auto"/>
            <w:noWrap/>
            <w:vAlign w:val="bottom"/>
            <w:hideMark/>
          </w:tcPr>
          <w:p w14:paraId="3562B3C1"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Shandong Steel Group</w:t>
            </w:r>
          </w:p>
        </w:tc>
        <w:tc>
          <w:tcPr>
            <w:tcW w:w="1944" w:type="pct"/>
            <w:tcBorders>
              <w:top w:val="nil"/>
              <w:left w:val="nil"/>
              <w:bottom w:val="single" w:sz="4" w:space="0" w:color="auto"/>
              <w:right w:val="single" w:sz="4" w:space="0" w:color="auto"/>
            </w:tcBorders>
            <w:shd w:val="clear" w:color="auto" w:fill="auto"/>
            <w:noWrap/>
            <w:vAlign w:val="bottom"/>
            <w:hideMark/>
          </w:tcPr>
          <w:p w14:paraId="2696C4B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21,68</w:t>
            </w:r>
          </w:p>
        </w:tc>
      </w:tr>
      <w:tr w:rsidR="0050661D" w:rsidRPr="0050661D" w14:paraId="7D19EF66" w14:textId="77777777" w:rsidTr="0050661D">
        <w:trPr>
          <w:trHeight w:val="10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43561C7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w:t>
            </w:r>
          </w:p>
        </w:tc>
        <w:tc>
          <w:tcPr>
            <w:tcW w:w="2564" w:type="pct"/>
            <w:tcBorders>
              <w:top w:val="nil"/>
              <w:left w:val="nil"/>
              <w:bottom w:val="single" w:sz="4" w:space="0" w:color="auto"/>
              <w:right w:val="single" w:sz="4" w:space="0" w:color="auto"/>
            </w:tcBorders>
            <w:shd w:val="clear" w:color="auto" w:fill="auto"/>
            <w:noWrap/>
            <w:vAlign w:val="bottom"/>
            <w:hideMark/>
          </w:tcPr>
          <w:p w14:paraId="598F6610"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Novolipetsk Steel (NLMK) </w:t>
            </w:r>
          </w:p>
        </w:tc>
        <w:tc>
          <w:tcPr>
            <w:tcW w:w="1944" w:type="pct"/>
            <w:tcBorders>
              <w:top w:val="nil"/>
              <w:left w:val="nil"/>
              <w:bottom w:val="single" w:sz="4" w:space="0" w:color="auto"/>
              <w:right w:val="single" w:sz="4" w:space="0" w:color="auto"/>
            </w:tcBorders>
            <w:shd w:val="clear" w:color="auto" w:fill="auto"/>
            <w:noWrap/>
            <w:vAlign w:val="bottom"/>
            <w:hideMark/>
          </w:tcPr>
          <w:p w14:paraId="6D4B4EC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17,08</w:t>
            </w:r>
          </w:p>
        </w:tc>
      </w:tr>
      <w:tr w:rsidR="0050661D" w:rsidRPr="0050661D" w14:paraId="372C224D" w14:textId="77777777" w:rsidTr="0050661D">
        <w:trPr>
          <w:trHeight w:val="28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702046E"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28</w:t>
            </w:r>
          </w:p>
        </w:tc>
        <w:tc>
          <w:tcPr>
            <w:tcW w:w="2564" w:type="pct"/>
            <w:tcBorders>
              <w:top w:val="nil"/>
              <w:left w:val="nil"/>
              <w:bottom w:val="single" w:sz="4" w:space="0" w:color="auto"/>
              <w:right w:val="single" w:sz="4" w:space="0" w:color="auto"/>
            </w:tcBorders>
            <w:shd w:val="clear" w:color="auto" w:fill="auto"/>
            <w:hideMark/>
          </w:tcPr>
          <w:p w14:paraId="5370CAD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EVRAZ </w:t>
            </w:r>
          </w:p>
        </w:tc>
        <w:tc>
          <w:tcPr>
            <w:tcW w:w="1944" w:type="pct"/>
            <w:tcBorders>
              <w:top w:val="nil"/>
              <w:left w:val="nil"/>
              <w:bottom w:val="single" w:sz="4" w:space="0" w:color="auto"/>
              <w:right w:val="single" w:sz="4" w:space="0" w:color="auto"/>
            </w:tcBorders>
            <w:shd w:val="clear" w:color="auto" w:fill="auto"/>
            <w:noWrap/>
            <w:vAlign w:val="bottom"/>
            <w:hideMark/>
          </w:tcPr>
          <w:p w14:paraId="2922CD5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14,03</w:t>
            </w:r>
          </w:p>
        </w:tc>
      </w:tr>
      <w:tr w:rsidR="0050661D" w:rsidRPr="0050661D" w14:paraId="6470CF6D" w14:textId="77777777" w:rsidTr="0050661D">
        <w:trPr>
          <w:trHeight w:val="127"/>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32CB772"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w:t>
            </w:r>
          </w:p>
        </w:tc>
        <w:tc>
          <w:tcPr>
            <w:tcW w:w="2564" w:type="pct"/>
            <w:tcBorders>
              <w:top w:val="nil"/>
              <w:left w:val="nil"/>
              <w:bottom w:val="single" w:sz="4" w:space="0" w:color="auto"/>
              <w:right w:val="single" w:sz="4" w:space="0" w:color="auto"/>
            </w:tcBorders>
            <w:shd w:val="clear" w:color="auto" w:fill="auto"/>
            <w:noWrap/>
            <w:vAlign w:val="bottom"/>
            <w:hideMark/>
          </w:tcPr>
          <w:p w14:paraId="5586513A"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Magnitogorsk Iron &amp; Steel Works (MMK) </w:t>
            </w:r>
          </w:p>
        </w:tc>
        <w:tc>
          <w:tcPr>
            <w:tcW w:w="1944" w:type="pct"/>
            <w:tcBorders>
              <w:top w:val="nil"/>
              <w:left w:val="nil"/>
              <w:bottom w:val="single" w:sz="4" w:space="0" w:color="auto"/>
              <w:right w:val="single" w:sz="4" w:space="0" w:color="auto"/>
            </w:tcBorders>
            <w:shd w:val="clear" w:color="auto" w:fill="auto"/>
            <w:noWrap/>
            <w:vAlign w:val="bottom"/>
            <w:hideMark/>
          </w:tcPr>
          <w:p w14:paraId="1CE6FC7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12,86</w:t>
            </w:r>
          </w:p>
        </w:tc>
      </w:tr>
      <w:tr w:rsidR="0050661D" w:rsidRPr="0050661D" w14:paraId="26FA8502" w14:textId="77777777" w:rsidTr="0050661D">
        <w:trPr>
          <w:trHeight w:val="16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D273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34</w:t>
            </w:r>
          </w:p>
        </w:tc>
        <w:tc>
          <w:tcPr>
            <w:tcW w:w="2564" w:type="pct"/>
            <w:tcBorders>
              <w:top w:val="nil"/>
              <w:left w:val="nil"/>
              <w:bottom w:val="single" w:sz="4" w:space="0" w:color="auto"/>
              <w:right w:val="single" w:sz="4" w:space="0" w:color="auto"/>
            </w:tcBorders>
            <w:shd w:val="clear" w:color="auto" w:fill="auto"/>
            <w:noWrap/>
            <w:vAlign w:val="bottom"/>
            <w:hideMark/>
          </w:tcPr>
          <w:p w14:paraId="6298378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Severstal </w:t>
            </w:r>
          </w:p>
        </w:tc>
        <w:tc>
          <w:tcPr>
            <w:tcW w:w="1944" w:type="pct"/>
            <w:tcBorders>
              <w:top w:val="nil"/>
              <w:left w:val="nil"/>
              <w:bottom w:val="single" w:sz="4" w:space="0" w:color="auto"/>
              <w:right w:val="single" w:sz="4" w:space="0" w:color="auto"/>
            </w:tcBorders>
            <w:shd w:val="clear" w:color="auto" w:fill="auto"/>
            <w:noWrap/>
            <w:vAlign w:val="bottom"/>
            <w:hideMark/>
          </w:tcPr>
          <w:p w14:paraId="0496C46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11,65</w:t>
            </w:r>
          </w:p>
        </w:tc>
      </w:tr>
      <w:tr w:rsidR="0050661D" w:rsidRPr="0050661D" w14:paraId="703D5250"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3CD576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67</w:t>
            </w:r>
          </w:p>
        </w:tc>
        <w:tc>
          <w:tcPr>
            <w:tcW w:w="2564" w:type="pct"/>
            <w:tcBorders>
              <w:top w:val="nil"/>
              <w:left w:val="nil"/>
              <w:bottom w:val="single" w:sz="4" w:space="0" w:color="auto"/>
              <w:right w:val="single" w:sz="4" w:space="0" w:color="auto"/>
            </w:tcBorders>
            <w:shd w:val="clear" w:color="auto" w:fill="auto"/>
            <w:noWrap/>
            <w:vAlign w:val="bottom"/>
            <w:hideMark/>
          </w:tcPr>
          <w:p w14:paraId="279F9ED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Metalloinvest Management Company </w:t>
            </w:r>
          </w:p>
        </w:tc>
        <w:tc>
          <w:tcPr>
            <w:tcW w:w="1944" w:type="pct"/>
            <w:tcBorders>
              <w:top w:val="nil"/>
              <w:left w:val="nil"/>
              <w:bottom w:val="single" w:sz="4" w:space="0" w:color="auto"/>
              <w:right w:val="single" w:sz="4" w:space="0" w:color="auto"/>
            </w:tcBorders>
            <w:shd w:val="clear" w:color="auto" w:fill="auto"/>
            <w:noWrap/>
            <w:vAlign w:val="bottom"/>
            <w:hideMark/>
          </w:tcPr>
          <w:p w14:paraId="319D07B4"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4,76</w:t>
            </w:r>
          </w:p>
        </w:tc>
      </w:tr>
      <w:tr w:rsidR="0050661D" w:rsidRPr="0050661D" w14:paraId="309B7FF5" w14:textId="77777777" w:rsidTr="0050661D">
        <w:trPr>
          <w:trHeight w:val="115"/>
        </w:trPr>
        <w:tc>
          <w:tcPr>
            <w:tcW w:w="492" w:type="pct"/>
            <w:tcBorders>
              <w:top w:val="nil"/>
              <w:left w:val="single" w:sz="4" w:space="0" w:color="auto"/>
              <w:bottom w:val="single" w:sz="4" w:space="0" w:color="auto"/>
              <w:right w:val="single" w:sz="4" w:space="0" w:color="auto"/>
            </w:tcBorders>
            <w:shd w:val="clear" w:color="auto" w:fill="auto"/>
            <w:vAlign w:val="center"/>
            <w:hideMark/>
          </w:tcPr>
          <w:p w14:paraId="7B8BC3A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79</w:t>
            </w:r>
          </w:p>
        </w:tc>
        <w:tc>
          <w:tcPr>
            <w:tcW w:w="2564" w:type="pct"/>
            <w:tcBorders>
              <w:top w:val="nil"/>
              <w:left w:val="nil"/>
              <w:bottom w:val="single" w:sz="4" w:space="0" w:color="auto"/>
              <w:right w:val="single" w:sz="4" w:space="0" w:color="auto"/>
            </w:tcBorders>
            <w:shd w:val="clear" w:color="auto" w:fill="auto"/>
            <w:noWrap/>
            <w:vAlign w:val="bottom"/>
            <w:hideMark/>
          </w:tcPr>
          <w:p w14:paraId="3BDE53A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Mechel </w:t>
            </w:r>
          </w:p>
        </w:tc>
        <w:tc>
          <w:tcPr>
            <w:tcW w:w="1944" w:type="pct"/>
            <w:tcBorders>
              <w:top w:val="nil"/>
              <w:left w:val="nil"/>
              <w:bottom w:val="single" w:sz="4" w:space="0" w:color="auto"/>
              <w:right w:val="single" w:sz="4" w:space="0" w:color="auto"/>
            </w:tcBorders>
            <w:shd w:val="clear" w:color="auto" w:fill="auto"/>
            <w:noWrap/>
            <w:vAlign w:val="bottom"/>
            <w:hideMark/>
          </w:tcPr>
          <w:p w14:paraId="5B3C3A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4,27</w:t>
            </w:r>
          </w:p>
        </w:tc>
      </w:tr>
      <w:tr w:rsidR="0050661D" w:rsidRPr="0050661D" w14:paraId="557018B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888B19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91</w:t>
            </w:r>
          </w:p>
        </w:tc>
        <w:tc>
          <w:tcPr>
            <w:tcW w:w="2564" w:type="pct"/>
            <w:tcBorders>
              <w:top w:val="nil"/>
              <w:left w:val="nil"/>
              <w:bottom w:val="single" w:sz="4" w:space="0" w:color="auto"/>
              <w:right w:val="single" w:sz="4" w:space="0" w:color="auto"/>
            </w:tcBorders>
            <w:shd w:val="clear" w:color="auto" w:fill="auto"/>
            <w:noWrap/>
            <w:vAlign w:val="bottom"/>
            <w:hideMark/>
          </w:tcPr>
          <w:p w14:paraId="0F11FB0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TMK </w:t>
            </w:r>
          </w:p>
        </w:tc>
        <w:tc>
          <w:tcPr>
            <w:tcW w:w="1944" w:type="pct"/>
            <w:tcBorders>
              <w:top w:val="nil"/>
              <w:left w:val="nil"/>
              <w:bottom w:val="single" w:sz="4" w:space="0" w:color="auto"/>
              <w:right w:val="single" w:sz="4" w:space="0" w:color="auto"/>
            </w:tcBorders>
            <w:shd w:val="clear" w:color="auto" w:fill="auto"/>
            <w:noWrap/>
            <w:vAlign w:val="bottom"/>
            <w:hideMark/>
          </w:tcPr>
          <w:p w14:paraId="3FD7D0B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3,24</w:t>
            </w:r>
          </w:p>
        </w:tc>
      </w:tr>
    </w:tbl>
    <w:p w14:paraId="4871CCF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r w:rsidRPr="0050661D">
        <w:rPr>
          <w:rFonts w:ascii="Times New Roman" w:eastAsia="Times New Roman" w:hAnsi="Times New Roman" w:cs="Times New Roman"/>
          <w:i/>
          <w:color w:val="000000"/>
          <w:spacing w:val="-4"/>
          <w:sz w:val="28"/>
          <w:szCs w:val="28"/>
          <w:lang w:eastAsia="ru-RU"/>
        </w:rPr>
        <w:t xml:space="preserve">Рейтинг 100 крупнейших производителей стали в 2017 г. по данным </w:t>
      </w:r>
      <w:r w:rsidRPr="0050661D">
        <w:rPr>
          <w:rFonts w:ascii="Times New Roman" w:eastAsia="Times New Roman" w:hAnsi="Times New Roman" w:cs="Times New Roman"/>
          <w:i/>
          <w:color w:val="000000"/>
          <w:spacing w:val="-4"/>
          <w:sz w:val="28"/>
          <w:szCs w:val="28"/>
          <w:lang w:val="en-US" w:eastAsia="ru-RU"/>
        </w:rPr>
        <w:t>Worldsteel</w:t>
      </w:r>
      <w:r w:rsidRPr="0050661D">
        <w:rPr>
          <w:rFonts w:ascii="Times New Roman" w:eastAsia="Times New Roman" w:hAnsi="Times New Roman" w:cs="Times New Roman"/>
          <w:i/>
          <w:color w:val="000000"/>
          <w:spacing w:val="-4"/>
          <w:sz w:val="28"/>
          <w:szCs w:val="28"/>
          <w:lang w:eastAsia="ru-RU"/>
        </w:rPr>
        <w:t xml:space="preserve"> </w:t>
      </w:r>
      <w:r w:rsidRPr="0050661D">
        <w:rPr>
          <w:rFonts w:ascii="Times New Roman" w:eastAsia="Times New Roman" w:hAnsi="Times New Roman" w:cs="Times New Roman"/>
          <w:i/>
          <w:color w:val="000000"/>
          <w:spacing w:val="-4"/>
          <w:sz w:val="28"/>
          <w:szCs w:val="28"/>
          <w:lang w:val="en-US" w:eastAsia="ru-RU"/>
        </w:rPr>
        <w:t>Association</w:t>
      </w:r>
    </w:p>
    <w:p w14:paraId="50D13CC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p>
    <w:p w14:paraId="061593B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Как видно из представленной выше таблицы, совокупная доля отечественных </w:t>
      </w:r>
      <w:r w:rsidRPr="0050661D">
        <w:rPr>
          <w:rFonts w:ascii="Times New Roman" w:eastAsia="Times New Roman" w:hAnsi="Times New Roman" w:cs="Times New Roman"/>
          <w:color w:val="000000"/>
          <w:spacing w:val="-9"/>
          <w:sz w:val="28"/>
          <w:szCs w:val="28"/>
          <w:lang w:eastAsia="ru-RU"/>
        </w:rPr>
        <w:t>металлургических производств в общем (мировом) п</w:t>
      </w:r>
      <w:r>
        <w:rPr>
          <w:rFonts w:ascii="Times New Roman" w:eastAsia="Times New Roman" w:hAnsi="Times New Roman" w:cs="Times New Roman"/>
          <w:color w:val="000000"/>
          <w:spacing w:val="-9"/>
          <w:sz w:val="28"/>
          <w:szCs w:val="28"/>
          <w:lang w:eastAsia="ru-RU"/>
        </w:rPr>
        <w:t xml:space="preserve">роизводстве стали в количестве </w:t>
      </w:r>
      <w:r w:rsidRPr="0050661D">
        <w:rPr>
          <w:rFonts w:ascii="Times New Roman" w:eastAsia="Times New Roman" w:hAnsi="Times New Roman" w:cs="Times New Roman"/>
          <w:color w:val="000000"/>
          <w:spacing w:val="-9"/>
          <w:sz w:val="28"/>
          <w:szCs w:val="28"/>
          <w:lang w:eastAsia="ru-RU"/>
        </w:rPr>
        <w:t xml:space="preserve">1,8 млрд. </w:t>
      </w:r>
      <w:r w:rsidRPr="0050661D">
        <w:rPr>
          <w:rFonts w:ascii="Times New Roman" w:eastAsia="Times New Roman" w:hAnsi="Times New Roman" w:cs="Times New Roman"/>
          <w:color w:val="000000"/>
          <w:sz w:val="28"/>
          <w:szCs w:val="28"/>
          <w:lang w:eastAsia="ru-RU"/>
        </w:rPr>
        <w:t>тонн незначительна (на уровне 4%).</w:t>
      </w:r>
    </w:p>
    <w:p w14:paraId="04D0526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9"/>
          <w:sz w:val="28"/>
          <w:szCs w:val="28"/>
          <w:lang w:eastAsia="ru-RU"/>
        </w:rPr>
        <w:t xml:space="preserve">В условиях нестабильности российской экономики и замедления темпов роста потребления металла (в 2018 году динамика потребления металла замедлилась в 5 раз по отношению к предыдущему году – 0,9% в 2018 году и 5,1% в 2017 году) конкуренция среди предприятий черной металлургии </w:t>
      </w:r>
      <w:r w:rsidRPr="0050661D">
        <w:rPr>
          <w:rFonts w:ascii="Times New Roman" w:eastAsia="Times New Roman" w:hAnsi="Times New Roman" w:cs="Times New Roman"/>
          <w:color w:val="000000"/>
          <w:sz w:val="28"/>
          <w:szCs w:val="28"/>
          <w:lang w:eastAsia="ru-RU"/>
        </w:rPr>
        <w:t>внутри страны растет.</w:t>
      </w:r>
    </w:p>
    <w:p w14:paraId="46F7315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Приводим лишь некоторые примеры новых игроков на рынке металлопродукции:</w:t>
      </w:r>
    </w:p>
    <w:p w14:paraId="142C6EE3" w14:textId="77777777" w:rsidR="0050661D" w:rsidRPr="0050661D" w:rsidRDefault="0050661D" w:rsidP="00F6030C">
      <w:pPr>
        <w:widowControl w:val="0"/>
        <w:numPr>
          <w:ilvl w:val="0"/>
          <w:numId w:val="40"/>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1"/>
          <w:sz w:val="28"/>
          <w:szCs w:val="28"/>
          <w:lang w:eastAsia="ru-RU"/>
        </w:rPr>
        <w:t xml:space="preserve">в 2017 году в г. Лиски Воронежской области было запущено еще одно производство </w:t>
      </w:r>
      <w:r w:rsidRPr="0050661D">
        <w:rPr>
          <w:rFonts w:ascii="Times New Roman" w:eastAsia="Times New Roman" w:hAnsi="Times New Roman" w:cs="Times New Roman"/>
          <w:color w:val="000000"/>
          <w:sz w:val="28"/>
          <w:szCs w:val="28"/>
          <w:lang w:eastAsia="ru-RU"/>
        </w:rPr>
        <w:t>ТБД на площадке ЗАО «Лискимонтажконструкция»;</w:t>
      </w:r>
    </w:p>
    <w:p w14:paraId="07A6A840" w14:textId="77777777" w:rsidR="0050661D" w:rsidRPr="0050661D" w:rsidRDefault="0050661D" w:rsidP="00F6030C">
      <w:pPr>
        <w:widowControl w:val="0"/>
        <w:numPr>
          <w:ilvl w:val="0"/>
          <w:numId w:val="40"/>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2018 году осуществлен горячий пуск прокатных станов и в 2019 году состоится пуск литейного комплекса ООО «Тула-Сталь» (входит в Группу компаний ПМХ), продукцией которого является горячекатаный сортовой стальной прокат и горячекатаная стальная заготовка.</w:t>
      </w:r>
    </w:p>
    <w:p w14:paraId="1F91520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Значительное влияние на ужесточение условий конкуренции на российском рынке металлопродукции оказывают импортные поставщики, которые, зачастую, для доступа на российский рынок используют недобросовестные методы конкуренции, выраженные в поставках продукции по демпинговым ценам. Помимо «традиционных» методов недобросовестной конкуренции, импортные поставщики применяют новые методы, такие как занижение таможенной стоимости, обход от уплаты пошлин.</w:t>
      </w:r>
    </w:p>
    <w:p w14:paraId="25059C6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Также следует отметить, что усиление конкуренции на международных рынках, протекционизм и усиление конкуренции на российском рынке привели к росту количества убыточных предприятий в металлургии. Так, в последние 2 года о банкротствах сообщили следующие предприятия:</w:t>
      </w:r>
    </w:p>
    <w:p w14:paraId="634E19E5" w14:textId="77777777" w:rsidR="0050661D" w:rsidRPr="0050661D" w:rsidRDefault="0050661D" w:rsidP="00F6030C">
      <w:pPr>
        <w:widowControl w:val="0"/>
        <w:numPr>
          <w:ilvl w:val="0"/>
          <w:numId w:val="41"/>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июль 2017 г. – банкротство ООО «СтавСталь»;</w:t>
      </w:r>
    </w:p>
    <w:p w14:paraId="46445768" w14:textId="77777777" w:rsidR="0050661D" w:rsidRPr="0050661D" w:rsidRDefault="0050661D" w:rsidP="00F6030C">
      <w:pPr>
        <w:widowControl w:val="0"/>
        <w:numPr>
          <w:ilvl w:val="0"/>
          <w:numId w:val="41"/>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сентябрь 2018 г. – банкротство ОАО «Алапаевский металлургический завод»</w:t>
      </w:r>
    </w:p>
    <w:p w14:paraId="46DA1C3A" w14:textId="77777777" w:rsidR="0050661D" w:rsidRPr="0050661D" w:rsidRDefault="0050661D" w:rsidP="0050661D">
      <w:pPr>
        <w:widowControl w:val="0"/>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Касательно ценовой политики металлургических комбинатов важно отметить, что цены на</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основные виды металлопродукции зависят от тенденций на мировых рынках, которые фиксируются авторитетными аналитическими агентствами:</w:t>
      </w:r>
    </w:p>
    <w:p w14:paraId="3879C90B" w14:textId="77777777" w:rsidR="0050661D" w:rsidRPr="0050661D" w:rsidRDefault="0050661D" w:rsidP="00F6030C">
      <w:pPr>
        <w:widowControl w:val="0"/>
        <w:numPr>
          <w:ilvl w:val="0"/>
          <w:numId w:val="42"/>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Platt’s (S&amp;P Global)</w:t>
      </w:r>
    </w:p>
    <w:p w14:paraId="33227B05" w14:textId="77777777" w:rsidR="0050661D" w:rsidRPr="0050661D" w:rsidRDefault="0050661D" w:rsidP="00F6030C">
      <w:pPr>
        <w:widowControl w:val="0"/>
        <w:numPr>
          <w:ilvl w:val="0"/>
          <w:numId w:val="42"/>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val="en-US"/>
        </w:rPr>
        <w:t>MetalBulletin</w:t>
      </w:r>
    </w:p>
    <w:p w14:paraId="4CD6485B" w14:textId="77777777" w:rsidR="0050661D" w:rsidRPr="0050661D" w:rsidRDefault="0050661D" w:rsidP="00F6030C">
      <w:pPr>
        <w:widowControl w:val="0"/>
        <w:numPr>
          <w:ilvl w:val="0"/>
          <w:numId w:val="42"/>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Steel-Insight (GFMS)</w:t>
      </w:r>
    </w:p>
    <w:p w14:paraId="53A2A738" w14:textId="77777777" w:rsidR="0050661D" w:rsidRPr="0050661D" w:rsidRDefault="0050661D" w:rsidP="00F6030C">
      <w:pPr>
        <w:widowControl w:val="0"/>
        <w:numPr>
          <w:ilvl w:val="0"/>
          <w:numId w:val="42"/>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3"/>
          <w:sz w:val="28"/>
          <w:szCs w:val="28"/>
          <w:lang w:val="en-US"/>
        </w:rPr>
        <w:t>CRU</w:t>
      </w:r>
    </w:p>
    <w:p w14:paraId="21F5F938" w14:textId="77777777" w:rsidR="0050661D" w:rsidRPr="0050661D" w:rsidRDefault="0050661D" w:rsidP="00F6030C">
      <w:pPr>
        <w:widowControl w:val="0"/>
        <w:numPr>
          <w:ilvl w:val="0"/>
          <w:numId w:val="42"/>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AMM (American Metal Market)</w:t>
      </w:r>
    </w:p>
    <w:p w14:paraId="7466A611" w14:textId="77777777" w:rsidR="0050661D" w:rsidRPr="0050661D" w:rsidRDefault="0050661D" w:rsidP="00F6030C">
      <w:pPr>
        <w:widowControl w:val="0"/>
        <w:numPr>
          <w:ilvl w:val="0"/>
          <w:numId w:val="42"/>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Meps</w:t>
      </w:r>
    </w:p>
    <w:p w14:paraId="20FDDA61" w14:textId="77777777" w:rsidR="0050661D" w:rsidRPr="0050661D" w:rsidRDefault="000C4795" w:rsidP="00F6030C">
      <w:pPr>
        <w:widowControl w:val="0"/>
        <w:numPr>
          <w:ilvl w:val="0"/>
          <w:numId w:val="42"/>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hyperlink r:id="rId109" w:history="1">
        <w:r w:rsidR="0050661D" w:rsidRPr="0050661D">
          <w:rPr>
            <w:rFonts w:ascii="Times New Roman" w:eastAsia="Times New Roman" w:hAnsi="Times New Roman" w:cs="Times New Roman"/>
            <w:color w:val="000000"/>
            <w:sz w:val="28"/>
            <w:szCs w:val="28"/>
            <w:lang w:val="en-US"/>
          </w:rPr>
          <w:t>MySteel.net</w:t>
        </w:r>
      </w:hyperlink>
    </w:p>
    <w:p w14:paraId="45AF8CFC" w14:textId="77777777" w:rsidR="0050661D" w:rsidRPr="0050661D" w:rsidRDefault="0050661D" w:rsidP="00F6030C">
      <w:pPr>
        <w:widowControl w:val="0"/>
        <w:numPr>
          <w:ilvl w:val="0"/>
          <w:numId w:val="42"/>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SteelOrbis</w:t>
      </w:r>
    </w:p>
    <w:p w14:paraId="7AC07FE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При определении внутренних цен на металлопродукцию данными таких агентств активно </w:t>
      </w:r>
      <w:r w:rsidRPr="0050661D">
        <w:rPr>
          <w:rFonts w:ascii="Times New Roman" w:eastAsia="Times New Roman" w:hAnsi="Times New Roman" w:cs="Times New Roman"/>
          <w:color w:val="000000"/>
          <w:sz w:val="28"/>
          <w:szCs w:val="28"/>
          <w:lang w:eastAsia="ru-RU"/>
        </w:rPr>
        <w:t>пользуются и продавцы, и покупатели. При этом в периоды стагнации мировой экономики и падения цен на металлопродукцию на мировых рынках российские предприятия черной металлургии работают в убыток.</w:t>
      </w:r>
    </w:p>
    <w:p w14:paraId="45F7B1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Предприятия российской черной металлургии производят широкую номенклатуру продукции (в классификаторе ОКПД2 представлены порядка 300 укрупненных группировок металлопродукции).</w:t>
      </w:r>
    </w:p>
    <w:p w14:paraId="4A5CEF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Количество названий группировок металлопродукции, представленных в ОКПД2, можно считать нижней оценкой количества оптовых и розничных рынков.</w:t>
      </w:r>
    </w:p>
    <w:p w14:paraId="6A50140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Российскими металлургическими компаниями широко применяется практика формульного ценообразования различного механизма, учитывающее как колебание цен на внешних рынках и курса национальной валюты, так и использующее затратный метод определения цен.</w:t>
      </w:r>
    </w:p>
    <w:p w14:paraId="1D1DD88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Более того, ответственный и клиентоориентированный подход металлургов реализуется в принципе, транслируемом ФАС России: «при формировании цен на металлургическую продукцию необходимо исходить из конъюнктуры товарного рынка (спроса и предложения),</w:t>
      </w:r>
    </w:p>
    <w:p w14:paraId="1D0816B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уровень цен не должен приводить к сокращению числа хозяйствующих субъектов </w:t>
      </w:r>
      <w:r w:rsidRPr="0050661D">
        <w:rPr>
          <w:rFonts w:ascii="Times New Roman" w:eastAsia="Times New Roman" w:hAnsi="Times New Roman" w:cs="Times New Roman"/>
          <w:color w:val="000000"/>
          <w:sz w:val="28"/>
          <w:szCs w:val="28"/>
          <w:lang w:eastAsia="ru-RU"/>
        </w:rPr>
        <w:t>(потребителей), действующих на смежных товарных рынках».</w:t>
      </w:r>
    </w:p>
    <w:p w14:paraId="5A5C77B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Таким образом, российские предприятия черной металлургии исторически         работают в </w:t>
      </w:r>
      <w:r w:rsidRPr="0050661D">
        <w:rPr>
          <w:rFonts w:ascii="Times New Roman" w:eastAsia="Times New Roman" w:hAnsi="Times New Roman" w:cs="Times New Roman"/>
          <w:color w:val="000000"/>
          <w:spacing w:val="-9"/>
          <w:sz w:val="28"/>
          <w:szCs w:val="28"/>
          <w:lang w:eastAsia="ru-RU"/>
        </w:rPr>
        <w:t xml:space="preserve">условиях жесткой конкуренции, поддерживая конкурентоспособность продукции, а черная </w:t>
      </w:r>
      <w:r w:rsidRPr="0050661D">
        <w:rPr>
          <w:rFonts w:ascii="Times New Roman" w:eastAsia="Times New Roman" w:hAnsi="Times New Roman" w:cs="Times New Roman"/>
          <w:color w:val="000000"/>
          <w:spacing w:val="-10"/>
          <w:sz w:val="28"/>
          <w:szCs w:val="28"/>
          <w:lang w:eastAsia="ru-RU"/>
        </w:rPr>
        <w:t xml:space="preserve">металлургия относится к одной из немногих конкурентоспособных отраслей российской </w:t>
      </w:r>
      <w:r w:rsidRPr="0050661D">
        <w:rPr>
          <w:rFonts w:ascii="Times New Roman" w:eastAsia="Times New Roman" w:hAnsi="Times New Roman" w:cs="Times New Roman"/>
          <w:color w:val="000000"/>
          <w:sz w:val="28"/>
          <w:szCs w:val="28"/>
          <w:lang w:eastAsia="ru-RU"/>
        </w:rPr>
        <w:t>промышленности с очень развитой конкурентной средой.</w:t>
      </w:r>
    </w:p>
    <w:p w14:paraId="2869B6B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Что касается развития металлургического производства в Российской Федерации, то важно отметить </w:t>
      </w:r>
      <w:r w:rsidRPr="0050661D">
        <w:rPr>
          <w:rFonts w:ascii="Times New Roman" w:eastAsia="Times New Roman" w:hAnsi="Times New Roman" w:cs="Times New Roman"/>
          <w:color w:val="000000"/>
          <w:sz w:val="28"/>
          <w:szCs w:val="28"/>
          <w:lang w:eastAsia="ru-RU"/>
        </w:rPr>
        <w:t>следующее:</w:t>
      </w:r>
    </w:p>
    <w:p w14:paraId="7A947C40" w14:textId="77777777" w:rsidR="0050661D" w:rsidRPr="0050661D" w:rsidRDefault="0050661D" w:rsidP="00F6030C">
      <w:pPr>
        <w:widowControl w:val="0"/>
        <w:numPr>
          <w:ilvl w:val="0"/>
          <w:numId w:val="43"/>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8"/>
          <w:sz w:val="28"/>
          <w:szCs w:val="28"/>
          <w:lang w:eastAsia="ru-RU"/>
        </w:rPr>
        <w:t xml:space="preserve">нынешний уровень производительности труда, достигнутый российской черной </w:t>
      </w:r>
      <w:r w:rsidRPr="0050661D">
        <w:rPr>
          <w:rFonts w:ascii="Times New Roman" w:eastAsia="Times New Roman" w:hAnsi="Times New Roman" w:cs="Times New Roman"/>
          <w:color w:val="000000"/>
          <w:spacing w:val="-10"/>
          <w:sz w:val="28"/>
          <w:szCs w:val="28"/>
          <w:lang w:eastAsia="ru-RU"/>
        </w:rPr>
        <w:t xml:space="preserve">металлургией в рыночных условиях, близок к уровню производительности труда в черной </w:t>
      </w:r>
      <w:r w:rsidRPr="0050661D">
        <w:rPr>
          <w:rFonts w:ascii="Times New Roman" w:eastAsia="Times New Roman" w:hAnsi="Times New Roman" w:cs="Times New Roman"/>
          <w:color w:val="000000"/>
          <w:sz w:val="28"/>
          <w:szCs w:val="28"/>
          <w:lang w:eastAsia="ru-RU"/>
        </w:rPr>
        <w:t>металлургии США;</w:t>
      </w:r>
    </w:p>
    <w:p w14:paraId="2D6F8C4D" w14:textId="77777777" w:rsidR="0050661D" w:rsidRPr="0050661D" w:rsidRDefault="0050661D" w:rsidP="00F6030C">
      <w:pPr>
        <w:widowControl w:val="0"/>
        <w:numPr>
          <w:ilvl w:val="0"/>
          <w:numId w:val="43"/>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9"/>
          <w:sz w:val="28"/>
          <w:szCs w:val="28"/>
          <w:lang w:eastAsia="ru-RU"/>
        </w:rPr>
        <w:t xml:space="preserve">основные предприятия черной металлургии направляют значительные средства  на </w:t>
      </w:r>
      <w:r w:rsidRPr="0050661D">
        <w:rPr>
          <w:rFonts w:ascii="Times New Roman" w:eastAsia="Times New Roman" w:hAnsi="Times New Roman" w:cs="Times New Roman"/>
          <w:color w:val="000000"/>
          <w:sz w:val="28"/>
          <w:szCs w:val="28"/>
          <w:lang w:eastAsia="ru-RU"/>
        </w:rPr>
        <w:t>обновление оборудования и внедрение новых технологий;</w:t>
      </w:r>
    </w:p>
    <w:p w14:paraId="2B6632ED" w14:textId="77777777" w:rsidR="0050661D" w:rsidRPr="0050661D" w:rsidRDefault="0050661D" w:rsidP="00F6030C">
      <w:pPr>
        <w:widowControl w:val="0"/>
        <w:numPr>
          <w:ilvl w:val="0"/>
          <w:numId w:val="43"/>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на основных рынках продукции черной металлургии регулярно появляются новые </w:t>
      </w:r>
      <w:r w:rsidRPr="0050661D">
        <w:rPr>
          <w:rFonts w:ascii="Times New Roman" w:eastAsia="Times New Roman" w:hAnsi="Times New Roman" w:cs="Times New Roman"/>
          <w:color w:val="000000"/>
          <w:sz w:val="28"/>
          <w:szCs w:val="28"/>
          <w:lang w:eastAsia="ru-RU"/>
        </w:rPr>
        <w:t>производители;</w:t>
      </w:r>
    </w:p>
    <w:p w14:paraId="0ABC767B" w14:textId="77777777" w:rsidR="0050661D" w:rsidRPr="0050661D" w:rsidRDefault="0050661D" w:rsidP="0050661D">
      <w:pPr>
        <w:shd w:val="clear" w:color="auto" w:fill="FFFFFF"/>
        <w:tabs>
          <w:tab w:val="left" w:pos="90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основные предприятия черной металлургии напр</w:t>
      </w:r>
      <w:r w:rsidR="005729AC">
        <w:rPr>
          <w:rFonts w:ascii="Times New Roman" w:eastAsia="Times New Roman" w:hAnsi="Times New Roman" w:cs="Times New Roman"/>
          <w:color w:val="000000"/>
          <w:spacing w:val="-9"/>
          <w:sz w:val="28"/>
          <w:szCs w:val="28"/>
          <w:lang w:eastAsia="ru-RU"/>
        </w:rPr>
        <w:t xml:space="preserve">авляли значительные средства на </w:t>
      </w:r>
      <w:r w:rsidRPr="0050661D">
        <w:rPr>
          <w:rFonts w:ascii="Times New Roman" w:eastAsia="Times New Roman" w:hAnsi="Times New Roman" w:cs="Times New Roman"/>
          <w:color w:val="000000"/>
          <w:sz w:val="28"/>
          <w:szCs w:val="28"/>
          <w:lang w:eastAsia="ru-RU"/>
        </w:rPr>
        <w:t>осуществление экологических мероприятий.</w:t>
      </w:r>
    </w:p>
    <w:p w14:paraId="7B1A11FD"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Для черной металлургии, как и для многих отраслей промышленности, основным </w:t>
      </w:r>
      <w:r w:rsidRPr="0050661D">
        <w:rPr>
          <w:rFonts w:ascii="Times New Roman" w:eastAsia="Times New Roman" w:hAnsi="Times New Roman" w:cs="Times New Roman"/>
          <w:color w:val="000000"/>
          <w:spacing w:val="-6"/>
          <w:sz w:val="28"/>
          <w:szCs w:val="28"/>
          <w:lang w:eastAsia="ru-RU"/>
        </w:rPr>
        <w:t xml:space="preserve">барьером для появления новых производителей является необходимость осуществления </w:t>
      </w:r>
      <w:r w:rsidRPr="0050661D">
        <w:rPr>
          <w:rFonts w:ascii="Times New Roman" w:eastAsia="Times New Roman" w:hAnsi="Times New Roman" w:cs="Times New Roman"/>
          <w:color w:val="000000"/>
          <w:spacing w:val="-9"/>
          <w:sz w:val="28"/>
          <w:szCs w:val="28"/>
          <w:lang w:eastAsia="ru-RU"/>
        </w:rPr>
        <w:t xml:space="preserve">серьезных инвестиций в производство. Ситуация в черной металлургии усугубляется тем, что </w:t>
      </w:r>
      <w:r w:rsidRPr="0050661D">
        <w:rPr>
          <w:rFonts w:ascii="Times New Roman" w:eastAsia="Times New Roman" w:hAnsi="Times New Roman" w:cs="Times New Roman"/>
          <w:color w:val="000000"/>
          <w:spacing w:val="-7"/>
          <w:sz w:val="28"/>
          <w:szCs w:val="28"/>
          <w:lang w:eastAsia="ru-RU"/>
        </w:rPr>
        <w:t xml:space="preserve">серьезные инвестиции необходимо осуществлять на фоне высокого уровня конкуренции в </w:t>
      </w:r>
      <w:r w:rsidRPr="0050661D">
        <w:rPr>
          <w:rFonts w:ascii="Times New Roman" w:eastAsia="Times New Roman" w:hAnsi="Times New Roman" w:cs="Times New Roman"/>
          <w:color w:val="000000"/>
          <w:sz w:val="28"/>
          <w:szCs w:val="28"/>
          <w:lang w:eastAsia="ru-RU"/>
        </w:rPr>
        <w:t>отрасли.</w:t>
      </w:r>
    </w:p>
    <w:p w14:paraId="323117CA"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pacing w:val="-8"/>
          <w:sz w:val="28"/>
          <w:szCs w:val="28"/>
          <w:lang w:eastAsia="ru-RU"/>
        </w:rPr>
      </w:pPr>
      <w:r w:rsidRPr="0050661D">
        <w:rPr>
          <w:rFonts w:ascii="Times New Roman" w:eastAsia="Times New Roman" w:hAnsi="Times New Roman" w:cs="Times New Roman"/>
          <w:color w:val="000000"/>
          <w:spacing w:val="-2"/>
          <w:sz w:val="28"/>
          <w:szCs w:val="28"/>
          <w:lang w:eastAsia="ru-RU"/>
        </w:rPr>
        <w:t xml:space="preserve">В этой связи вопросы развития конкуренции не являются в настоящее время </w:t>
      </w:r>
      <w:r w:rsidRPr="0050661D">
        <w:rPr>
          <w:rFonts w:ascii="Times New Roman" w:eastAsia="Times New Roman" w:hAnsi="Times New Roman" w:cs="Times New Roman"/>
          <w:color w:val="000000"/>
          <w:spacing w:val="-1"/>
          <w:sz w:val="28"/>
          <w:szCs w:val="28"/>
          <w:lang w:eastAsia="ru-RU"/>
        </w:rPr>
        <w:t xml:space="preserve">первоочередными для черной металлургии. В непростой экономической ситуации, </w:t>
      </w:r>
      <w:r w:rsidRPr="0050661D">
        <w:rPr>
          <w:rFonts w:ascii="Times New Roman" w:eastAsia="Times New Roman" w:hAnsi="Times New Roman" w:cs="Times New Roman"/>
          <w:color w:val="000000"/>
          <w:spacing w:val="-6"/>
          <w:sz w:val="28"/>
          <w:szCs w:val="28"/>
          <w:lang w:eastAsia="ru-RU"/>
        </w:rPr>
        <w:t xml:space="preserve">обусловленной сокращением инвестиций </w:t>
      </w:r>
      <w:r w:rsidRPr="0050661D">
        <w:rPr>
          <w:rFonts w:ascii="Times New Roman" w:eastAsia="Times New Roman" w:hAnsi="Times New Roman" w:cs="Times New Roman"/>
          <w:bCs/>
          <w:color w:val="000000"/>
          <w:spacing w:val="-6"/>
          <w:sz w:val="28"/>
          <w:szCs w:val="28"/>
          <w:lang w:eastAsia="ru-RU"/>
        </w:rPr>
        <w:t>в</w:t>
      </w:r>
      <w:r w:rsidRPr="0050661D">
        <w:rPr>
          <w:rFonts w:ascii="Times New Roman" w:eastAsia="Times New Roman" w:hAnsi="Times New Roman" w:cs="Times New Roman"/>
          <w:b/>
          <w:bCs/>
          <w:color w:val="000000"/>
          <w:spacing w:val="-6"/>
          <w:sz w:val="28"/>
          <w:szCs w:val="28"/>
          <w:lang w:eastAsia="ru-RU"/>
        </w:rPr>
        <w:t xml:space="preserve"> </w:t>
      </w:r>
      <w:r w:rsidRPr="0050661D">
        <w:rPr>
          <w:rFonts w:ascii="Times New Roman" w:eastAsia="Times New Roman" w:hAnsi="Times New Roman" w:cs="Times New Roman"/>
          <w:color w:val="000000"/>
          <w:spacing w:val="-6"/>
          <w:sz w:val="28"/>
          <w:szCs w:val="28"/>
          <w:lang w:eastAsia="ru-RU"/>
        </w:rPr>
        <w:t xml:space="preserve">российскую экономику и падением доходов </w:t>
      </w:r>
      <w:r w:rsidRPr="0050661D">
        <w:rPr>
          <w:rFonts w:ascii="Times New Roman" w:eastAsia="Times New Roman" w:hAnsi="Times New Roman" w:cs="Times New Roman"/>
          <w:color w:val="000000"/>
          <w:spacing w:val="-9"/>
          <w:sz w:val="28"/>
          <w:szCs w:val="28"/>
          <w:lang w:eastAsia="ru-RU"/>
        </w:rPr>
        <w:t xml:space="preserve">населения, наблюдается вновь замедление темпов роста металлопотребления в России (металлопотребление в 2018 году ниже докризисного уровня 2013 года на 11%). В целях сохранения </w:t>
      </w:r>
      <w:r w:rsidRPr="0050661D">
        <w:rPr>
          <w:rFonts w:ascii="Times New Roman" w:eastAsia="Times New Roman" w:hAnsi="Times New Roman" w:cs="Times New Roman"/>
          <w:color w:val="000000"/>
          <w:spacing w:val="-4"/>
          <w:sz w:val="28"/>
          <w:szCs w:val="28"/>
          <w:lang w:eastAsia="ru-RU"/>
        </w:rPr>
        <w:t xml:space="preserve">объемов производства и, как следствие, уровня занятости и социальной стабильности, </w:t>
      </w:r>
      <w:r w:rsidRPr="0050661D">
        <w:rPr>
          <w:rFonts w:ascii="Times New Roman" w:eastAsia="Times New Roman" w:hAnsi="Times New Roman" w:cs="Times New Roman"/>
          <w:color w:val="000000"/>
          <w:spacing w:val="-8"/>
          <w:sz w:val="28"/>
          <w:szCs w:val="28"/>
          <w:lang w:eastAsia="ru-RU"/>
        </w:rPr>
        <w:t xml:space="preserve">российские металлурги вынуждены увеличивать объемы экспорта. </w:t>
      </w:r>
    </w:p>
    <w:p w14:paraId="206A640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8"/>
          <w:sz w:val="28"/>
          <w:szCs w:val="28"/>
          <w:lang w:eastAsia="ru-RU"/>
        </w:rPr>
        <w:t xml:space="preserve">Поэтому наиболее </w:t>
      </w:r>
      <w:r w:rsidRPr="0050661D">
        <w:rPr>
          <w:rFonts w:ascii="Times New Roman" w:eastAsia="Times New Roman" w:hAnsi="Times New Roman" w:cs="Times New Roman"/>
          <w:color w:val="000000"/>
          <w:sz w:val="28"/>
          <w:szCs w:val="28"/>
          <w:lang w:eastAsia="ru-RU"/>
        </w:rPr>
        <w:t>чувствительными для отрасли являются следующие проблемы:</w:t>
      </w:r>
    </w:p>
    <w:p w14:paraId="2C8CD4A9" w14:textId="77777777" w:rsidR="0050661D" w:rsidRPr="0050661D" w:rsidRDefault="0050661D" w:rsidP="00F6030C">
      <w:pPr>
        <w:widowControl w:val="0"/>
        <w:numPr>
          <w:ilvl w:val="0"/>
          <w:numId w:val="44"/>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снижение уровня внутреннего потребления металлопродукции;</w:t>
      </w:r>
    </w:p>
    <w:p w14:paraId="31C728FE" w14:textId="77777777" w:rsidR="0050661D" w:rsidRPr="0050661D" w:rsidRDefault="0050661D" w:rsidP="00F6030C">
      <w:pPr>
        <w:widowControl w:val="0"/>
        <w:numPr>
          <w:ilvl w:val="0"/>
          <w:numId w:val="44"/>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рост тарифов на услуги субъектов естественных монополий, включая дополнительную индексацию тарифов ОАО «РЖД» на 2018 год и сохранение   «экспортной надбавки»;</w:t>
      </w:r>
    </w:p>
    <w:p w14:paraId="407C6AB2" w14:textId="77777777" w:rsidR="0050661D" w:rsidRPr="0050661D" w:rsidRDefault="0050661D" w:rsidP="00F6030C">
      <w:pPr>
        <w:widowControl w:val="0"/>
        <w:numPr>
          <w:ilvl w:val="0"/>
          <w:numId w:val="44"/>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отсутствие мер, направленных на ограничение возможности создания на территории </w:t>
      </w:r>
      <w:r w:rsidRPr="0050661D">
        <w:rPr>
          <w:rFonts w:ascii="Times New Roman" w:eastAsia="Times New Roman" w:hAnsi="Times New Roman" w:cs="Times New Roman"/>
          <w:color w:val="000000"/>
          <w:spacing w:val="-5"/>
          <w:sz w:val="28"/>
          <w:szCs w:val="28"/>
          <w:lang w:eastAsia="ru-RU"/>
        </w:rPr>
        <w:t xml:space="preserve">Российской Федерации новых, заведомо избыточных производственных мощностей с </w:t>
      </w:r>
      <w:r w:rsidRPr="0050661D">
        <w:rPr>
          <w:rFonts w:ascii="Times New Roman" w:eastAsia="Times New Roman" w:hAnsi="Times New Roman" w:cs="Times New Roman"/>
          <w:color w:val="000000"/>
          <w:sz w:val="28"/>
          <w:szCs w:val="28"/>
          <w:lang w:eastAsia="ru-RU"/>
        </w:rPr>
        <w:t>привлечением мер государственной поддержки;</w:t>
      </w:r>
    </w:p>
    <w:p w14:paraId="00160104" w14:textId="77777777" w:rsidR="0050661D" w:rsidRPr="0050661D" w:rsidRDefault="0050661D" w:rsidP="0050661D">
      <w:pPr>
        <w:shd w:val="clear" w:color="auto" w:fill="FFFFFF"/>
        <w:tabs>
          <w:tab w:val="left" w:pos="8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8"/>
          <w:sz w:val="28"/>
          <w:szCs w:val="28"/>
          <w:lang w:eastAsia="ru-RU"/>
        </w:rPr>
        <w:t xml:space="preserve">применение импортными поставщиками недобросовестных методов конкуренции с </w:t>
      </w:r>
      <w:r w:rsidRPr="0050661D">
        <w:rPr>
          <w:rFonts w:ascii="Times New Roman" w:eastAsia="Times New Roman" w:hAnsi="Times New Roman" w:cs="Times New Roman"/>
          <w:color w:val="000000"/>
          <w:sz w:val="28"/>
          <w:szCs w:val="28"/>
          <w:lang w:eastAsia="ru-RU"/>
        </w:rPr>
        <w:t>целью доступа на российский рынок;</w:t>
      </w:r>
    </w:p>
    <w:p w14:paraId="67319B77" w14:textId="77777777"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color w:val="000000"/>
          <w:spacing w:val="-10"/>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законодательные инициативы, направленные на дополнительные обременения</w:t>
      </w:r>
      <w:r w:rsidRPr="0050661D">
        <w:rPr>
          <w:rFonts w:ascii="Times New Roman" w:eastAsia="Times New Roman" w:hAnsi="Times New Roman" w:cs="Times New Roman"/>
          <w:color w:val="000000"/>
          <w:spacing w:val="-9"/>
          <w:sz w:val="28"/>
          <w:szCs w:val="28"/>
          <w:lang w:eastAsia="ru-RU"/>
        </w:rPr>
        <w:br/>
      </w:r>
      <w:r w:rsidRPr="0050661D">
        <w:rPr>
          <w:rFonts w:ascii="Times New Roman" w:eastAsia="Times New Roman" w:hAnsi="Times New Roman" w:cs="Times New Roman"/>
          <w:color w:val="000000"/>
          <w:spacing w:val="-5"/>
          <w:sz w:val="28"/>
          <w:szCs w:val="28"/>
          <w:lang w:eastAsia="ru-RU"/>
        </w:rPr>
        <w:t xml:space="preserve">промышленных предприятий (введение обязанности для крупного бизнеса осуществлять </w:t>
      </w:r>
      <w:r w:rsidRPr="0050661D">
        <w:rPr>
          <w:rFonts w:ascii="Times New Roman" w:eastAsia="Times New Roman" w:hAnsi="Times New Roman" w:cs="Times New Roman"/>
          <w:color w:val="000000"/>
          <w:spacing w:val="-10"/>
          <w:sz w:val="28"/>
          <w:szCs w:val="28"/>
          <w:lang w:eastAsia="ru-RU"/>
        </w:rPr>
        <w:t xml:space="preserve">закупки у субъектов малого предпринимательства; </w:t>
      </w:r>
    </w:p>
    <w:p w14:paraId="75261A17" w14:textId="77777777"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 наделение органов исполнительной власти, </w:t>
      </w:r>
      <w:r w:rsidRPr="0050661D">
        <w:rPr>
          <w:rFonts w:ascii="Times New Roman" w:eastAsia="Times New Roman" w:hAnsi="Times New Roman" w:cs="Times New Roman"/>
          <w:color w:val="000000"/>
          <w:spacing w:val="-4"/>
          <w:sz w:val="28"/>
          <w:szCs w:val="28"/>
          <w:lang w:eastAsia="ru-RU"/>
        </w:rPr>
        <w:t xml:space="preserve">выдавшие разрешения, правом приостановления их действия или аннулирования в </w:t>
      </w:r>
      <w:r w:rsidRPr="0050661D">
        <w:rPr>
          <w:rFonts w:ascii="Times New Roman" w:eastAsia="Times New Roman" w:hAnsi="Times New Roman" w:cs="Times New Roman"/>
          <w:color w:val="000000"/>
          <w:sz w:val="28"/>
          <w:szCs w:val="28"/>
          <w:lang w:eastAsia="ru-RU"/>
        </w:rPr>
        <w:t>административном порядке и т.д.).</w:t>
      </w:r>
    </w:p>
    <w:p w14:paraId="51C3E77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В целях создания условий для развития конкуренции и благоприятных условий ведения </w:t>
      </w:r>
      <w:r w:rsidRPr="0050661D">
        <w:rPr>
          <w:rFonts w:ascii="Times New Roman" w:eastAsia="Times New Roman" w:hAnsi="Times New Roman" w:cs="Times New Roman"/>
          <w:color w:val="000000"/>
          <w:sz w:val="28"/>
          <w:szCs w:val="28"/>
          <w:lang w:eastAsia="ru-RU"/>
        </w:rPr>
        <w:t>предпринимательской деятельности в России необходимо:</w:t>
      </w:r>
    </w:p>
    <w:p w14:paraId="63942EBA" w14:textId="77777777" w:rsidR="0050661D" w:rsidRPr="0050661D" w:rsidRDefault="0050661D" w:rsidP="0050661D">
      <w:pPr>
        <w:shd w:val="clear" w:color="auto" w:fill="FFFFFF"/>
        <w:tabs>
          <w:tab w:val="left" w:pos="756"/>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 </w:t>
      </w:r>
      <w:r w:rsidRPr="0050661D">
        <w:rPr>
          <w:rFonts w:ascii="Times New Roman" w:eastAsia="Times New Roman" w:hAnsi="Times New Roman" w:cs="Times New Roman"/>
          <w:color w:val="000000"/>
          <w:spacing w:val="-9"/>
          <w:sz w:val="28"/>
          <w:szCs w:val="28"/>
          <w:lang w:eastAsia="ru-RU"/>
        </w:rPr>
        <w:t xml:space="preserve">Обеспечить долгосрочное и предсказуемое регулирование тарифов, усилив контроль за </w:t>
      </w:r>
      <w:r w:rsidRPr="0050661D">
        <w:rPr>
          <w:rFonts w:ascii="Times New Roman" w:eastAsia="Times New Roman" w:hAnsi="Times New Roman" w:cs="Times New Roman"/>
          <w:color w:val="000000"/>
          <w:sz w:val="28"/>
          <w:szCs w:val="28"/>
          <w:lang w:eastAsia="ru-RU"/>
        </w:rPr>
        <w:t>расходами субъектов естественных монополий.</w:t>
      </w:r>
    </w:p>
    <w:p w14:paraId="46D175A1"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 xml:space="preserve">Обеспечить регулирование механизма выделения мер государственной поддержки </w:t>
      </w:r>
      <w:r w:rsidRPr="0050661D">
        <w:rPr>
          <w:rFonts w:ascii="Times New Roman" w:eastAsia="Times New Roman" w:hAnsi="Times New Roman" w:cs="Times New Roman"/>
          <w:color w:val="000000"/>
          <w:spacing w:val="-5"/>
          <w:sz w:val="28"/>
          <w:szCs w:val="28"/>
          <w:lang w:eastAsia="ru-RU"/>
        </w:rPr>
        <w:t xml:space="preserve">проектам, создающим новые мощности с целью минимизации рисков субсидирования </w:t>
      </w:r>
      <w:r w:rsidRPr="0050661D">
        <w:rPr>
          <w:rFonts w:ascii="Times New Roman" w:eastAsia="Times New Roman" w:hAnsi="Times New Roman" w:cs="Times New Roman"/>
          <w:color w:val="000000"/>
          <w:sz w:val="28"/>
          <w:szCs w:val="28"/>
          <w:lang w:eastAsia="ru-RU"/>
        </w:rPr>
        <w:t>избыточных мощностей.</w:t>
      </w:r>
    </w:p>
    <w:p w14:paraId="6C9A761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 Продолжить расширение практики применения института предупреждений, </w:t>
      </w:r>
      <w:r w:rsidRPr="0050661D">
        <w:rPr>
          <w:rFonts w:ascii="Times New Roman" w:eastAsia="Times New Roman" w:hAnsi="Times New Roman" w:cs="Times New Roman"/>
          <w:color w:val="000000"/>
          <w:spacing w:val="-9"/>
          <w:sz w:val="28"/>
          <w:szCs w:val="28"/>
          <w:lang w:eastAsia="ru-RU"/>
        </w:rPr>
        <w:t>распространив его на все составы правонарушений,</w:t>
      </w:r>
      <w:r w:rsidR="005729AC">
        <w:rPr>
          <w:rFonts w:ascii="Times New Roman" w:eastAsia="Times New Roman" w:hAnsi="Times New Roman" w:cs="Times New Roman"/>
          <w:color w:val="000000"/>
          <w:spacing w:val="-9"/>
          <w:sz w:val="28"/>
          <w:szCs w:val="28"/>
          <w:lang w:eastAsia="ru-RU"/>
        </w:rPr>
        <w:t xml:space="preserve"> предусмотренных ч.1 ст. 10 ФЗ </w:t>
      </w:r>
      <w:r w:rsidRPr="0050661D">
        <w:rPr>
          <w:rFonts w:ascii="Times New Roman" w:eastAsia="Times New Roman" w:hAnsi="Times New Roman" w:cs="Times New Roman"/>
          <w:color w:val="000000"/>
          <w:spacing w:val="-9"/>
          <w:sz w:val="28"/>
          <w:szCs w:val="28"/>
          <w:lang w:eastAsia="ru-RU"/>
        </w:rPr>
        <w:t xml:space="preserve">«О защите </w:t>
      </w:r>
      <w:r w:rsidRPr="0050661D">
        <w:rPr>
          <w:rFonts w:ascii="Times New Roman" w:eastAsia="Times New Roman" w:hAnsi="Times New Roman" w:cs="Times New Roman"/>
          <w:color w:val="000000"/>
          <w:spacing w:val="-10"/>
          <w:sz w:val="28"/>
          <w:szCs w:val="28"/>
          <w:lang w:eastAsia="ru-RU"/>
        </w:rPr>
        <w:t xml:space="preserve">конкуренции». Необходимость расширения данной практики обусловлено тем, что не всегда </w:t>
      </w:r>
      <w:r w:rsidRPr="0050661D">
        <w:rPr>
          <w:rFonts w:ascii="Times New Roman" w:eastAsia="Times New Roman" w:hAnsi="Times New Roman" w:cs="Times New Roman"/>
          <w:color w:val="000000"/>
          <w:spacing w:val="-7"/>
          <w:sz w:val="28"/>
          <w:szCs w:val="28"/>
          <w:lang w:eastAsia="ru-RU"/>
        </w:rPr>
        <w:t xml:space="preserve">хозяйствующие субъекты имеют возможность объективно оценить свою долю на рынке </w:t>
      </w:r>
      <w:r w:rsidRPr="0050661D">
        <w:rPr>
          <w:rFonts w:ascii="Times New Roman" w:eastAsia="Times New Roman" w:hAnsi="Times New Roman" w:cs="Times New Roman"/>
          <w:color w:val="000000"/>
          <w:spacing w:val="-10"/>
          <w:sz w:val="28"/>
          <w:szCs w:val="28"/>
          <w:lang w:eastAsia="ru-RU"/>
        </w:rPr>
        <w:t xml:space="preserve">конкретного товара и предпринять меры по недопущению злоупотреблением доминирующим </w:t>
      </w:r>
      <w:r w:rsidRPr="0050661D">
        <w:rPr>
          <w:rFonts w:ascii="Times New Roman" w:eastAsia="Times New Roman" w:hAnsi="Times New Roman" w:cs="Times New Roman"/>
          <w:color w:val="000000"/>
          <w:sz w:val="28"/>
          <w:szCs w:val="28"/>
          <w:lang w:eastAsia="ru-RU"/>
        </w:rPr>
        <w:t>положением.</w:t>
      </w:r>
    </w:p>
    <w:p w14:paraId="7CB0E03D"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Отказ от перекрестного субсидирования в электроэнергетике с утверждением плана-</w:t>
      </w:r>
      <w:r w:rsidRPr="0050661D">
        <w:rPr>
          <w:rFonts w:ascii="Times New Roman" w:eastAsia="Times New Roman" w:hAnsi="Times New Roman" w:cs="Times New Roman"/>
          <w:color w:val="000000"/>
          <w:sz w:val="28"/>
          <w:szCs w:val="28"/>
          <w:lang w:eastAsia="ru-RU"/>
        </w:rPr>
        <w:t>графика необходимых мероприятий.</w:t>
      </w:r>
    </w:p>
    <w:p w14:paraId="2897717B"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p>
    <w:p w14:paraId="54E9561F"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индустрии детских товаров</w:t>
      </w:r>
    </w:p>
    <w:p w14:paraId="1699C65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Стратегия развития индустрии детских товаров на период до 2020 года, утвержденная распоряжением Правительства Российской Федерации </w:t>
      </w:r>
      <w:r w:rsidRPr="0050661D">
        <w:rPr>
          <w:rFonts w:ascii="Times New Roman" w:eastAsia="Times New Roman" w:hAnsi="Times New Roman" w:cs="Times New Roman"/>
          <w:sz w:val="28"/>
          <w:szCs w:val="28"/>
          <w:lang w:eastAsia="ru-RU"/>
        </w:rPr>
        <w:br/>
        <w:t>от 11.06.2013 № 962-р, и плана мероприятий на 2016-2020 г. по реализации Стратегии, утвержденным распоряжением Пра</w:t>
      </w:r>
      <w:r w:rsidR="005729AC">
        <w:rPr>
          <w:rFonts w:ascii="Times New Roman" w:eastAsia="Times New Roman" w:hAnsi="Times New Roman" w:cs="Times New Roman"/>
          <w:sz w:val="28"/>
          <w:szCs w:val="28"/>
          <w:lang w:eastAsia="ru-RU"/>
        </w:rPr>
        <w:t>вительства Российской Федерации</w:t>
      </w:r>
      <w:r w:rsidRPr="0050661D">
        <w:rPr>
          <w:rFonts w:ascii="Times New Roman" w:eastAsia="Times New Roman" w:hAnsi="Times New Roman" w:cs="Times New Roman"/>
          <w:sz w:val="28"/>
          <w:szCs w:val="28"/>
          <w:lang w:eastAsia="ru-RU"/>
        </w:rPr>
        <w:t xml:space="preserve"> от 06.05.2016 №</w:t>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856-р направлены на создание в России конкурентоспособной, устойчивой и структурно сбалансированной индустрии детских товаров.</w:t>
      </w:r>
    </w:p>
    <w:p w14:paraId="2459F036"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Ключевым показателем развития индустрии детских товаров в соответствии со Стратегией развития индустрии детских товаров до 2020 года является доля российских товаров для детей на российском</w:t>
      </w:r>
      <w:r w:rsidR="005729AC">
        <w:rPr>
          <w:rFonts w:ascii="Times New Roman" w:eastAsia="Times New Roman" w:hAnsi="Times New Roman" w:cs="Times New Roman"/>
          <w:sz w:val="28"/>
          <w:szCs w:val="28"/>
          <w:lang w:eastAsia="ru-RU"/>
        </w:rPr>
        <w:t xml:space="preserve"> рынке. В рамках исследования в </w:t>
      </w:r>
      <w:r w:rsidRPr="0050661D">
        <w:rPr>
          <w:rFonts w:ascii="Times New Roman" w:eastAsia="Times New Roman" w:hAnsi="Times New Roman" w:cs="Times New Roman"/>
          <w:sz w:val="28"/>
          <w:szCs w:val="28"/>
          <w:lang w:eastAsia="ru-RU"/>
        </w:rPr>
        <w:t>2018 году, доля российских товаров для детей составляет 27,5 %, что превышает прогноз инерционного сценария развития индустрии детских товаров, зафиксированный в Стратегии.</w:t>
      </w:r>
    </w:p>
    <w:p w14:paraId="296118D7"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России в выпуске товаров для детей участвуют более 15 отраслей, среди которых легкая и деревообрабатывающая промышленности (одежда, обувь, мягкие игрушки, мебель, деревянные игрушки; тетради, альбомы и др.); химическая промышленность (изделия из пластмассы – игрушки, посуда, мебель; товары для детского творчества); пищевая и фармацевтическая отрасли, издательская деятельность (книги, учебники, методические материалы).</w:t>
      </w:r>
    </w:p>
    <w:p w14:paraId="0D02C60D" w14:textId="77777777" w:rsidR="0050661D" w:rsidRPr="0050661D" w:rsidRDefault="0050661D" w:rsidP="0050661D">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товаров для детей в 2018 г. составил около 223,9 млрд. рублей.</w:t>
      </w:r>
    </w:p>
    <w:p w14:paraId="3E74A150"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Согласно экспертным исследованиям наибольший прирост в объемах внутреннего производства за 2018 год зафиксирован в изготовлении одежды и обуви, а также товаров для детского творчества - на 8,2 % и 8,7 % соответственно. Аналогичные тенденции наблюдаются в производстве игр, игрушек и робототехники.</w:t>
      </w:r>
    </w:p>
    <w:p w14:paraId="1B5D439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Объём отечественного производства детских удерживающих устройств</w:t>
      </w:r>
      <w:r w:rsidRPr="0050661D">
        <w:rPr>
          <w:rFonts w:ascii="Times New Roman" w:eastAsia="Times New Roman" w:hAnsi="Times New Roman" w:cs="Times New Roman"/>
          <w:sz w:val="28"/>
          <w:szCs w:val="28"/>
          <w:lang w:eastAsia="ru-RU"/>
        </w:rPr>
        <w:br/>
        <w:t>в 2018 году вырос на 8 % по отношению к 2017 году.</w:t>
      </w:r>
    </w:p>
    <w:p w14:paraId="63F5F2C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экспорта в 2018 году сегментами рынка детских товаров являются «санитарно-гигиенические и косметические средства» и «игры, игрушки и робототехника» </w:t>
      </w:r>
      <w:r w:rsidRPr="0050661D">
        <w:rPr>
          <w:rFonts w:ascii="Times New Roman" w:eastAsia="Times New Roman" w:hAnsi="Times New Roman" w:cs="Times New Roman"/>
          <w:sz w:val="28"/>
          <w:szCs w:val="28"/>
          <w:lang w:eastAsia="ru-RU"/>
        </w:rPr>
        <w:sym w:font="Symbol" w:char="002D"/>
      </w:r>
      <w:r w:rsidRPr="0050661D">
        <w:rPr>
          <w:rFonts w:ascii="Times New Roman" w:eastAsia="Times New Roman" w:hAnsi="Times New Roman" w:cs="Times New Roman"/>
          <w:sz w:val="28"/>
          <w:szCs w:val="28"/>
          <w:lang w:eastAsia="ru-RU"/>
        </w:rPr>
        <w:t xml:space="preserve"> 166,52 млрд руб. (+0,7 % к 2017 году) и 119,77 млрд руб. (+0,9 % к 2017 году) соответственно.</w:t>
      </w:r>
    </w:p>
    <w:p w14:paraId="6D6FCC14"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Ряд сегментов рынка детских товаров показали значительный экспортный рост в 2018 году по отношению к предшествующем</w:t>
      </w:r>
      <w:r w:rsidR="005729AC">
        <w:rPr>
          <w:rFonts w:ascii="Times New Roman" w:eastAsia="Times New Roman" w:hAnsi="Times New Roman" w:cs="Times New Roman"/>
          <w:sz w:val="28"/>
          <w:szCs w:val="28"/>
          <w:lang w:eastAsia="ru-RU"/>
        </w:rPr>
        <w:t xml:space="preserve">у году: «учебное оборудование» </w:t>
      </w:r>
      <w:r w:rsidRPr="0050661D">
        <w:rPr>
          <w:rFonts w:ascii="Times New Roman" w:eastAsia="Times New Roman" w:hAnsi="Times New Roman" w:cs="Times New Roman"/>
          <w:sz w:val="28"/>
          <w:szCs w:val="28"/>
          <w:lang w:eastAsia="ru-RU"/>
        </w:rPr>
        <w:t>на 56,7 %, «детские удерживающие устройства» на 300 %, «товары для детей с ОВЗ» на 404 %.</w:t>
      </w:r>
    </w:p>
    <w:p w14:paraId="74F50AE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импорта в 2018 году сегментами рынка детских товаров являются «одежда и обувь» и «игры, игрушки и робототехника» </w:t>
      </w:r>
      <w:r w:rsidRPr="0050661D">
        <w:rPr>
          <w:rFonts w:ascii="Times New Roman" w:eastAsia="Times New Roman" w:hAnsi="Times New Roman" w:cs="Times New Roman"/>
          <w:sz w:val="28"/>
          <w:szCs w:val="28"/>
          <w:lang w:eastAsia="ru-RU"/>
        </w:rPr>
        <w:sym w:font="Symbol" w:char="002D"/>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300,01 млрд руб. (+3,6 % к 2017 году) и 145,07 млрд руб. (+3,2 % к 2017 году) соответственно.</w:t>
      </w:r>
    </w:p>
    <w:p w14:paraId="77B058FE"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В рамках реализации государственной программы Российской Федерации «Развитие промышленности и повышение ее конкурентоспособности» реализуются следующие механизмы государственной поддержки индустрии детских товаров:</w:t>
      </w:r>
    </w:p>
    <w:p w14:paraId="43530C13"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1.</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08.11.2014 № 1179 «Об утверждении Правил предоставления субсидий из федерального бюджета российским управляющим организациям индустриальных парков индустрии детских товаров на возмещение части затрат на создание и (или) развитие имущественного комплекса, в том числе инфраструктуры индустриальных парков индустрии детских товаров, предоставляются субсидии на компенсацию выпадающих доходов управляющим организациям при предоставлении скидки резидентам индустрии детских товаров по уплате арендной платы за земельные участки, здания, сооружения, расположенные в индустриальном парке (в ред. постановления Правительства Российской Федерации от 31.08.2017 № 1052 </w:t>
      </w:r>
      <w:r w:rsidRPr="0050661D">
        <w:rPr>
          <w:rFonts w:ascii="Times New Roman" w:eastAsia="Times New Roman" w:hAnsi="Times New Roman" w:cs="Times New Roman"/>
          <w:bCs/>
          <w:color w:val="000000"/>
          <w:sz w:val="28"/>
          <w:szCs w:val="28"/>
          <w:lang w:eastAsia="ru-RU"/>
        </w:rPr>
        <w:br/>
        <w:t>«О внесении изменений в постановление Прав</w:t>
      </w:r>
      <w:r w:rsidR="005729AC">
        <w:rPr>
          <w:rFonts w:ascii="Times New Roman" w:eastAsia="Times New Roman" w:hAnsi="Times New Roman" w:cs="Times New Roman"/>
          <w:bCs/>
          <w:color w:val="000000"/>
          <w:sz w:val="28"/>
          <w:szCs w:val="28"/>
          <w:lang w:eastAsia="ru-RU"/>
        </w:rPr>
        <w:t xml:space="preserve">ительства Российской Федерации </w:t>
      </w:r>
      <w:r w:rsidRPr="0050661D">
        <w:rPr>
          <w:rFonts w:ascii="Times New Roman" w:eastAsia="Times New Roman" w:hAnsi="Times New Roman" w:cs="Times New Roman"/>
          <w:bCs/>
          <w:color w:val="000000"/>
          <w:sz w:val="28"/>
          <w:szCs w:val="28"/>
          <w:lang w:eastAsia="ru-RU"/>
        </w:rPr>
        <w:t>от 08.11.2014 № 1179»).</w:t>
      </w:r>
    </w:p>
    <w:p w14:paraId="6402FBDC"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2.</w:t>
      </w:r>
      <w:r w:rsidRPr="0050661D">
        <w:rPr>
          <w:rFonts w:ascii="Times New Roman" w:eastAsia="Times New Roman" w:hAnsi="Times New Roman" w:cs="Times New Roman"/>
          <w:bCs/>
          <w:color w:val="000000"/>
          <w:sz w:val="28"/>
          <w:szCs w:val="28"/>
          <w:lang w:eastAsia="ru-RU"/>
        </w:rPr>
        <w:tab/>
        <w:t>В соответствии с постановлением Правительства Российской Федерации от 04.11.2014 №1162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инвестиционных проектов индустрии детских товаров, предоставляются субсидии в целях стимулирования инновационной деятельности организаций индустрии детских товаров (в ред. постановления Правительства Российской Федерации от 23.09.2017 № 1150 «О внесении изменений в постановление Правительства Российской Федерации от 04.11.2014 № 1162»).</w:t>
      </w:r>
    </w:p>
    <w:p w14:paraId="61850149"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3.</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15.11.2014 № 1212 «Об утверждении Правил предоставления субсидий </w:t>
      </w:r>
    </w:p>
    <w:p w14:paraId="468F299B"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из федерального бюджета российским организациям на возмещение части затрат на уплату процентов по кредитам, полученным в российских кредитных организациях в 2013 - 2016 годах, на реализацию приоритетных инвестиционных проектов индустрии детских товаров, а также на компенсацию части затрат на уплату лизинговых платежей по договору финансовой аренды (лизинга) в рамках реализации приоритетных инвестиционных проектов индустрии детских товаров, предоставляются субсидии в целях стимулирования инвестиционной активности российских организаций для создания, расширения, модернизации производств товаров для детей (в ред. постановления Правительства Российской Федерации</w:t>
      </w:r>
      <w:r w:rsidRPr="0050661D">
        <w:rPr>
          <w:rFonts w:ascii="Times New Roman" w:eastAsia="Times New Roman" w:hAnsi="Times New Roman" w:cs="Times New Roman"/>
          <w:bCs/>
          <w:color w:val="000000"/>
          <w:sz w:val="28"/>
          <w:szCs w:val="28"/>
          <w:lang w:eastAsia="ru-RU"/>
        </w:rPr>
        <w:br/>
        <w:t>от 13.10.2017 № 1248 «О внесении изменений в постановление Правительства Российской Федерации от 15.11.2014 № 1212 и признании утратившими отдельных актов Правительства Российской Федерации»).</w:t>
      </w:r>
    </w:p>
    <w:p w14:paraId="7D3C0236" w14:textId="77777777" w:rsidR="0050661D" w:rsidRPr="0050661D" w:rsidRDefault="0050661D" w:rsidP="0050661D">
      <w:pPr>
        <w:spacing w:after="0" w:line="240" w:lineRule="auto"/>
        <w:ind w:firstLine="709"/>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реабилитационной индустрии</w:t>
      </w:r>
    </w:p>
    <w:p w14:paraId="022DC8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настоящее время основные направления государственной политики по развитию конкуренции в сфере реабилитационной индустрии предусмотрены распоряжением Правительства Российской Федерации от 22.11.2017 </w:t>
      </w:r>
      <w:r w:rsidRPr="0050661D">
        <w:rPr>
          <w:rFonts w:ascii="Times New Roman" w:eastAsia="Times New Roman" w:hAnsi="Times New Roman" w:cs="Times New Roman"/>
          <w:sz w:val="28"/>
          <w:szCs w:val="28"/>
          <w:lang w:eastAsia="ru-RU"/>
        </w:rPr>
        <w:br/>
        <w:t>№ 2599-р об утверждении Стратегии развития производства промышленной продукции реабилитационной направленности до 2025 года и комплекса мер по формированию современной отрасли промышленной продукции реабилитационной направленности в 2017 - 2019 годах (далее – Стратегия, Комплекс мер).</w:t>
      </w:r>
    </w:p>
    <w:p w14:paraId="317E468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kern w:val="24"/>
          <w:sz w:val="28"/>
          <w:szCs w:val="28"/>
          <w:lang w:eastAsia="ru-RU"/>
        </w:rPr>
      </w:pPr>
      <w:r w:rsidRPr="0050661D">
        <w:rPr>
          <w:rFonts w:ascii="Times New Roman" w:eastAsia="Times New Roman" w:hAnsi="Times New Roman" w:cs="Times New Roman"/>
          <w:color w:val="000000"/>
          <w:kern w:val="24"/>
          <w:sz w:val="28"/>
          <w:szCs w:val="28"/>
          <w:lang w:eastAsia="ru-RU"/>
        </w:rPr>
        <w:t>Целью Стратегии является формирование в Российской Федерации современной, конкурентоспособной, структу</w:t>
      </w:r>
      <w:r w:rsidR="005729AC">
        <w:rPr>
          <w:rFonts w:ascii="Times New Roman" w:eastAsia="Times New Roman" w:hAnsi="Times New Roman" w:cs="Times New Roman"/>
          <w:color w:val="000000"/>
          <w:kern w:val="24"/>
          <w:sz w:val="28"/>
          <w:szCs w:val="28"/>
          <w:lang w:eastAsia="ru-RU"/>
        </w:rPr>
        <w:t xml:space="preserve">рно-сбалансированную индустрии </w:t>
      </w:r>
      <w:r w:rsidRPr="0050661D">
        <w:rPr>
          <w:rFonts w:ascii="Times New Roman" w:eastAsia="Times New Roman" w:hAnsi="Times New Roman" w:cs="Times New Roman"/>
          <w:color w:val="000000"/>
          <w:kern w:val="24"/>
          <w:sz w:val="28"/>
          <w:szCs w:val="28"/>
          <w:lang w:eastAsia="ru-RU"/>
        </w:rPr>
        <w:t>по производству и реализации товаров для лиц с ограниченными возможностями здоровья, удовлетворяющей потребностям Рос</w:t>
      </w:r>
      <w:r w:rsidR="005729AC">
        <w:rPr>
          <w:rFonts w:ascii="Times New Roman" w:eastAsia="Times New Roman" w:hAnsi="Times New Roman" w:cs="Times New Roman"/>
          <w:color w:val="000000"/>
          <w:kern w:val="24"/>
          <w:sz w:val="28"/>
          <w:szCs w:val="28"/>
          <w:lang w:eastAsia="ru-RU"/>
        </w:rPr>
        <w:t xml:space="preserve">сийской Федерации, и способной </w:t>
      </w:r>
      <w:r w:rsidRPr="0050661D">
        <w:rPr>
          <w:rFonts w:ascii="Times New Roman" w:eastAsia="Times New Roman" w:hAnsi="Times New Roman" w:cs="Times New Roman"/>
          <w:color w:val="000000"/>
          <w:kern w:val="24"/>
          <w:sz w:val="28"/>
          <w:szCs w:val="28"/>
          <w:lang w:eastAsia="ru-RU"/>
        </w:rPr>
        <w:t>к дальнейшему развитию с выходом на международные рынки.</w:t>
      </w:r>
    </w:p>
    <w:p w14:paraId="546591C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 основным задачам Стратегии относятся обновление технологической базы, развитие кадрового потенциала отрасли, конкуренции среди производителей такой продукции, совершенствование фонда национальных стандартов, поддержка и стимулирование спроса на отечественную продукцию, стимулирование НИОКР, координация программ технологического развития и унификация компонентной базы.</w:t>
      </w:r>
    </w:p>
    <w:p w14:paraId="57954D4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Стратегия предусматривает два этапа реализации:</w:t>
      </w:r>
    </w:p>
    <w:p w14:paraId="15C1ED5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первом этапе (в рамках реализации Комплекса мер) Минпромторгом России совместно с заинтересованными органами исполнительной власти, научными и экспертными сообществами, институтами развития, отраслевыми организациями ведется работа по преобразованию нормативной правовой </w:t>
      </w:r>
      <w:r w:rsidRPr="0050661D">
        <w:rPr>
          <w:rFonts w:ascii="Times New Roman" w:eastAsia="Times New Roman" w:hAnsi="Times New Roman" w:cs="Times New Roman"/>
          <w:sz w:val="28"/>
          <w:szCs w:val="28"/>
          <w:lang w:eastAsia="ru-RU"/>
        </w:rPr>
        <w:br/>
        <w:t>и институциональной среды отрасли;</w:t>
      </w:r>
    </w:p>
    <w:p w14:paraId="4BBBE373"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втором этапе реализации Стратегии мы перейдем к широкой модернизация технологической базы отрасли, актуализирова</w:t>
      </w:r>
      <w:r w:rsidR="005729AC">
        <w:rPr>
          <w:rFonts w:ascii="Times New Roman" w:eastAsia="Times New Roman" w:hAnsi="Times New Roman" w:cs="Times New Roman"/>
          <w:sz w:val="28"/>
          <w:szCs w:val="28"/>
          <w:lang w:eastAsia="ru-RU"/>
        </w:rPr>
        <w:t xml:space="preserve">в комплекс соответствующих мер </w:t>
      </w:r>
      <w:r w:rsidRPr="0050661D">
        <w:rPr>
          <w:rFonts w:ascii="Times New Roman" w:eastAsia="Times New Roman" w:hAnsi="Times New Roman" w:cs="Times New Roman"/>
          <w:sz w:val="28"/>
          <w:szCs w:val="28"/>
          <w:lang w:eastAsia="ru-RU"/>
        </w:rPr>
        <w:t xml:space="preserve">с учетом итогов первого этапа. </w:t>
      </w:r>
    </w:p>
    <w:p w14:paraId="02118461" w14:textId="77777777" w:rsidR="0050661D" w:rsidRPr="0050661D" w:rsidRDefault="0050661D" w:rsidP="0050661D">
      <w:pPr>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целях исполнения пункта 1 Комплекса мер </w:t>
      </w:r>
      <w:r w:rsidRPr="0050661D">
        <w:rPr>
          <w:rFonts w:ascii="Times New Roman" w:eastAsia="Arial Unicode MS" w:hAnsi="Times New Roman" w:cs="Times New Roman"/>
          <w:sz w:val="28"/>
          <w:szCs w:val="28"/>
          <w:lang w:eastAsia="ru-RU"/>
        </w:rPr>
        <w:t xml:space="preserve">и в рамках </w:t>
      </w:r>
      <w:r w:rsidRPr="0050661D">
        <w:rPr>
          <w:rFonts w:ascii="Times New Roman" w:eastAsia="Times New Roman" w:hAnsi="Times New Roman" w:cs="Times New Roman"/>
          <w:color w:val="000000"/>
          <w:sz w:val="28"/>
          <w:szCs w:val="28"/>
          <w:lang w:eastAsia="ru-RU"/>
        </w:rPr>
        <w:t xml:space="preserve">Программы национальной стандартизации (далее – Программа) </w:t>
      </w:r>
      <w:r w:rsidRPr="0050661D">
        <w:rPr>
          <w:rFonts w:ascii="Times New Roman" w:eastAsia="Arial Unicode MS" w:hAnsi="Times New Roman" w:cs="Times New Roman"/>
          <w:sz w:val="28"/>
          <w:szCs w:val="28"/>
          <w:lang w:eastAsia="ru-RU"/>
        </w:rPr>
        <w:t xml:space="preserve">за 2018 год </w:t>
      </w:r>
      <w:r w:rsidRPr="0050661D">
        <w:rPr>
          <w:rFonts w:ascii="Times New Roman" w:eastAsia="Times New Roman" w:hAnsi="Times New Roman" w:cs="Times New Roman"/>
          <w:sz w:val="28"/>
          <w:szCs w:val="28"/>
          <w:lang w:eastAsia="ru-RU"/>
        </w:rPr>
        <w:t>Техническим комитетом по стандартизации «Технические средства для инвалидов» ТК 381</w:t>
      </w:r>
      <w:r w:rsidRPr="0050661D">
        <w:rPr>
          <w:rFonts w:ascii="Times New Roman" w:eastAsia="Arial Unicode MS" w:hAnsi="Times New Roman" w:cs="Times New Roman"/>
          <w:sz w:val="28"/>
          <w:szCs w:val="28"/>
          <w:lang w:eastAsia="ru-RU"/>
        </w:rPr>
        <w:t xml:space="preserve"> </w:t>
      </w:r>
      <w:r w:rsidRPr="0050661D">
        <w:rPr>
          <w:rFonts w:ascii="Times New Roman" w:eastAsia="Arial Unicode MS" w:hAnsi="Times New Roman" w:cs="Times New Roman"/>
          <w:sz w:val="28"/>
          <w:szCs w:val="28"/>
          <w:lang w:eastAsia="ru-RU"/>
        </w:rPr>
        <w:br/>
        <w:t>(далее – ТК 381) осуществлена разработка и пересмотр 41 национального стандарта:</w:t>
      </w:r>
    </w:p>
    <w:p w14:paraId="7510294B"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формирования доступной среды с учетом принципа «универсального дизайна» – 21 стандарт;</w:t>
      </w:r>
    </w:p>
    <w:p w14:paraId="080D1AF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комплексной реабилитации и абилитации инвалидов, а также планов их внедрения» – 17 стандартов;</w:t>
      </w:r>
    </w:p>
    <w:p w14:paraId="79D00B62"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медико-социальной экспертизы, а также планов их внедрения» – 3 стандарта.</w:t>
      </w:r>
    </w:p>
    <w:p w14:paraId="3D519B66" w14:textId="77777777" w:rsidR="0050661D" w:rsidRPr="0050661D" w:rsidRDefault="0050661D" w:rsidP="0050661D">
      <w:pPr>
        <w:widowControl w:val="0"/>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Arial Unicode MS" w:hAnsi="Times New Roman" w:cs="Times New Roman"/>
          <w:sz w:val="28"/>
          <w:szCs w:val="28"/>
          <w:lang w:eastAsia="ru-RU"/>
        </w:rPr>
        <w:t>Таким образом Фонд документов национальной системы стандартизации, закрепленный за ТК 381, в рамках Программы за 2018 г. увеличился по сравнению с Программой за 2017 г. на 14 стандартов (или почти на 52%).</w:t>
      </w:r>
    </w:p>
    <w:p w14:paraId="7EC3680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Во исполнение пункта 16 Комплекса мер Минпромторгом России </w:t>
      </w:r>
      <w:r w:rsidRPr="0050661D">
        <w:rPr>
          <w:rFonts w:ascii="Times New Roman" w:eastAsia="Times New Roman" w:hAnsi="Times New Roman" w:cs="Times New Roman"/>
          <w:color w:val="000000"/>
          <w:sz w:val="28"/>
          <w:szCs w:val="28"/>
          <w:lang w:eastAsia="ru-RU"/>
        </w:rPr>
        <w:t>создан</w:t>
      </w:r>
      <w:r w:rsidRPr="0050661D">
        <w:rPr>
          <w:rFonts w:ascii="Times New Roman" w:eastAsia="Times New Roman" w:hAnsi="Times New Roman" w:cs="Times New Roman"/>
          <w:color w:val="000000"/>
          <w:sz w:val="28"/>
          <w:szCs w:val="28"/>
          <w:lang w:eastAsia="ru-RU"/>
        </w:rPr>
        <w:br/>
        <w:t>и введен в опытную эксплуатацию справочно</w:t>
      </w:r>
      <w:r w:rsidRPr="0050661D">
        <w:rPr>
          <w:rFonts w:ascii="Times New Roman" w:eastAsia="Times New Roman" w:hAnsi="Times New Roman" w:cs="Times New Roman"/>
          <w:sz w:val="28"/>
          <w:szCs w:val="28"/>
          <w:lang w:eastAsia="ru-RU"/>
        </w:rPr>
        <w:t xml:space="preserve">-информационный Портал, который размещен в информационно-телекоммуникационной сети «Интернет» по адресу: </w:t>
      </w:r>
      <w:hyperlink r:id="rId110" w:history="1">
        <w:r w:rsidRPr="0050661D">
          <w:rPr>
            <w:rFonts w:ascii="Times New Roman" w:eastAsia="Times New Roman" w:hAnsi="Times New Roman" w:cs="Times New Roman"/>
            <w:sz w:val="28"/>
            <w:szCs w:val="28"/>
            <w:u w:val="single"/>
            <w:lang w:eastAsia="ru-RU"/>
          </w:rPr>
          <w:t>http://vitrinari.ru</w:t>
        </w:r>
      </w:hyperlink>
      <w:r w:rsidRPr="0050661D">
        <w:rPr>
          <w:rFonts w:ascii="Times New Roman" w:eastAsia="Times New Roman" w:hAnsi="Times New Roman" w:cs="Times New Roman"/>
          <w:sz w:val="28"/>
          <w:szCs w:val="28"/>
          <w:lang w:eastAsia="ru-RU"/>
        </w:rPr>
        <w:t>.</w:t>
      </w:r>
    </w:p>
    <w:p w14:paraId="2979C0F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Целью Портала является доведение до ко</w:t>
      </w:r>
      <w:r w:rsidR="005729AC">
        <w:rPr>
          <w:rFonts w:ascii="Times New Roman" w:eastAsia="Times New Roman" w:hAnsi="Times New Roman" w:cs="Times New Roman"/>
          <w:sz w:val="28"/>
          <w:szCs w:val="28"/>
          <w:lang w:eastAsia="ru-RU"/>
        </w:rPr>
        <w:t xml:space="preserve">нечного потребителя актуальной </w:t>
      </w:r>
      <w:r w:rsidRPr="0050661D">
        <w:rPr>
          <w:rFonts w:ascii="Times New Roman" w:eastAsia="Times New Roman" w:hAnsi="Times New Roman" w:cs="Times New Roman"/>
          <w:sz w:val="28"/>
          <w:szCs w:val="28"/>
          <w:lang w:eastAsia="ru-RU"/>
        </w:rPr>
        <w:t>и подробной информации о существующей производимой на территории Российской Федерации продукции реабилитационной направленности. Портал станет информационной площадкой для продв</w:t>
      </w:r>
      <w:r w:rsidR="005729AC">
        <w:rPr>
          <w:rFonts w:ascii="Times New Roman" w:eastAsia="Times New Roman" w:hAnsi="Times New Roman" w:cs="Times New Roman"/>
          <w:sz w:val="28"/>
          <w:szCs w:val="28"/>
          <w:lang w:eastAsia="ru-RU"/>
        </w:rPr>
        <w:t xml:space="preserve">ижения и дистрибуции продукции </w:t>
      </w:r>
      <w:r w:rsidRPr="0050661D">
        <w:rPr>
          <w:rFonts w:ascii="Times New Roman" w:eastAsia="Times New Roman" w:hAnsi="Times New Roman" w:cs="Times New Roman"/>
          <w:sz w:val="28"/>
          <w:szCs w:val="28"/>
          <w:lang w:eastAsia="ru-RU"/>
        </w:rPr>
        <w:t>для инвалидов и маломобильных граждан, других заказчиков в сфере доступной среды, а также обеспечит связь между производит</w:t>
      </w:r>
      <w:r w:rsidR="005729AC">
        <w:rPr>
          <w:rFonts w:ascii="Times New Roman" w:eastAsia="Times New Roman" w:hAnsi="Times New Roman" w:cs="Times New Roman"/>
          <w:sz w:val="28"/>
          <w:szCs w:val="28"/>
          <w:lang w:eastAsia="ru-RU"/>
        </w:rPr>
        <w:t xml:space="preserve">елем, поставщиком услуг </w:t>
      </w:r>
      <w:r w:rsidRPr="0050661D">
        <w:rPr>
          <w:rFonts w:ascii="Times New Roman" w:eastAsia="Times New Roman" w:hAnsi="Times New Roman" w:cs="Times New Roman"/>
          <w:sz w:val="28"/>
          <w:szCs w:val="28"/>
          <w:lang w:eastAsia="ru-RU"/>
        </w:rPr>
        <w:t>и конечным пользователем.</w:t>
      </w:r>
    </w:p>
    <w:p w14:paraId="3EEB714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на Портале:</w:t>
      </w:r>
    </w:p>
    <w:p w14:paraId="6964C20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зарегистрировано 36 новых производителей и 4 поставщика продукции;</w:t>
      </w:r>
    </w:p>
    <w:p w14:paraId="597534B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добавлено 59 товарных марок; </w:t>
      </w:r>
    </w:p>
    <w:p w14:paraId="0074B2C5"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добавлено 638 единиц товаров.</w:t>
      </w:r>
    </w:p>
    <w:p w14:paraId="17FAD1F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Из представленной продукции:</w:t>
      </w:r>
    </w:p>
    <w:p w14:paraId="0C558C29"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более 60% предназначены для обеспечения доступной среды;</w:t>
      </w:r>
    </w:p>
    <w:p w14:paraId="48EEABF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48% предназначены при нарушениях функций движения, 23% - слуха и 20% - зрения. 10% товаров применяются в инклюзивном образовании.</w:t>
      </w:r>
    </w:p>
    <w:p w14:paraId="074710B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ключевых мер государственно</w:t>
      </w:r>
      <w:r w:rsidR="005729AC">
        <w:rPr>
          <w:rFonts w:ascii="Times New Roman" w:eastAsia="Times New Roman" w:hAnsi="Times New Roman" w:cs="Times New Roman"/>
          <w:sz w:val="28"/>
          <w:szCs w:val="28"/>
          <w:lang w:eastAsia="ru-RU"/>
        </w:rPr>
        <w:t xml:space="preserve">й поддержки стали утвержденные </w:t>
      </w:r>
      <w:r w:rsidRPr="0050661D">
        <w:rPr>
          <w:rFonts w:ascii="Times New Roman" w:eastAsia="Times New Roman" w:hAnsi="Times New Roman" w:cs="Times New Roman"/>
          <w:sz w:val="28"/>
          <w:szCs w:val="28"/>
          <w:lang w:eastAsia="ru-RU"/>
        </w:rPr>
        <w:t>в 2017 г. Правительством Российской Федерации мероприятия, направленные на развитие реабилитационной индустрии:</w:t>
      </w:r>
    </w:p>
    <w:p w14:paraId="4C59C5B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постановление Правительства Российской </w:t>
      </w:r>
      <w:r w:rsidR="005729AC">
        <w:rPr>
          <w:rFonts w:ascii="Times New Roman" w:eastAsia="Times New Roman" w:hAnsi="Times New Roman" w:cs="Times New Roman"/>
          <w:sz w:val="28"/>
          <w:szCs w:val="28"/>
          <w:lang w:eastAsia="ru-RU"/>
        </w:rPr>
        <w:t xml:space="preserve">Федерации от 25 января 2017 г. </w:t>
      </w:r>
      <w:r w:rsidRPr="0050661D">
        <w:rPr>
          <w:rFonts w:ascii="Times New Roman" w:eastAsia="Times New Roman" w:hAnsi="Times New Roman" w:cs="Times New Roman"/>
          <w:sz w:val="28"/>
          <w:szCs w:val="28"/>
          <w:lang w:eastAsia="ru-RU"/>
        </w:rPr>
        <w:t>№ 76 по субсидированию расходов российским организациям на компенсацию части затрат на проведение научно-исследовательских и опытно-конструкторских работ,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гг. решения о предоставлении субсидий в размере 518 019 099,46 рублей;</w:t>
      </w:r>
    </w:p>
    <w:p w14:paraId="2B034AB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постановление Правительства Российско</w:t>
      </w:r>
      <w:r w:rsidR="005729AC">
        <w:rPr>
          <w:rFonts w:ascii="Times New Roman" w:eastAsia="Times New Roman" w:hAnsi="Times New Roman" w:cs="Times New Roman"/>
          <w:sz w:val="28"/>
          <w:szCs w:val="28"/>
          <w:lang w:eastAsia="ru-RU"/>
        </w:rPr>
        <w:t xml:space="preserve">й Федерации от 25.01.2017                № 77 </w:t>
      </w:r>
      <w:r w:rsidRPr="0050661D">
        <w:rPr>
          <w:rFonts w:ascii="Times New Roman" w:eastAsia="Times New Roman" w:hAnsi="Times New Roman" w:cs="Times New Roman"/>
          <w:sz w:val="28"/>
          <w:szCs w:val="28"/>
          <w:lang w:eastAsia="ru-RU"/>
        </w:rPr>
        <w:t>на субсидирование расходов российским организациям реабилитационной индустрии на компенсацию части затрат,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годах решения о предоставлении субсидий на сумму 76 486 362,32  рублей.</w:t>
      </w:r>
    </w:p>
    <w:p w14:paraId="3855EF4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целях развития компетенций в области реабилитационной индустрии приказом Министра промышленности и торговли от 12.07.2017 № 2252 создано федеральное государственное автономное учреждение «Ресурсный центр универсального дизайна и реабилитационных технологий» (далее – Центр) путем изменения типа федерального бюджетного учреждения «Центральная научно-техническая библиотека легкой промышленности» находящимся в ведении Минпромторга России, также был утвержден устав Центра утвержден приказом Минпромторга России от 14.07.2017 №2279. </w:t>
      </w:r>
    </w:p>
    <w:p w14:paraId="53CA25E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Пунктом 8 Комплекса мер предусмотрена реализация мероприятия по развитию федерального государственного автономного учреждения «Ресурсный центр универсального дизайна и реабилитационных технологий» (далее – Центр), результатом которого в 2017-2019 гг. должно стать создание Центру условий для проведения экспертиз, стандартизации и испытаний в целях продвижения принципов применения в области универсального дизайна и оснащения доступной среды, разработки и совершенствования промышленных технологий производства технических средств медицинской и заместительной реабилитации. </w:t>
      </w:r>
    </w:p>
    <w:p w14:paraId="0D1BF877"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 уставом Центра целями его деятельности являются разработка, экспертиза, </w:t>
      </w:r>
      <w:r w:rsidRPr="0050661D">
        <w:rPr>
          <w:rFonts w:ascii="Times New Roman" w:eastAsia="Times New Roman" w:hAnsi="Times New Roman" w:cs="Times New Roman"/>
          <w:color w:val="000000"/>
          <w:sz w:val="28"/>
          <w:szCs w:val="28"/>
          <w:lang w:eastAsia="ru-RU"/>
        </w:rPr>
        <w:t>мониторинг,</w:t>
      </w:r>
      <w:r w:rsidRPr="0050661D">
        <w:rPr>
          <w:rFonts w:ascii="Times New Roman" w:eastAsia="Times New Roman" w:hAnsi="Times New Roman" w:cs="Times New Roman"/>
          <w:sz w:val="28"/>
          <w:szCs w:val="28"/>
          <w:lang w:eastAsia="ru-RU"/>
        </w:rPr>
        <w:t xml:space="preserve"> стандартизация и испытания, создание модельных, лабораторных и испытательных решений в области организации производства и технологий применения технических средств медицинской, спортивной и заместительной реабилитации, </w:t>
      </w:r>
      <w:r w:rsidR="005729AC">
        <w:rPr>
          <w:rFonts w:ascii="Times New Roman" w:eastAsia="Times New Roman" w:hAnsi="Times New Roman" w:cs="Times New Roman"/>
          <w:sz w:val="28"/>
          <w:szCs w:val="28"/>
          <w:lang w:eastAsia="ru-RU"/>
        </w:rPr>
        <w:t xml:space="preserve">медицинской, спортивной техники </w:t>
      </w:r>
      <w:r w:rsidRPr="0050661D">
        <w:rPr>
          <w:rFonts w:ascii="Times New Roman" w:eastAsia="Times New Roman" w:hAnsi="Times New Roman" w:cs="Times New Roman"/>
          <w:sz w:val="28"/>
          <w:szCs w:val="28"/>
          <w:lang w:eastAsia="ru-RU"/>
        </w:rPr>
        <w:t>и изделий, универсального дизайна и оснащения доступной среды с формированием ключевых отечественных научных и промышленных компетенций.</w:t>
      </w:r>
    </w:p>
    <w:p w14:paraId="0517AAE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Для достижения указанных целей в соответствии с уставом Центр должен </w:t>
      </w:r>
      <w:r w:rsidRPr="0050661D">
        <w:rPr>
          <w:rFonts w:ascii="Times New Roman" w:eastAsia="Times New Roman" w:hAnsi="Times New Roman" w:cs="Times New Roman"/>
          <w:color w:val="000000"/>
          <w:spacing w:val="-5"/>
          <w:sz w:val="28"/>
          <w:szCs w:val="28"/>
          <w:lang w:eastAsia="ru-RU"/>
        </w:rPr>
        <w:t xml:space="preserve">осуществлять </w:t>
      </w:r>
      <w:r w:rsidRPr="0050661D">
        <w:rPr>
          <w:rFonts w:ascii="Times New Roman" w:eastAsia="Times New Roman" w:hAnsi="Times New Roman" w:cs="Times New Roman"/>
          <w:color w:val="000000"/>
          <w:sz w:val="28"/>
          <w:szCs w:val="28"/>
          <w:lang w:eastAsia="ru-RU"/>
        </w:rPr>
        <w:t>следующие основные виды деятельности:</w:t>
      </w:r>
    </w:p>
    <w:p w14:paraId="7803FFD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sz w:val="28"/>
          <w:szCs w:val="28"/>
          <w:lang w:eastAsia="ru-RU"/>
        </w:rPr>
        <w:t xml:space="preserve">проведение научно-исследовательских и опытно-конструкторских работ, экспериментальных разработок и </w:t>
      </w:r>
      <w:r w:rsidRPr="0050661D">
        <w:rPr>
          <w:rFonts w:ascii="Times New Roman" w:eastAsia="Times New Roman" w:hAnsi="Times New Roman" w:cs="Times New Roman"/>
          <w:color w:val="000000"/>
          <w:sz w:val="28"/>
          <w:szCs w:val="28"/>
          <w:lang w:eastAsia="ru-RU"/>
        </w:rPr>
        <w:t>дизайнерской модернизации</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в области </w:t>
      </w:r>
      <w:r w:rsidRPr="0050661D">
        <w:rPr>
          <w:rFonts w:ascii="Times New Roman" w:eastAsia="Times New Roman" w:hAnsi="Times New Roman" w:cs="Times New Roman"/>
          <w:sz w:val="28"/>
          <w:szCs w:val="28"/>
          <w:lang w:eastAsia="ru-RU"/>
        </w:rPr>
        <w:t>технических средств медицинской и заместительной реабилитации, медицинской, техники и изделий;</w:t>
      </w:r>
    </w:p>
    <w:p w14:paraId="4C7A9D1E"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выполнение поисковых и прикладных научно-исследовательских работ </w:t>
      </w:r>
      <w:r w:rsidRPr="0050661D">
        <w:rPr>
          <w:rFonts w:ascii="Times New Roman" w:eastAsia="Times New Roman" w:hAnsi="Times New Roman" w:cs="Times New Roman"/>
          <w:color w:val="000000"/>
          <w:sz w:val="28"/>
          <w:szCs w:val="28"/>
          <w:lang w:eastAsia="ru-RU"/>
        </w:rPr>
        <w:br/>
        <w:t xml:space="preserve">в </w:t>
      </w:r>
      <w:r w:rsidRPr="0050661D">
        <w:rPr>
          <w:rFonts w:ascii="Times New Roman" w:eastAsia="Times New Roman" w:hAnsi="Times New Roman" w:cs="Times New Roman"/>
          <w:color w:val="000000"/>
          <w:spacing w:val="-4"/>
          <w:sz w:val="28"/>
          <w:szCs w:val="28"/>
          <w:lang w:eastAsia="ru-RU"/>
        </w:rPr>
        <w:t xml:space="preserve">области </w:t>
      </w:r>
      <w:r w:rsidRPr="0050661D">
        <w:rPr>
          <w:rFonts w:ascii="Times New Roman" w:eastAsia="Times New Roman" w:hAnsi="Times New Roman" w:cs="Times New Roman"/>
          <w:sz w:val="28"/>
          <w:szCs w:val="28"/>
          <w:lang w:eastAsia="ru-RU"/>
        </w:rPr>
        <w:t>технических средств медицинской реабилитации, м</w:t>
      </w:r>
      <w:r w:rsidR="005729AC">
        <w:rPr>
          <w:rFonts w:ascii="Times New Roman" w:eastAsia="Times New Roman" w:hAnsi="Times New Roman" w:cs="Times New Roman"/>
          <w:sz w:val="28"/>
          <w:szCs w:val="28"/>
          <w:lang w:eastAsia="ru-RU"/>
        </w:rPr>
        <w:t xml:space="preserve">едицинской техники </w:t>
      </w:r>
      <w:r w:rsidRPr="0050661D">
        <w:rPr>
          <w:rFonts w:ascii="Times New Roman" w:eastAsia="Times New Roman" w:hAnsi="Times New Roman" w:cs="Times New Roman"/>
          <w:sz w:val="28"/>
          <w:szCs w:val="28"/>
          <w:lang w:eastAsia="ru-RU"/>
        </w:rPr>
        <w:t>и изделий, а также оснащения доступной среды, технологий и принципов «универсального дизайна»;</w:t>
      </w:r>
    </w:p>
    <w:p w14:paraId="16EA62CA"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проведение экспертиз научной, научно-технической и инновационной деятельности в области производства, а также испытаний технических средств медицинской и заместительной реабилитации.</w:t>
      </w:r>
    </w:p>
    <w:p w14:paraId="38DC9F8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Вместе с тем Центром в 2018 году начато создание лабораторий универсального дизайна и </w:t>
      </w:r>
      <w:r w:rsidRPr="0050661D">
        <w:rPr>
          <w:rFonts w:ascii="Times New Roman" w:eastAsia="Times New Roman" w:hAnsi="Times New Roman" w:cs="Times New Roman"/>
          <w:bCs/>
          <w:color w:val="000000"/>
          <w:sz w:val="28"/>
          <w:szCs w:val="28"/>
          <w:lang w:eastAsia="ru-RU"/>
        </w:rPr>
        <w:t>разработок, испытаний реабилитационных технологий.</w:t>
      </w:r>
    </w:p>
    <w:p w14:paraId="02E09DB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Начиная с 2019 г., по результатам оснащения указанных лабораторий необходимым оборудованием Центр будет проводить поисковые и прикладные научно-исследовательские, опытно-конструкторские работы в области технических средств медицинской и заместительной реабилитации, спортивной продукции, а также оснащения доступной среды, технологий и принципов «универсального дизайна». </w:t>
      </w:r>
    </w:p>
    <w:p w14:paraId="7E102F20" w14:textId="77777777" w:rsidR="0050661D" w:rsidRPr="0050661D" w:rsidRDefault="0050661D" w:rsidP="0050661D">
      <w:pPr>
        <w:spacing w:after="0" w:line="240" w:lineRule="auto"/>
        <w:ind w:firstLine="709"/>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Индустрия музыкальных инструментов и звукового оборудования</w:t>
      </w:r>
    </w:p>
    <w:p w14:paraId="4DECEC2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и ФТС России за 2018 год объем российского рынка музыкальных инструментов составил около 6 млрд рублей, на нем представлено 75 отечественных производителей, на долю которых приходится менее 10 процентов объема рынка. Российский рынок звукового оборудования по итогам 2018 года достиг объема более 54 млрд рублей, менее 5 процентов которого приходится на 120 отечественных производителей. Большая часть российских производителей является субъектами малого и среднего предпринимательства.</w:t>
      </w:r>
    </w:p>
    <w:p w14:paraId="152CFCA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закупок для государственных и муниципальных нужд в 2018 году музыкальных инструментов составил более 1,3 млрд рублей (за исключением программы гарантированного государственного заказа, реализуемой в соответствии с распоряжением Правительства Российской Фед</w:t>
      </w:r>
      <w:r w:rsidR="005729AC">
        <w:rPr>
          <w:rFonts w:ascii="Times New Roman" w:eastAsia="Times New Roman" w:hAnsi="Times New Roman" w:cs="Times New Roman"/>
          <w:sz w:val="28"/>
          <w:szCs w:val="28"/>
          <w:lang w:eastAsia="ru-RU"/>
        </w:rPr>
        <w:t xml:space="preserve">ерации от 3.11.2018 № 2397-р), </w:t>
      </w:r>
      <w:r w:rsidRPr="0050661D">
        <w:rPr>
          <w:rFonts w:ascii="Times New Roman" w:eastAsia="Times New Roman" w:hAnsi="Times New Roman" w:cs="Times New Roman"/>
          <w:sz w:val="28"/>
          <w:szCs w:val="28"/>
          <w:lang w:eastAsia="ru-RU"/>
        </w:rPr>
        <w:t>что составляет менее 25 процентов объема российского рынка музыкальных инструментов. По оценкам экспертов более 70 процентов указанного спроса было удовлетворено товарами из стран Юго-Восточной Азии и 20 процентов - товарами из стран Европы и Америки</w:t>
      </w:r>
    </w:p>
    <w:p w14:paraId="79E61E29"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Согласно приказу ФАС России от 28.04.2010 № 220 «Об утверждении Порядка проведения анализа состояния конкуренции на товарном рынке» для определения уровня концентрации товарного рынка используются коэффициент рыночной концентрации (CR) и индекс рыночной концентрации Герфиндаля-Гиршмана (HHI). В соответствии с различными значениями коэффициента рыночной концентрации и индекса рыночной концентрации Герфиндаля-Гиршмана выделяются следующие уровни концентрации товарного рынка:</w:t>
      </w:r>
    </w:p>
    <w:p w14:paraId="0C1FF645"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высокий: при 70%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100% или 2000 &lt;= HHI &lt;= 10000;</w:t>
      </w:r>
    </w:p>
    <w:p w14:paraId="413773C8"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умеренный: при 45%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70% или 1000 &lt;= HHI &lt; 2000;</w:t>
      </w:r>
    </w:p>
    <w:p w14:paraId="07619AC6"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низкий: при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45% или HHI &lt; 1000. </w:t>
      </w:r>
    </w:p>
    <w:p w14:paraId="467B4C9C"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были рассчитаны </w:t>
      </w:r>
      <w:r w:rsidRPr="0050661D">
        <w:rPr>
          <w:rFonts w:ascii="Times New Roman" w:eastAsia="Times New Roman" w:hAnsi="Times New Roman" w:cs="Times New Roman"/>
          <w:bCs/>
          <w:sz w:val="28"/>
          <w:szCs w:val="28"/>
          <w:lang w:eastAsia="ru-RU"/>
        </w:rPr>
        <w:t>индекс рыночной концентрации Герфиндаля-Гиршмана (HHI) и коэффициент рыночной концентрации 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для рынка закупок музыкальных инструментов для обеспечения государственных и муниципальных нужд в 2018 году (за исключением программы гарантированного государственного зака</w:t>
      </w:r>
      <w:r w:rsidR="005729AC">
        <w:rPr>
          <w:rFonts w:ascii="Times New Roman" w:eastAsia="Times New Roman" w:hAnsi="Times New Roman" w:cs="Times New Roman"/>
          <w:bCs/>
          <w:sz w:val="28"/>
          <w:szCs w:val="28"/>
          <w:lang w:eastAsia="ru-RU"/>
        </w:rPr>
        <w:t xml:space="preserve">за, реализуемой в соответствии </w:t>
      </w:r>
      <w:r w:rsidRPr="0050661D">
        <w:rPr>
          <w:rFonts w:ascii="Times New Roman" w:eastAsia="Times New Roman" w:hAnsi="Times New Roman" w:cs="Times New Roman"/>
          <w:bCs/>
          <w:sz w:val="28"/>
          <w:szCs w:val="28"/>
          <w:lang w:eastAsia="ru-RU"/>
        </w:rPr>
        <w:t>с распоряжением Правительства Российской Федерации от 03.11.2018 № 2397-р)</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bCs/>
          <w:sz w:val="28"/>
          <w:szCs w:val="28"/>
          <w:lang w:eastAsia="ru-RU"/>
        </w:rPr>
        <w:t>HHI</w:t>
      </w:r>
      <w:r w:rsidRPr="0050661D">
        <w:rPr>
          <w:rFonts w:ascii="Times New Roman" w:eastAsia="Times New Roman" w:hAnsi="Times New Roman" w:cs="Times New Roman"/>
          <w:sz w:val="28"/>
          <w:szCs w:val="28"/>
          <w:lang w:eastAsia="ru-RU"/>
        </w:rPr>
        <w:t xml:space="preserve"> составил 613, </w:t>
      </w:r>
      <w:r w:rsidRPr="0050661D">
        <w:rPr>
          <w:rFonts w:ascii="Times New Roman" w:eastAsia="Times New Roman" w:hAnsi="Times New Roman" w:cs="Times New Roman"/>
          <w:bCs/>
          <w:sz w:val="28"/>
          <w:szCs w:val="28"/>
          <w:lang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 32,4 %, </w:t>
      </w:r>
      <w:r w:rsidRPr="0050661D">
        <w:rPr>
          <w:rFonts w:ascii="Times New Roman" w:eastAsia="Times New Roman" w:hAnsi="Times New Roman" w:cs="Times New Roman"/>
          <w:sz w:val="28"/>
          <w:szCs w:val="28"/>
          <w:lang w:eastAsia="ru-RU"/>
        </w:rPr>
        <w:t>что свидетельствует о низкой концентрации указанного рынка.</w:t>
      </w:r>
    </w:p>
    <w:p w14:paraId="0336DCB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более 95 процентов объема соответствующих закупок музыкальных инструментов для государственных и муниципальных нужд в 2018 г. (за исключением программы гарантированного государственного заказа, реализуемой в соответствии с распоряжением Правительства Российской Федерации от 03.11.2018 № 2397-р) приходится на поставщиков, не являющихся производителями, большую часть государственных контрактов на поставку отечественных музыкальных инструментов исполняют перекупщики. </w:t>
      </w:r>
    </w:p>
    <w:p w14:paraId="6ABEC686"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0661D">
        <w:rPr>
          <w:rFonts w:ascii="Times New Roman" w:eastAsia="Times New Roman" w:hAnsi="Times New Roman" w:cs="Times New Roman"/>
          <w:b/>
          <w:color w:val="000000"/>
          <w:sz w:val="28"/>
          <w:szCs w:val="28"/>
          <w:lang w:eastAsia="ru-RU"/>
        </w:rPr>
        <w:t>Сфера химической промышленности</w:t>
      </w:r>
    </w:p>
    <w:p w14:paraId="33D305A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По итогам работы в 2018 году объем отгруженных товаров собственного производства </w:t>
      </w:r>
      <w:r w:rsidRPr="0050661D">
        <w:rPr>
          <w:rFonts w:ascii="Times New Roman" w:eastAsia="Times New Roman" w:hAnsi="Times New Roman" w:cs="Times New Roman"/>
          <w:color w:val="000000"/>
          <w:sz w:val="28"/>
          <w:szCs w:val="28"/>
          <w:lang w:eastAsia="ru-RU"/>
        </w:rPr>
        <w:t>химической промышленности</w:t>
      </w:r>
      <w:r w:rsidRPr="0050661D">
        <w:rPr>
          <w:rFonts w:ascii="Times New Roman" w:eastAsia="Calibri" w:hAnsi="Times New Roman" w:cs="Times New Roman"/>
          <w:sz w:val="28"/>
          <w:szCs w:val="28"/>
        </w:rPr>
        <w:t xml:space="preserve"> составил 4311,6 млрд руб – 9,8% от показателя в целом по обрабатывающим производствам Российской Федерации.</w:t>
      </w:r>
    </w:p>
    <w:p w14:paraId="418CDBFE" w14:textId="77777777" w:rsidR="0050661D" w:rsidRPr="0050661D" w:rsidRDefault="0050661D" w:rsidP="0050661D">
      <w:pPr>
        <w:spacing w:after="0" w:line="240" w:lineRule="auto"/>
        <w:ind w:firstLine="709"/>
        <w:contextualSpacing/>
        <w:jc w:val="both"/>
        <w:rPr>
          <w:rFonts w:ascii="Times New Roman" w:eastAsia="Calibri" w:hAnsi="Times New Roman" w:cs="Times New Roman"/>
          <w:color w:val="0D0D0D"/>
          <w:sz w:val="28"/>
          <w:szCs w:val="28"/>
        </w:rPr>
      </w:pPr>
      <w:r w:rsidRPr="0050661D">
        <w:rPr>
          <w:rFonts w:ascii="Times New Roman" w:eastAsia="Calibri" w:hAnsi="Times New Roman" w:cs="Times New Roman"/>
          <w:sz w:val="28"/>
          <w:szCs w:val="28"/>
        </w:rPr>
        <w:t xml:space="preserve">Индекс производства по виду деятельности «производство химических веществ и химических продуктов» в 2018 году по сравнению с 2017 годом составил 102,7%, по </w:t>
      </w:r>
      <w:r w:rsidRPr="0050661D">
        <w:rPr>
          <w:rFonts w:ascii="Times New Roman" w:eastAsia="Calibri" w:hAnsi="Times New Roman" w:cs="Times New Roman"/>
          <w:color w:val="0D0D0D"/>
          <w:sz w:val="28"/>
          <w:szCs w:val="28"/>
        </w:rPr>
        <w:t>виду экономической деятельности «производство резиновых и пластмассовых изделий» – 102,4%.</w:t>
      </w:r>
    </w:p>
    <w:p w14:paraId="53E07092"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Объем внешней торговли продукцией химического комплекса в 2018 году составил (оценочно) 48,8 млрд. долл. США, в том числе: объем экспортных поставок – 23,5 млрд. долл. США, что выше показателя 2017 г. на 14%; объем импортных закупок вырос на 11% и достиг 25,3 млрд. долл. США.</w:t>
      </w:r>
    </w:p>
    <w:p w14:paraId="644B6DF3"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части оказания государственной поддержки организациям химической промышленности в 2018 году из средств федерального бюджета было выделено 6 205,7 млн. руб.</w:t>
      </w:r>
    </w:p>
    <w:p w14:paraId="3CC5E61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Приоритеты развития химического комплекса на долгосрочную перспективу, определены Стратегией развития химического и нефтехимического комплекса на период до 2030 года, которая разработана нами совместно с Минэнерго России. Это, прежде всего, кластеризация, уход от экспортно-сырьевой модели и повышение конкурентоспособности продукции химической промышленности на внутреннем и внешнем рынках.</w:t>
      </w:r>
    </w:p>
    <w:p w14:paraId="0F198A0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Что касается кластеризации, то уже сегодня, в европейской части России, созданы и успешно работают ряд крупных промышленных химических кластеров: Поволжский кластер, в который входят промышленные площадки Башкирии, Татарстана и Самары, Волгоградский промышленный узел, Череповецкий химический кластер, Дзержинский нефтехимический куст.</w:t>
      </w:r>
    </w:p>
    <w:p w14:paraId="61D1F24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Преимущества этих площадок очевидны:</w:t>
      </w:r>
    </w:p>
    <w:p w14:paraId="4E49958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наличие квалифицированного персонала;</w:t>
      </w:r>
    </w:p>
    <w:p w14:paraId="77F9DA7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наличие инфраструктуры (транспортной, производственной); </w:t>
      </w:r>
    </w:p>
    <w:p w14:paraId="473F0E8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рынкам сбыта и экспорту в ЕС;</w:t>
      </w:r>
    </w:p>
    <w:p w14:paraId="591E12D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источникам сырья (на пути экспортного транзита).</w:t>
      </w:r>
    </w:p>
    <w:p w14:paraId="71C66161"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Интенсивными темпами развиваются вновь формируемые площадки на дальневосточных рубежах России – в Сковородино и Находке. Здесь решающую роль играют близость к условно-бесконечным экспортным рынкам стран АТР и доступность сырья (ВСТО, новые очереди проектов «Сахалин»).</w:t>
      </w:r>
    </w:p>
    <w:p w14:paraId="6292AFC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Россия всегда обладала и в настоящее время обладает необходимыми фундаментальными предпосылками для обеспечения конкурентоспособности продукции химической промышленности на внутреннем и мировом рынках. Мы сегодня обеспечиваем и себя и потребителей по всему миру минеральными удобрениями, шинной продукцией, изделиями из пластмасс, содой и другими химическими товарами. </w:t>
      </w:r>
    </w:p>
    <w:p w14:paraId="306F95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российском химическом комплексе идет непрерывный процесс создания новых и модернизации действующих производств – только за 2018 год была завершена работа по 20 инвестиционным проектам. Суммарный объём инвестиций по этим проектам составил 42,4 млрд руб., создано 718 новых высокопроизводительных рабочих мест.</w:t>
      </w:r>
    </w:p>
    <w:p w14:paraId="43D4BD7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Развитие высоких переделов в химической промышленности – это мощный импульс в развитии смежных отраслей российской промышленности, таких как: легкая промышленность, фармацевтика и медицина, самолетостроение, кораблестроение и машиностроение, парфюмерия и косметика и др. </w:t>
      </w:r>
    </w:p>
    <w:p w14:paraId="537630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этом направлении Стратегия предусматривает реализацию порядка 200 инвестиционных проектов с суммарным объёмом инвестиций более 1 трлн руб.</w:t>
      </w:r>
    </w:p>
    <w:p w14:paraId="782E06B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Стратегия ставит амбициозные ориентиры в части снижения доли импорта с 46 до 28% и увеличения доли экспорта российской продукции глубокой переработки с 21 до 45%. Мы планируем к 2030 году достигнуть уровня производства, превышающего в денежном эквиваленте 6,5 трлн руб.</w:t>
      </w:r>
    </w:p>
    <w:p w14:paraId="18C4913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мы ведем активную работу по импортозамещению и обеспечению потребностей внутреннего рынка конкурентоспособной химической продукцией. План импортозамещения в химической промышленности сегодня – это 136 инвестиционных проектов, реализуемых в 39 регионах России с общим объемом инвестиций порядка 450 млрд руб.</w:t>
      </w:r>
    </w:p>
    <w:p w14:paraId="4804CD9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Импортозамещение в химической промышленности реализуется по 6 технологическим направлениям:</w:t>
      </w:r>
    </w:p>
    <w:p w14:paraId="7B50F4E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химические волокна и нити </w:t>
      </w:r>
    </w:p>
    <w:p w14:paraId="6BD0E95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лакокрасочные материалы и пигменты </w:t>
      </w:r>
    </w:p>
    <w:p w14:paraId="4895505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органической и неорганической химии</w:t>
      </w:r>
    </w:p>
    <w:p w14:paraId="2338761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смолы и изоцианаты</w:t>
      </w:r>
    </w:p>
    <w:p w14:paraId="48184C8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изделия из пластмасс, РТИ и шины </w:t>
      </w:r>
    </w:p>
    <w:p w14:paraId="673D3CB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промышленных биотехнологий.</w:t>
      </w:r>
    </w:p>
    <w:p w14:paraId="334E6E7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были успешно запущены 33 новых импортозамещающих производства.</w:t>
      </w:r>
    </w:p>
    <w:p w14:paraId="62F0204B" w14:textId="77777777" w:rsidR="0050661D" w:rsidRPr="0050661D" w:rsidRDefault="0050661D" w:rsidP="0050661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Если говорить о задачах, которые стоят перед химической промышленностью в краткосрочном периоде, то в соответствии с отдельными положениями «Майского Указа» (Указ Президента Российской</w:t>
      </w:r>
      <w:r w:rsidR="005729AC">
        <w:rPr>
          <w:rFonts w:ascii="Times New Roman" w:eastAsia="Times New Roman" w:hAnsi="Times New Roman" w:cs="Times New Roman"/>
          <w:color w:val="000000"/>
          <w:sz w:val="28"/>
          <w:szCs w:val="28"/>
          <w:lang w:eastAsia="ru-RU"/>
        </w:rPr>
        <w:t xml:space="preserve"> Федерации от 07.05.2018 № 204 </w:t>
      </w:r>
      <w:r w:rsidRPr="0050661D">
        <w:rPr>
          <w:rFonts w:ascii="Times New Roman" w:eastAsia="Times New Roman" w:hAnsi="Times New Roman" w:cs="Times New Roman"/>
          <w:color w:val="000000"/>
          <w:sz w:val="28"/>
          <w:szCs w:val="28"/>
          <w:lang w:eastAsia="ru-RU"/>
        </w:rPr>
        <w:t>«О национальных целях и стратегических задачах развития Российской Федерации на период до 2024 года») до 2024 года перед отраслью поставлена задача нарастить объём экспорта химической продукции до уровня 34 млрд долл. США, что почти в два раза превышает уровень объемов экспортных поставок 2017 года (17,3 млрд долл. США).</w:t>
      </w:r>
    </w:p>
    <w:p w14:paraId="3113DA61" w14:textId="77777777" w:rsidR="0050661D" w:rsidRPr="0050661D" w:rsidRDefault="0050661D" w:rsidP="0050661D">
      <w:p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Ожидается, что достижение установленных значений экспорта продукции химической промышленности будет осуществляться за счёт успешной реализации мероприятий «дорожной карты»</w:t>
      </w:r>
      <w:r w:rsidRPr="0050661D">
        <w:rPr>
          <w:rFonts w:ascii="Times New Roman" w:eastAsia="Times New Roman" w:hAnsi="Times New Roman" w:cs="Times New Roman"/>
          <w:b/>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первоочередных мер по совершенствованию отраслевого регулирования, направленных на повышение конкурентоспособности химической продукции, которая разрабатывается в рамках национального проекта «Международная кооперация и экспорт», а также за счёт модернизации действующих мощностей и создания новых химических производств, ориентированных на экспорт. Сегодня это порядка 40 приоритетных проектов с общим объемом инвестиций более 600 млрд руб.</w:t>
      </w:r>
    </w:p>
    <w:p w14:paraId="61AD7BC0"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лесопромышленного комплекса</w:t>
      </w:r>
    </w:p>
    <w:p w14:paraId="57715DA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продукции лесопромышленного комплекса в 2018 г. относительно 2017 г. по видам деятельности составил: </w:t>
      </w:r>
    </w:p>
    <w:p w14:paraId="33228E8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«обработка древесины и производство изделий из дерева и пробки, кроме мебели, производство изделий из соломки и материалов для плетения» – 110,6%;</w:t>
      </w:r>
    </w:p>
    <w:p w14:paraId="4FC2E07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«производство бумаги и бумажных изделий» - 112,6%;</w:t>
      </w:r>
    </w:p>
    <w:p w14:paraId="0229B54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«производство мебели» – 105,5%.</w:t>
      </w:r>
    </w:p>
    <w:p w14:paraId="151D522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Объем отгруженных товаров собственного производства лесопромышленного комплекса в 2018 г. составил 1 805 млрд руб., или 112% от объема отгрузки </w:t>
      </w:r>
    </w:p>
    <w:p w14:paraId="20E522F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2017 года.</w:t>
      </w:r>
    </w:p>
    <w:p w14:paraId="117C5B0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Сохраняется значительное присутствие малого бизнеса в сегменте пиломатериалов.</w:t>
      </w:r>
    </w:p>
    <w:p w14:paraId="6ABD76A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Перспективы развития ЛПК обусловлены значительным объемом природных ресурсов. Однако при оценке потенциала и определении задач следует учитывать ограничения, накладываемые доступностью имеющихся ресурсов, а также объемами потенциальных рынков сбыта и возможностями российских компаний конкурировать на них при существующей структуре издержек.</w:t>
      </w:r>
    </w:p>
    <w:p w14:paraId="017D033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Основными регионами производства целлюлозы являются северо-запад Российской Федерации (Архангельская область, Республики Коми и Карелия) и южные районы Сибири (Иркутский край). Отрасль достаточно сконцентрирована и поделена между несколькими крупными холдингами. </w:t>
      </w:r>
    </w:p>
    <w:p w14:paraId="33F0163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варки целлюлозы в России в 2018 году увеличился на 3,1% и составил 8,6 млн т., что ставит ее на 8 место в мире. Большая часть данной целлюлозы используется в дальнейших переделах. Российская целлюлоза является одной из наиболее конкурентных по цене в Китае, что создает потенциал по расширению присутствия.</w:t>
      </w:r>
    </w:p>
    <w:p w14:paraId="1C91044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Отраслевой план мероприятий по импортозамещению ЛПК Российской Федерации, утвержденный приказом Минпромторга России от 14.12.2017 </w:t>
      </w:r>
      <w:r w:rsidRPr="0050661D">
        <w:rPr>
          <w:rFonts w:ascii="Times New Roman" w:eastAsia="Times New Roman" w:hAnsi="Times New Roman" w:cs="Times New Roman"/>
          <w:sz w:val="28"/>
          <w:szCs w:val="28"/>
          <w:lang w:eastAsia="ru-RU"/>
        </w:rPr>
        <w:br/>
        <w:t>№ 4414, представлен 8 технологическими направлениями.</w:t>
      </w:r>
    </w:p>
    <w:p w14:paraId="025E54B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01.01.2019 в реализацию проектов в рамках плана по импортозамещению в ЛПК фактически инвестировано 117,9 млрд рублей, в том числе за счет:</w:t>
      </w:r>
    </w:p>
    <w:p w14:paraId="77E52A7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собственных средств организаций – 33,3 млрд рублей (28 %);</w:t>
      </w:r>
    </w:p>
    <w:p w14:paraId="2D9BE77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заемных средств – 83,5 млрд рублей (71 %);</w:t>
      </w:r>
    </w:p>
    <w:p w14:paraId="510BEF0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бюджетных средств – 1,1 млрд рублей (1 %).</w:t>
      </w:r>
    </w:p>
    <w:p w14:paraId="51DE238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Снижению доли импорта способствовал запуск и выход на производственные мощности следующих проектов в ЛПК: по производству плит ДСП – 3 проекта (ООО «Увадрев – Холдинг» (Удмуртская Республика), ООО «Томлесдрев» (Томская область) ООО «Уфимский фанерный комбинат» (Республика Башкортостан)), по производству плит OSB – 2 проекта (ОАО «Нововятский лыжный комбинат» (Кировская область), ООО «СТОД» (Тверская область)), по производству мебели – 2 проекта (ПАО «Глазовская мебельная фабрика (Удмуртская Республика).</w:t>
      </w:r>
    </w:p>
    <w:p w14:paraId="5206DF0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Дальнейшее развитие производств будет следовать за появлением дополнительного спроса. Наибольшим потенциалом для этого обладают сегменты макулатурного и потребительского картона, а также санитарно-гигиенических изделий (СГИ).</w:t>
      </w:r>
    </w:p>
    <w:p w14:paraId="6CA693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Россия является крупным игроком на экспортном рынке пиломатериалов, уступая по этому показателю только Канаде. Основные потоки российской продукции: Китай и Северная Африка (преимущественно Египет), страны СНГ и Япония. </w:t>
      </w:r>
    </w:p>
    <w:p w14:paraId="4D8459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Крупнейшей продуктовой группой сегмента древесных плит является ДСП, поскольку они активно используются при производстве мебели низкого ценового сегмента. Экспортные возможности данного продукта ограничиваются сильным влиянием транспортных издержек на себестоимость продукции. </w:t>
      </w:r>
    </w:p>
    <w:p w14:paraId="69772FA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Другим крупным сегментом являются плиты MDF/HDF, спрос на который в последние годы растет ввиду быстрого распространения ламинированных полов и частичного вытеснения фанеры и ДСП при производстве мебели.</w:t>
      </w:r>
    </w:p>
    <w:p w14:paraId="1C6BC30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Рынок плит OSB в последние годы стабилизировался, сравнявшись с темпами роста рынка деревянного домостроения. Дальнейший ввод мощностей перейдет к перепроизводству и ценовой конкуренции. Основной объем мощностей вводится зарубежной компаний за счет локализации производств крупного импортера Kronspan.</w:t>
      </w:r>
    </w:p>
    <w:p w14:paraId="6D25C7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потенциал развития сегмента древесных плит ограничен объемом потребления внутреннего рынка и рынков стран СНГ и Восточной Европы, и до 2030 г. не планируется кардинальных изменений в сегменте.</w:t>
      </w:r>
    </w:p>
    <w:p w14:paraId="5D6618A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Схожие проблемы присутствуют и в сегментах конечной продукции механической деревообработки – мебели и деревянного домостроения.</w:t>
      </w:r>
    </w:p>
    <w:p w14:paraId="30CDDA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Россия является достаточно крупным производителем пеллет, входя в 10 крупнейших стран-экспортеров данного продукта. Все предприятия сегмента ориентированы исключительно на внешний рынок, поскольку в России пеллеты в отоплении практически не используются. Большинство заводов по производству пеллет сосредоточены в Северо-Западном регионе и ориентированы на крупный рынок Европы, при этом мощности недозагружены. Возможности по росту внутреннего рынка крайне ограничены в силу высокой стоимости переключения на использование пеллет с дров и природного газа.</w:t>
      </w:r>
    </w:p>
    <w:p w14:paraId="6434D9D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можно выделить ряд ключевых проблем, создающих барьеры для развития промышленности:</w:t>
      </w:r>
    </w:p>
    <w:p w14:paraId="5A9597A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капитальные затраты на строительство новых производств;</w:t>
      </w:r>
    </w:p>
    <w:p w14:paraId="37E86C6A"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недостаточное развитие научного и технологического потенциала;</w:t>
      </w:r>
    </w:p>
    <w:p w14:paraId="6A93EA8F"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цены на электроэнергию и железнодорожные перевозки, недостаток транспортно-логистической инфраструктуры, сложность ее расширения и обеспечения доступа к ней;</w:t>
      </w:r>
    </w:p>
    <w:p w14:paraId="479A57CD"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недостаточная емкость внутреннего рынка.</w:t>
      </w:r>
    </w:p>
    <w:p w14:paraId="072723E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необходимо отметить наличие экологических рисков, связанных с действием двух групп факторов: природных (пожары, лесные болезни, вредные организмы) и антропогенных. Снижению экологических рисков способствуют мероприятия по развитию лесного хозяйства, расширению борьбы с пожарами, государственной природоохранной деятельности и сертификации российских предприятий. </w:t>
      </w:r>
    </w:p>
    <w:p w14:paraId="0397F80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поддержки отрасли реализуются мероприятия по субсидированию организаций лесопромышленного комплекса в рамках государственной программы Российской Федерации «Развитие промышленности и повышение ее конкурентоспособности».</w:t>
      </w:r>
    </w:p>
    <w:p w14:paraId="7813127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продолжалась работа в рамках постановления Правительства Российской Федерации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 Реализация приоритетных инвестиционных проектов позволит увеличить глубокую переработку древесины, объемы производства основных видов лесоматериалов, а также обеспечить рост занятости в деревообрабатывающей отрасли.</w:t>
      </w:r>
    </w:p>
    <w:p w14:paraId="0EB8249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дальнейшее развитие лесопромышленного комплекса России связано с реализацией экспортного потенциала и роста внутреннего рынка.</w:t>
      </w:r>
    </w:p>
    <w:p w14:paraId="49617CAB"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нефтегазового машиностроения</w:t>
      </w:r>
    </w:p>
    <w:p w14:paraId="3BF8799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Нефтегазовое машиностроение является отраслью машиностроения, производящей технологическое оборудование, а также специальные комплектные технологические линии и установки для нефтехимической, нефтяной и газовой промышленностей.</w:t>
      </w:r>
    </w:p>
    <w:p w14:paraId="465DB56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Объём рынка нефтегазового оборудования за 2018 год составил 485,7 млрд руб., что на 1,3% выше, чем за тот же период в 2017 году. </w:t>
      </w:r>
    </w:p>
    <w:p w14:paraId="1404191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государственной службы статистики, объём внутреннего производства за 2018 год</w:t>
      </w:r>
      <w:r w:rsidR="005729AC">
        <w:rPr>
          <w:rFonts w:ascii="Times New Roman" w:eastAsia="Times New Roman" w:hAnsi="Times New Roman" w:cs="Times New Roman"/>
          <w:sz w:val="28"/>
          <w:szCs w:val="28"/>
          <w:lang w:eastAsia="ru-RU"/>
        </w:rPr>
        <w:t xml:space="preserve"> к предыдущему году увеличился </w:t>
      </w:r>
      <w:r w:rsidRPr="0050661D">
        <w:rPr>
          <w:rFonts w:ascii="Times New Roman" w:eastAsia="Times New Roman" w:hAnsi="Times New Roman" w:cs="Times New Roman"/>
          <w:sz w:val="28"/>
          <w:szCs w:val="28"/>
          <w:lang w:eastAsia="ru-RU"/>
        </w:rPr>
        <w:t xml:space="preserve">на 1,8% и составил 261,6 млрд руб. (в тот же период 2017 года – 257,1 млрд руб.). </w:t>
      </w:r>
    </w:p>
    <w:p w14:paraId="7C4257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Минпромторгом России были поддержаны предприятия нефтегазового машиностроения в рамках реализации следующих механизмов господдержки:</w:t>
      </w:r>
    </w:p>
    <w:p w14:paraId="1834D6A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реализации постановления Правительства Российской Федерации от 25.05.2017 № 634 принято решение о субсидировании 10 российских организаций посредством компенсации части затрат на производство и реализацию пилотных партий средств производства пот</w:t>
      </w:r>
      <w:r w:rsidR="005729AC">
        <w:rPr>
          <w:rFonts w:ascii="Times New Roman" w:eastAsia="Times New Roman" w:hAnsi="Times New Roman" w:cs="Times New Roman"/>
          <w:sz w:val="28"/>
          <w:szCs w:val="28"/>
          <w:lang w:eastAsia="ru-RU"/>
        </w:rPr>
        <w:t xml:space="preserve">ребителям в 2018 году на общую </w:t>
      </w:r>
      <w:r w:rsidRPr="0050661D">
        <w:rPr>
          <w:rFonts w:ascii="Times New Roman" w:eastAsia="Times New Roman" w:hAnsi="Times New Roman" w:cs="Times New Roman"/>
          <w:sz w:val="28"/>
          <w:szCs w:val="28"/>
          <w:lang w:eastAsia="ru-RU"/>
        </w:rPr>
        <w:t>сумму 0,468 млрд руб.;</w:t>
      </w:r>
    </w:p>
    <w:p w14:paraId="3E1B825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государственной программы Российской Федерации «Развитие судостроения и техники для освоения шельфовых месторождений на 2015 – 2030 годы» продолжилась реализация первоочередных проектов в рамках государственной программы Российской Федерации «Развитие судостроения и техники для освоения шельфовых месторождений на 2015-2030 годы», на создание которых в рамках календарного года выделено 2312,2 млн руб.</w:t>
      </w:r>
    </w:p>
    <w:p w14:paraId="4063E38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постановления Правительства Российской Федерации от 30.12.2013 № 1312 принято решение о субсидировании затрат на проведение научно-исследовательских и опытно-конструкторских работ в 2018 году                         12 предприятиям нефтегазового машиностроения в размере 364,5 млн руб.</w:t>
      </w:r>
    </w:p>
    <w:p w14:paraId="531C740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Фондом развития промышленности в части нефтегазового машиностроения в 2018 г. было поддержано 14 проектов на сумму 3480,3 млн руб.</w:t>
      </w:r>
    </w:p>
    <w:p w14:paraId="059D17E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14.12.2018 проведено заседание Межведомственной комиссии по специальным инвестиционным контрактам, на котором принято положительное решение о заключении СПИК с ООО «Газпромнефть-Каталитические системы» и Омской областью для реализации инвестиционного проекта «Создание и освоение производства катализаторов по адресу: Россия, г. Омск, проспект Губкина, дом 1»</w:t>
      </w:r>
    </w:p>
    <w:p w14:paraId="76AAB21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Постановлением Правительства Российской Федерации от 31.08.2017</w:t>
      </w:r>
      <w:r w:rsidRPr="0050661D">
        <w:rPr>
          <w:rFonts w:ascii="Times New Roman" w:eastAsia="Times New Roman" w:hAnsi="Times New Roman" w:cs="Times New Roman"/>
          <w:sz w:val="28"/>
          <w:szCs w:val="28"/>
          <w:lang w:eastAsia="ru-RU"/>
        </w:rPr>
        <w:br/>
        <w:t xml:space="preserve">№ 1064 «О внесении изменений в постановление Правительства Российской Федерации от 21.04.2014 № 366» внесены изменения в постановление Правительства Российской Федерации от 21.04.2014 № 366 «Об утверждении государственной программы Российской Федерации «Социально-экономическое развитие Арктической зоны Российской Федерации на период до 2020 года». Данным постановлением утверждена подпрограмма 3 «Создание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 (далее – подпрограмма). </w:t>
      </w:r>
    </w:p>
    <w:p w14:paraId="0D7EE68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Реализация подпрограммы позволит сократить долю импортной продукции для освоения месторождений полезных ископаемых Арктической зоны к 2025 году с 85% до 65%, к 2030 году – до 50%. </w:t>
      </w:r>
    </w:p>
    <w:p w14:paraId="585EE90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Предусмотренные бюджетные ассигнования составляют 23,75 млрд руб., из них финансирование части затрат на научно-исследовательские работы (НИР) по разработке стратегических документов и технических заданий составит 250 млн руб., финансирование затрат на создание испытательных полигонов 5,2 млрд руб., финансирование части затрат на научно-исследовательские и опытно-конструкторские работы (НИОКР) по созданию опытных образцов оборудования для проведения геологоразведочных работ (на суше и на море) и промышленного освоения месторождений углеводородного сырья 18,3 млрд рублей.</w:t>
      </w:r>
    </w:p>
    <w:p w14:paraId="4C1E10B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30.08.2018 Заместителем Председателя Правительства Российской Федерации Д.Н. Козаком утвержден план («дорожная карта») реализации первоочередных мер по локализации критически важного оборудования для средне- и крупнотоннажного производства сжиженного природного газа (далее – СПГ) и строительства осуществляющих транспортировку СПГ судов-газовозов.</w:t>
      </w:r>
    </w:p>
    <w:p w14:paraId="387473F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Дорожная карта предусматривает мероприятия по освоению критических технологий (проведение НИОКР, реализация технических проектов, создание стендовой базы), разработке стандартов в области технологий и техники нефтепереработки, нефтехимии, переработки и сжижения природного газа, реализации комплекса мер по созданию центров компетенций в области инжиниринга, созданию механизмов по стимулированию спроса, а также подписанию соглашений о намерениях, которые предусматривают размещение заказов на разработанное в рамках дорожной карты оборудование.</w:t>
      </w:r>
    </w:p>
    <w:p w14:paraId="669237C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 целью развития отечественного производства оборудования нефтегазового машиностроения Минпромторг России в 2019 году планирует решить ряд следующих ключевых задач и реализовать ключевые проекты:</w:t>
      </w:r>
    </w:p>
    <w:p w14:paraId="1273A89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а</w:t>
      </w:r>
      <w:r w:rsidRPr="0050661D">
        <w:rPr>
          <w:rFonts w:ascii="Times New Roman" w:eastAsia="Times New Roman" w:hAnsi="Times New Roman" w:cs="Times New Roman"/>
          <w:bCs/>
          <w:sz w:val="28"/>
          <w:szCs w:val="28"/>
          <w:lang w:eastAsia="ru-RU"/>
        </w:rPr>
        <w:t>ктуализация Плана мероприятий по импортозамещению в отрасли нефтегазового машиностроения;</w:t>
      </w:r>
    </w:p>
    <w:p w14:paraId="7A1758A8"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до конца первого полугодия 2019 года конкурсных процедур по выбору головного исполнителя по разработке оборудования для проведения гидравлического разрыва пласта;</w:t>
      </w:r>
    </w:p>
    <w:p w14:paraId="6CB120E3"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процедуры аккредитации не менее 5 российских компаний в вендор-листах крупнейших западных лицензиаров;</w:t>
      </w:r>
    </w:p>
    <w:p w14:paraId="6247880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создание опытных образцов элементов подводно-добычного комплекса;</w:t>
      </w:r>
    </w:p>
    <w:p w14:paraId="6D3AF745"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w:t>
      </w:r>
      <w:r w:rsidRPr="0050661D">
        <w:rPr>
          <w:rFonts w:ascii="Times New Roman" w:eastAsia="Times New Roman" w:hAnsi="Times New Roman" w:cs="Times New Roman"/>
          <w:bCs/>
          <w:sz w:val="28"/>
          <w:szCs w:val="28"/>
          <w:lang w:eastAsia="ru-RU"/>
        </w:rPr>
        <w:tab/>
        <w:t>запуск пилотного проекта маркировки счётчиков газа.</w:t>
      </w:r>
    </w:p>
    <w:p w14:paraId="0A2CF3C7"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тяжелого машиностроения</w:t>
      </w:r>
    </w:p>
    <w:p w14:paraId="7990C75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Тяжелое машиностроение является отраслью промышленности, которая обеспечивает функционирование связанных с ней ключевых отраслей экономики Российской Федерации, прежде всего горнодобывающей и металлургической. Кроме этого, отрасль обеспечивает оборудованием цементную отрасль и производит тяжелые краны для машиностроения и металлургии, а также лифты. </w:t>
      </w:r>
    </w:p>
    <w:p w14:paraId="423D7C8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среднем по тяжелому машиностроению доля импорта в 2018 году составила 30,9 %, сохраняются значительные объемы импортных поставок подъемно-транспортного оборудования - более 50% </w:t>
      </w:r>
    </w:p>
    <w:p w14:paraId="4BDFFC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тяжелого машиностроения за 2018 года составил 278,6 млрд рублей, что на 2,6 % выше, чем в 2017 году и свидетельствует о повышении конкурентоспособности отечественного оборудования.</w:t>
      </w:r>
    </w:p>
    <w:p w14:paraId="6AE954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службы государственной статистики, объём внутреннего производства в 2018 году к предыдущему году в целом по отрасли вырос на 4,6 % и составил 209,2 млрд руб. (2017 год – 199,9 млрд руб.).</w:t>
      </w:r>
    </w:p>
    <w:p w14:paraId="145EFFB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проводит работу по поддержке и развитию отрасли. Осуществляется поддержка машиностроительных предприятий, реализующих план мероприятий по импортозамещению в отрасли тяжелого машиностроения Российской Федерации, утвержденный приказом Минпромторга России от 31.03.2015 № 654, а также в рамках реализации подпрограммы 2 «Развитие производства средств производства» государственной программы Российской Федерации «Развитие промышленности и повышение ее конкурентоспособности», утвержденной постановлением Правительства Российской Федерации от 15.04.2014 № 328, следующими механизмами государственной поддержки:</w:t>
      </w:r>
    </w:p>
    <w:p w14:paraId="1B86029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рамках реализации постановления Правительства Российской Федерации от 25.05.2017 № 634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в 2018 году 3 проектов на общую сумму 0,0715 млрд руб.</w:t>
      </w:r>
    </w:p>
    <w:p w14:paraId="7F1E9AF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ходе реализации постановления Прав</w:t>
      </w:r>
      <w:r w:rsidR="005729AC">
        <w:rPr>
          <w:rFonts w:ascii="Times New Roman" w:eastAsia="Times New Roman" w:hAnsi="Times New Roman" w:cs="Times New Roman"/>
          <w:sz w:val="28"/>
          <w:szCs w:val="28"/>
          <w:lang w:eastAsia="ru-RU"/>
        </w:rPr>
        <w:t xml:space="preserve">ительства Российской Федерации </w:t>
      </w:r>
      <w:r w:rsidRPr="0050661D">
        <w:rPr>
          <w:rFonts w:ascii="Times New Roman" w:eastAsia="Times New Roman" w:hAnsi="Times New Roman" w:cs="Times New Roman"/>
          <w:sz w:val="28"/>
          <w:szCs w:val="28"/>
          <w:lang w:eastAsia="ru-RU"/>
        </w:rPr>
        <w:t>от 30.12.2013 № 1312 принято решение о поддержке российских организаций путем субсидирования части затрат на проведение научно-исследовательских и опытно-конструкторских работ в 2018 году в рамках 1 проектов на общую сумму 130 млн руб.</w:t>
      </w:r>
    </w:p>
    <w:p w14:paraId="542C11C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2016-2018 г. Фондом развития промышленности подписаны договоры на предоставление льготного займа по проектам на общую сумму более 2 млрд руб.</w:t>
      </w:r>
    </w:p>
    <w:p w14:paraId="39B3F37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Среди значимых реализуемых в настоящее время проектов отрасли следуют отметить:</w:t>
      </w:r>
    </w:p>
    <w:p w14:paraId="478FD7B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Проект модернизация и реконструкция металлургического завода «Антильяна де Асеро им. Хосе Марти» (реализуется I этап). Объем финансирования: 111 млн долл. Срок реализации: 2016-2021 гг.</w:t>
      </w:r>
    </w:p>
    <w:p w14:paraId="7453B6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первого этапа планируется к поставке основное технологическое оборудование: прокатный стан, краны металлургические, газоочистка, оборудование водоподготовки, трансформаторы, металл для ремонта цехов.</w:t>
      </w:r>
    </w:p>
    <w:p w14:paraId="4A90854A" w14:textId="77777777" w:rsidR="0050661D" w:rsidRPr="0050661D" w:rsidRDefault="0050661D" w:rsidP="005729AC">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сегодняшний момент проект развивается динамично и находится на стадии завершения. (подписаны 49 спецификаций на о</w:t>
      </w:r>
      <w:r w:rsidR="005729AC">
        <w:rPr>
          <w:rFonts w:ascii="Times New Roman" w:eastAsia="Times New Roman" w:hAnsi="Times New Roman" w:cs="Times New Roman"/>
          <w:sz w:val="28"/>
          <w:szCs w:val="28"/>
          <w:lang w:eastAsia="ru-RU"/>
        </w:rPr>
        <w:t xml:space="preserve">бщую сумму 105,7 млн долл. США </w:t>
      </w:r>
      <w:r w:rsidRPr="0050661D">
        <w:rPr>
          <w:rFonts w:ascii="Times New Roman" w:eastAsia="Times New Roman" w:hAnsi="Times New Roman" w:cs="Times New Roman"/>
          <w:sz w:val="28"/>
          <w:szCs w:val="28"/>
          <w:lang w:eastAsia="ru-RU"/>
        </w:rPr>
        <w:t>(в процессе согласования и подписания находятся 2 спецификации на сумму 5,39 млн долл. США). Произведена комплексная отгрузка оборудования, оказаны услуги и произведены работы на сумму 20 млн долл. США.</w:t>
      </w:r>
    </w:p>
    <w:p w14:paraId="255637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Межправительственной Российско-Кубинской комиссии по торгово-экономическому и научно-техническому сотрудничеству 30.10.2018 подписано дополнительное соглашение к общему договору от 22.04.2015, направленное на продолжение совместной работы по реализации второго этапа (на общую сумму 66 млн долл. США).</w:t>
      </w:r>
    </w:p>
    <w:p w14:paraId="77A8B8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Во втором этапе проекта (срок реализации: 2019-2023 гг., объем финансирования: 66 млн долл.) планируется поставка тяжелых металлургических кранов, машины непрерывного литья заготовок, энергетического оборудования.</w:t>
      </w:r>
    </w:p>
    <w:p w14:paraId="1ECC229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Срок реализации второго этапа: 3 года с момента начала финансирования.</w:t>
      </w:r>
    </w:p>
    <w:p w14:paraId="1856B18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ООО «Средняя Волга» реализует производство импортозамещающего инновационного оборудования для поточного реагентного способа очистки промышленных сточных вод. Объем финансирования: 165 млн руб. Срок реализации: сентябрь 2021 г.</w:t>
      </w:r>
    </w:p>
    <w:p w14:paraId="50E538E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Проект предусматривает организацию серийного производства импортозамещающего инновационного оборудования для поточного реагентного способа очистки промышленных сточных вод. </w:t>
      </w:r>
      <w:r w:rsidRPr="0050661D">
        <w:rPr>
          <w:rFonts w:ascii="Times New Roman" w:eastAsia="Times New Roman" w:hAnsi="Times New Roman" w:cs="Times New Roman"/>
          <w:sz w:val="28"/>
          <w:szCs w:val="28"/>
          <w:lang w:eastAsia="ru-RU"/>
        </w:rPr>
        <w:tab/>
      </w:r>
    </w:p>
    <w:p w14:paraId="04C4938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ПАО «Уралмашзавод» ведет работу по разработке и производству электрического карьерного экскаватора с полезной нагрузкой в ковше </w:t>
      </w:r>
      <w:r w:rsidRPr="0050661D">
        <w:rPr>
          <w:rFonts w:ascii="Times New Roman" w:eastAsia="Times New Roman" w:hAnsi="Times New Roman" w:cs="Times New Roman"/>
          <w:sz w:val="28"/>
          <w:szCs w:val="28"/>
          <w:lang w:eastAsia="ru-RU"/>
        </w:rPr>
        <w:br/>
        <w:t xml:space="preserve">60 тонн предназначенного для работы в тяжелых условиях железорудных карьеров в составе экскаваторно-автомобильных комплексов с использованием автосамосвалов грузоподъемностью 180-240 тонн. ЭКГ </w:t>
      </w:r>
      <w:r w:rsidR="005729AC">
        <w:rPr>
          <w:rFonts w:ascii="Times New Roman" w:eastAsia="Times New Roman" w:hAnsi="Times New Roman" w:cs="Times New Roman"/>
          <w:sz w:val="28"/>
          <w:szCs w:val="28"/>
          <w:lang w:eastAsia="ru-RU"/>
        </w:rPr>
        <w:t xml:space="preserve">60 тонн. Объем финансирования: </w:t>
      </w:r>
      <w:r w:rsidRPr="0050661D">
        <w:rPr>
          <w:rFonts w:ascii="Times New Roman" w:eastAsia="Times New Roman" w:hAnsi="Times New Roman" w:cs="Times New Roman"/>
          <w:sz w:val="28"/>
          <w:szCs w:val="28"/>
          <w:lang w:eastAsia="ru-RU"/>
        </w:rPr>
        <w:t>70 млн руб. Срок реализации: июнь 2020 года.</w:t>
      </w:r>
    </w:p>
    <w:p w14:paraId="045BFF2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ПАО «Уралмашзавод» реализует проект по разработке и производству опытного образца гидравлического карьерного экскаватора с ковшом типа обратная лопата объемом 16м3 УГЭ-300. Объем финансирования: 75 млн руб. Ввод в опытно-промышленную эксплуатацию: февраль 2020 г.</w:t>
      </w:r>
    </w:p>
    <w:p w14:paraId="585756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АО «Копейский машзавод» начал проект по модернизации мощностей и выпуску комплектующих для горнодобывающих машин – электрических станций и систем управления. Объем финансирования: 5</w:t>
      </w:r>
      <w:r w:rsidR="005729AC">
        <w:rPr>
          <w:rFonts w:ascii="Times New Roman" w:eastAsia="Times New Roman" w:hAnsi="Times New Roman" w:cs="Times New Roman"/>
          <w:sz w:val="28"/>
          <w:szCs w:val="28"/>
          <w:lang w:eastAsia="ru-RU"/>
        </w:rPr>
        <w:t xml:space="preserve">10,2 млн руб. Срок реализации: </w:t>
      </w:r>
      <w:r w:rsidRPr="0050661D">
        <w:rPr>
          <w:rFonts w:ascii="Times New Roman" w:eastAsia="Times New Roman" w:hAnsi="Times New Roman" w:cs="Times New Roman"/>
          <w:sz w:val="28"/>
          <w:szCs w:val="28"/>
          <w:lang w:eastAsia="ru-RU"/>
        </w:rPr>
        <w:t>4 квартал 2023 г.</w:t>
      </w:r>
    </w:p>
    <w:p w14:paraId="298EF75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исполнения решений совещания 05.02.2019</w:t>
      </w:r>
      <w:r w:rsidRPr="0050661D">
        <w:rPr>
          <w:rFonts w:ascii="Times New Roman" w:eastAsia="Times New Roman" w:hAnsi="Times New Roman" w:cs="Times New Roman"/>
          <w:sz w:val="28"/>
          <w:szCs w:val="28"/>
          <w:lang w:eastAsia="ru-RU"/>
        </w:rPr>
        <w:br/>
        <w:t xml:space="preserve">под руководством Председателя Правительства Российской Федерации </w:t>
      </w:r>
      <w:r w:rsidRPr="0050661D">
        <w:rPr>
          <w:rFonts w:ascii="Times New Roman" w:eastAsia="Times New Roman" w:hAnsi="Times New Roman" w:cs="Times New Roman"/>
          <w:sz w:val="28"/>
          <w:szCs w:val="28"/>
          <w:lang w:eastAsia="ru-RU"/>
        </w:rPr>
        <w:br/>
        <w:t>Д.А. Медведева «О развитии производства промышленной продукции, необходимой для обеспечения реализации национального проекта «Жилье и городская среда» Минпромторг России подготовит предложения по проведению пилотного эксперимента по маркировке лифтового оборудования и средств учета коммунальных ресурсов. Срок реализации: 2019-2020 гг.</w:t>
      </w:r>
    </w:p>
    <w:p w14:paraId="6CB4956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Отмечаем, что основной задачей развития тяжелого машиностроения </w:t>
      </w:r>
      <w:r w:rsidRPr="0050661D">
        <w:rPr>
          <w:rFonts w:ascii="Times New Roman" w:eastAsia="Times New Roman" w:hAnsi="Times New Roman" w:cs="Times New Roman"/>
          <w:sz w:val="28"/>
          <w:szCs w:val="28"/>
          <w:lang w:eastAsia="ru-RU"/>
        </w:rPr>
        <w:br/>
        <w:t>в 2019-2024 гг. является выход на качественно новый уровень конкурентоспособности отечественной продукции на глобальных рынках за счет развития поставок комплексных технологических решений добывающим компаниям и повышения уровня цифровизации отечественной продукции.</w:t>
      </w:r>
    </w:p>
    <w:p w14:paraId="66D4A2D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Указом Президента Российской Федерации от 07.05.2018 № 204 </w:t>
      </w:r>
      <w:r w:rsidRPr="0050661D">
        <w:rPr>
          <w:rFonts w:ascii="Times New Roman" w:eastAsia="Times New Roman" w:hAnsi="Times New Roman" w:cs="Times New Roman"/>
          <w:sz w:val="28"/>
          <w:szCs w:val="28"/>
          <w:lang w:eastAsia="ru-RU"/>
        </w:rPr>
        <w:br/>
        <w:t xml:space="preserve">«О национальных целях и стратегических задачах развития Российской Федерации на период до 2024 г.» (далее – указ Президента № 204) определены приоритеты развития реального сектора, включая развитие экспорта, в том числе тяжелого машиностроения, и определяет необходимость корректировки отраслевых документов стратегического планирования с учетом формирования плана мероприятий по организацией производства отечественного оборудования. </w:t>
      </w:r>
    </w:p>
    <w:p w14:paraId="0677762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связи с этим в настоящее время Минпромторгом России организована работа по актуализации Стратегии развития тяжелого машиностроения на период до 2025 года и на перспективу до 2035 года, включающую в себя проведение анализа динамики производства и экспорта продукции тяжелого машиностроения, перспектив развития спроса на них на внутреннем и мировом рынках, а также проведению оценки текущего уровня конкурентоспособности отечественного предложения с целью обеспечения взаимосвязи Стратегии с основными документами, определяющими долгосрочное развитие промышленных предприятий, включая предприятия тяжелого машиностроения. </w:t>
      </w:r>
    </w:p>
    <w:p w14:paraId="2FFCBF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данной работы также будут определены конкретные необходимые механизмы государственного стимулирования и поддержки развития отрасли, а также проведена оценка существующих барьеров, оказывающих негативное влияние на развитие производства отечественного оборудования. Отмечаем, что Рекомендации будут учтены в данной работе.  </w:t>
      </w:r>
    </w:p>
    <w:p w14:paraId="0E5A3BC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Минпромторг России ведет работу по реализации мероприятий развитию лифтовой отрасли и обновления лифтового парка страны с целью решения проблемы устаревшего парка лифтов в России. </w:t>
      </w:r>
    </w:p>
    <w:p w14:paraId="36B3689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решениями протокола совещания у Председателя Правительства Российской Федерации Д.А. Медведева от 05.02.2019 № ДМ-П9-7пр Минпромторгу России совместно с Минфином России, Минстроем России, Минэкономразвития России и ФАС России, при участии государственной корпорации развития «ВЭБ.РФ» и АО «ДОМ.РФ» поручено утвердить план мероприятий «дорожную карту» по развитию производства лифтового оборудования, предусмотрев в том числе мероприятия по консолидации производственных мощностей лифтостроительных предприятий и стимулированию спроса на внутреннем рынке конкурентоспособного лифтового оборудования.</w:t>
      </w:r>
    </w:p>
    <w:p w14:paraId="1BBFCD3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настоящее время Минпромторг России совместно с Центром развития перспективных технологий, оператором реализации единой национальной системы цифровой маркировки, разрабатывает «дорожную карту» по проведению пилотного эксперимента маркировки лифтового оборудования и средств учета коммунальных ресурсов.</w:t>
      </w:r>
    </w:p>
    <w:p w14:paraId="2830431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Важно отметить, что Минпромторгом России организована работа по обеспечению перехода промышленности Российской Федерации на принципы НДТ, в рамках национального проекта «Экология».</w:t>
      </w:r>
    </w:p>
    <w:p w14:paraId="5E8BC01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Разработан федеральный проект «Внедрение НДТ», с целью формирования отрасли экологического машиностроения, который включает ряд мероприятий, направленных на стимулирование производства и внедрение природоохранного оборудования, в том числе с целью повышения безопасности работы в шахтах.</w:t>
      </w:r>
    </w:p>
    <w:p w14:paraId="32545B2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федеральном проекте «Внедрение НДТ» предполагается реализовать ряд мероприятий, направленных на формирование и развитие отрасли экологического машиностроения:</w:t>
      </w:r>
    </w:p>
    <w:p w14:paraId="69393D6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плана мероприятий по импортозамещению в отрасли экологического машиностроения;</w:t>
      </w:r>
    </w:p>
    <w:p w14:paraId="53F69E7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программы развития производства отечественных автоматических средств контроля и учета показателей выбросов загрязняющих веществ, сбросов загрязняющих веществ.</w:t>
      </w:r>
    </w:p>
    <w:p w14:paraId="372B397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для стимулирования спроса на продукцию отрасли экологического машиностроения предполагается применение механизма субсидирования купонного дохода по облигациям (зеленая облигация), выпущенным в рамках реализации инвестиционных проектов по внедрению НДТ на объектах, оказывающих значительное негативное воздействие на окружающую среду, отнесенных к объектам I, II, III и IV категорий в соответствии с постановлением Правительства Российской Федерации от 28.09.2015 № 1029.</w:t>
      </w:r>
    </w:p>
    <w:p w14:paraId="10476C96" w14:textId="77777777" w:rsidR="0050661D" w:rsidRPr="0050661D" w:rsidRDefault="0050661D" w:rsidP="0050661D">
      <w:pPr>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Станкоинструментальная отрасль</w:t>
      </w:r>
    </w:p>
    <w:p w14:paraId="1F1D6360"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rPr>
      </w:pPr>
      <w:r w:rsidRPr="0050661D">
        <w:rPr>
          <w:rFonts w:ascii="Times New Roman" w:eastAsia="Times New Roman" w:hAnsi="Times New Roman" w:cs="Times New Roman"/>
          <w:color w:val="000000"/>
          <w:sz w:val="28"/>
          <w:szCs w:val="28"/>
        </w:rPr>
        <w:t>В России функционирует порядка 80 производителей металлообрабатывающего оборудования, доля крупнейшего отечественного игрока составляет порядка 15 %, в среднем рентабельнос</w:t>
      </w:r>
      <w:r w:rsidR="005729AC">
        <w:rPr>
          <w:rFonts w:ascii="Times New Roman" w:eastAsia="Times New Roman" w:hAnsi="Times New Roman" w:cs="Times New Roman"/>
          <w:color w:val="000000"/>
          <w:sz w:val="28"/>
          <w:szCs w:val="28"/>
        </w:rPr>
        <w:t xml:space="preserve">ть оценивается на уровне 3-4 %. </w:t>
      </w:r>
      <w:r w:rsidRPr="0050661D">
        <w:rPr>
          <w:rFonts w:ascii="Times New Roman" w:eastAsia="Times New Roman" w:hAnsi="Times New Roman" w:cs="Times New Roman"/>
          <w:color w:val="000000"/>
          <w:sz w:val="28"/>
          <w:szCs w:val="28"/>
        </w:rPr>
        <w:t xml:space="preserve">Открытие новых производственных предприятий в отрасли происходит недостаточно высокими темпами, при этом на рынке действует ряд недобросовестных поставщиков продукции, препятствующих развитию «здоровой» конкуренции на рынке. </w:t>
      </w:r>
    </w:p>
    <w:p w14:paraId="457A2C25"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Текущее положение станкоинструментальной промышленности обусловлено совокупностью причин, в том числе специфическими особенностями и сложностями рыночных условий. К основным внешним ограничениям развития конкуренции в отрасли относятся: низкая доступность финансирования, несовершенная система государственного регулирования, отсутствие (низкая конкурентоспособность) производства комплектующих.</w:t>
      </w:r>
    </w:p>
    <w:p w14:paraId="7AFC723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в отрасли можно наблюдать недостаточно высокий уровень конкуренции между внутренними игроками рынка, а также ряд существующих ограничений наравне конкурировать с мировыми лидерами по отдельным видам оборудования, комплектующих и инструмента. В связи с этим важной задачей государства в рамках реализации общей политики повышения конкурентоспособности отечественной продукции является обеспечение благоприятной конкурентной среды – снятие ограничений для привлечения инвестиций и развития конкуренции. На отраслевом уровне, в частности в станкоинструментальной промышленности, повышение конкуренции также является одним из неотъемлемых условий эффективного функционирования. </w:t>
      </w:r>
    </w:p>
    <w:p w14:paraId="41B67B9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стратегическими приоритетами развития станкоинструментальной отрасли является обеспечение лидерства российских компаний и увеличение количества «эффективных» игроков в отдельных нишах отрасли посредством поддержки инициатив «снизу» и стимулирования создания новых участников. </w:t>
      </w:r>
    </w:p>
    <w:p w14:paraId="10B091B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этой связи, в целях развития российской станкоинструментальной промышленности, создания новых отечественных производств и их поддержки Минпромторгом России реализуется комплекс мер государственной поддержки.</w:t>
      </w:r>
    </w:p>
    <w:p w14:paraId="60D22F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в Фонде развития промышленности в рамках программы «Станкостроение», направленной на поддержку технического перевооружения предприятий станкостроительной отрасли, подписан договор займа на сумму порядка 500 млн руб. по проекту АО «Полема», направленному на развитие порошковых материалов для станкостроения и высокотемпературных процессов.</w:t>
      </w:r>
    </w:p>
    <w:p w14:paraId="7A81D3DE" w14:textId="77777777" w:rsidR="0050661D" w:rsidRPr="0050661D" w:rsidRDefault="0050661D" w:rsidP="00F6030C">
      <w:pPr>
        <w:widowControl w:val="0"/>
        <w:numPr>
          <w:ilvl w:val="0"/>
          <w:numId w:val="39"/>
        </w:numPr>
        <w:spacing w:after="0" w:line="240" w:lineRule="auto"/>
        <w:ind w:left="0"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2018 году подписаны два договора займа на сумму 43 млн руб. (проекты ООО «Ремуниверсал» и ООО «ПК «Корстэл») по запущенной в 2017 году программе «Комплектующие изделия», в рамках которой предоставляются льготные займы на развитие рынка комплектующих. Учитывая присутствующую зависимость отечественного станкостроения от импортных комплектующих, подобные механизмы финансирования стимулируют создание производства комплектующих изделий в интересах отрасли и его более глубокую локализацию.</w:t>
      </w:r>
    </w:p>
    <w:p w14:paraId="61A9F58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в Фонде развития промышленности действует ряд других программ, которые эффективно работают в отрасли станкостроения. Так,</w:t>
      </w:r>
      <w:r w:rsidRPr="0050661D">
        <w:rPr>
          <w:rFonts w:ascii="Times New Roman" w:eastAsia="Times New Roman" w:hAnsi="Times New Roman" w:cs="Times New Roman"/>
          <w:sz w:val="28"/>
          <w:szCs w:val="28"/>
          <w:lang w:eastAsia="ru-RU"/>
        </w:rPr>
        <w:br/>
        <w:t xml:space="preserve">в 2018 году в рамках программы «Конверсия» </w:t>
      </w:r>
      <w:r w:rsidR="005729AC">
        <w:rPr>
          <w:rFonts w:ascii="Times New Roman" w:eastAsia="Times New Roman" w:hAnsi="Times New Roman" w:cs="Times New Roman"/>
          <w:sz w:val="28"/>
          <w:szCs w:val="28"/>
          <w:lang w:eastAsia="ru-RU"/>
        </w:rPr>
        <w:t xml:space="preserve">подписан договор займа на сумму </w:t>
      </w:r>
      <w:r w:rsidRPr="0050661D">
        <w:rPr>
          <w:rFonts w:ascii="Times New Roman" w:eastAsia="Times New Roman" w:hAnsi="Times New Roman" w:cs="Times New Roman"/>
          <w:sz w:val="28"/>
          <w:szCs w:val="28"/>
          <w:lang w:eastAsia="ru-RU"/>
        </w:rPr>
        <w:t>200 млн руб. по проекту АО «ИТО-Туламаш», направленному на модернизацию инструментального производства для выпуска высокотехнологичного и импортозамещающего режущего и мерительного инструмента.</w:t>
      </w:r>
    </w:p>
    <w:p w14:paraId="503CAB2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всего в 2018 г. подписаны договоры займа по 4 проектам</w:t>
      </w:r>
      <w:r w:rsidRPr="0050661D">
        <w:rPr>
          <w:rFonts w:ascii="Times New Roman" w:eastAsia="Times New Roman" w:hAnsi="Times New Roman" w:cs="Times New Roman"/>
          <w:sz w:val="28"/>
          <w:szCs w:val="28"/>
          <w:lang w:eastAsia="ru-RU"/>
        </w:rPr>
        <w:br/>
        <w:t>на общую сумму более 743 млн руб.</w:t>
      </w:r>
    </w:p>
    <w:p w14:paraId="428008E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постановления Правительства Российской Ф</w:t>
      </w:r>
      <w:r w:rsidR="005729AC">
        <w:rPr>
          <w:rFonts w:ascii="Times New Roman" w:eastAsia="Times New Roman" w:hAnsi="Times New Roman" w:cs="Times New Roman"/>
          <w:sz w:val="28"/>
          <w:szCs w:val="28"/>
          <w:lang w:eastAsia="ru-RU"/>
        </w:rPr>
        <w:t xml:space="preserve">едерации </w:t>
      </w:r>
      <w:r w:rsidRPr="0050661D">
        <w:rPr>
          <w:rFonts w:ascii="Times New Roman" w:eastAsia="Times New Roman" w:hAnsi="Times New Roman" w:cs="Times New Roman"/>
          <w:sz w:val="28"/>
          <w:szCs w:val="28"/>
          <w:lang w:eastAsia="ru-RU"/>
        </w:rPr>
        <w:t>от 25.05.2017 № 634 «О предоставлении субсидий из федерального бюджета российским организациям на компенсацию части затрат на производство и реализацию пилотных партий средств производства потребителям»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потребителям в 2018 году 17-ти проектов на общую сумму более 81 млн руб., что будет способствовать выходу на российский рынок новых продуктов и снижению импортной зависимости.</w:t>
      </w:r>
    </w:p>
    <w:p w14:paraId="44E3910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рамках реализации постановления Правительства Российской Федерации от 30.12.2013 № 1312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 принято решение о субсидировании российских организаций путем субсидирования части затрат на проведение научно-исследовательских и опытно-конструкторских работ в 2018 году 2-х проектов на общую сумму 210 млн руб.</w:t>
      </w:r>
    </w:p>
    <w:p w14:paraId="693F1846"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Железнодорожное машиностроение</w:t>
      </w:r>
    </w:p>
    <w:p w14:paraId="34931CC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pacing w:val="-1"/>
          <w:sz w:val="28"/>
          <w:szCs w:val="28"/>
          <w:lang w:eastAsia="ru-RU"/>
        </w:rPr>
      </w:pPr>
      <w:r w:rsidRPr="0050661D">
        <w:rPr>
          <w:rFonts w:ascii="Times New Roman" w:eastAsia="Times New Roman" w:hAnsi="Times New Roman" w:cs="Times New Roman"/>
          <w:color w:val="000000"/>
          <w:spacing w:val="-1"/>
          <w:sz w:val="28"/>
          <w:szCs w:val="28"/>
          <w:lang w:eastAsia="ru-RU"/>
        </w:rPr>
        <w:t xml:space="preserve">В целях создания условий для развития конкуренции в </w:t>
      </w:r>
      <w:r w:rsidRPr="0050661D">
        <w:rPr>
          <w:rFonts w:ascii="Times New Roman" w:eastAsia="Times New Roman" w:hAnsi="Times New Roman" w:cs="Times New Roman"/>
          <w:sz w:val="28"/>
          <w:szCs w:val="28"/>
          <w:lang w:eastAsia="ru-RU"/>
        </w:rPr>
        <w:t>железнодорожном машиностроении,</w:t>
      </w:r>
      <w:r w:rsidRPr="0050661D">
        <w:rPr>
          <w:rFonts w:ascii="Times New Roman" w:eastAsia="Times New Roman" w:hAnsi="Times New Roman" w:cs="Times New Roman"/>
          <w:color w:val="000000"/>
          <w:spacing w:val="-1"/>
          <w:sz w:val="28"/>
          <w:szCs w:val="28"/>
          <w:lang w:eastAsia="ru-RU"/>
        </w:rPr>
        <w:t xml:space="preserve"> в Стратегии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 предусмотрен раздел </w:t>
      </w:r>
      <w:r w:rsidRPr="0050661D">
        <w:rPr>
          <w:rFonts w:ascii="Times New Roman" w:eastAsia="Times New Roman" w:hAnsi="Times New Roman" w:cs="Times New Roman"/>
          <w:color w:val="000000"/>
          <w:spacing w:val="-1"/>
          <w:sz w:val="28"/>
          <w:szCs w:val="28"/>
          <w:lang w:val="en-US" w:eastAsia="ru-RU"/>
        </w:rPr>
        <w:t>VIII</w:t>
      </w:r>
      <w:r w:rsidRPr="0050661D">
        <w:rPr>
          <w:rFonts w:ascii="Times New Roman" w:eastAsia="Times New Roman" w:hAnsi="Times New Roman" w:cs="Times New Roman"/>
          <w:color w:val="000000"/>
          <w:spacing w:val="-1"/>
          <w:sz w:val="28"/>
          <w:szCs w:val="28"/>
          <w:lang w:eastAsia="ru-RU"/>
        </w:rPr>
        <w:t>. «О развитии конкуренции», где отражены основные направления развития конкуренции. В соответствии с Планом мероприятий по реализации Стратегии развития транспортного машиностроения Российской Федерации на период до 2030 года» (раздел III. «Развитие конкуренции и повышение конкурентоспособности в отрасли транспортного машиностроения») определены мероприятия необходимые для создания благоприятной конкурентной среды.</w:t>
      </w:r>
    </w:p>
    <w:p w14:paraId="0AC3047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части развития конкуренции на рынке отечественного железнодорожного машиностроения следует отметить восстановление спроса на железнодорожный подвижной состав после кризиса, когда индекс производства в части железнодорожного машиностроения в 2015 году опускался до уровня в 68,4%. </w:t>
      </w:r>
    </w:p>
    <w:p w14:paraId="768EEF5E"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z w:val="28"/>
          <w:szCs w:val="28"/>
          <w:lang w:eastAsia="ru-RU"/>
        </w:rPr>
        <w:t>П</w:t>
      </w:r>
      <w:r w:rsidRPr="0050661D">
        <w:rPr>
          <w:rFonts w:ascii="Times New Roman" w:eastAsia="Times New Roman" w:hAnsi="Times New Roman" w:cs="Times New Roman"/>
          <w:color w:val="000000"/>
          <w:sz w:val="28"/>
          <w:szCs w:val="28"/>
          <w:lang w:eastAsia="ru-RU"/>
        </w:rPr>
        <w:t>о итогам 2018 года индекс производства железнодорожных локомотивов и подвижного состава (код ОКВЭД 2 – 30.2) по полному кругу организаций производителей составил 123,2%. Основным значимым драйвером роста железнодорожного машиностроения являются вагоны грузовые магистральные. За 2018 год грузовых вагонов произведено 68,9 тыс. шт., что на 18,7% больше показателей 2017 года. Выпуск пассажирских вагонов железнодорожных увеличился на 46,2% и составил порядка 2,2 тыс. шт., выпуск магистральных электровозов увеличился на 57,3% и составил 354 шт., выпуск тепловозов магистральных увеличился на 8,6% и составил 214 секций, выпуск тепловозов маневровых и промышленных увеличился на 19,8% и составил 236 шт.</w:t>
      </w:r>
    </w:p>
    <w:p w14:paraId="6481D47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По данным Росстата среднесписочная численность персонала в железнодорожном машиностроении (код ОКВЭД2 – 30.2) за 2018 год составила 206,2 тыс. человек. При этом, продолжается, начавшаяся в  2018 году, положительная динамика роста численности работников отрасли </w:t>
      </w:r>
      <w:r w:rsidRPr="0050661D">
        <w:rPr>
          <w:rFonts w:ascii="Times New Roman" w:eastAsia="Times New Roman" w:hAnsi="Times New Roman" w:cs="Times New Roman"/>
          <w:color w:val="000000"/>
          <w:sz w:val="28"/>
          <w:szCs w:val="28"/>
          <w:lang w:eastAsia="ru-RU"/>
        </w:rPr>
        <w:br/>
        <w:t>(+2,8% относительно 2017 года). Средняя зараб</w:t>
      </w:r>
      <w:r w:rsidR="003E57C1">
        <w:rPr>
          <w:rFonts w:ascii="Times New Roman" w:eastAsia="Times New Roman" w:hAnsi="Times New Roman" w:cs="Times New Roman"/>
          <w:color w:val="000000"/>
          <w:sz w:val="28"/>
          <w:szCs w:val="28"/>
          <w:lang w:eastAsia="ru-RU"/>
        </w:rPr>
        <w:t>отная плата работников отрасли</w:t>
      </w:r>
      <w:r w:rsidRPr="0050661D">
        <w:rPr>
          <w:rFonts w:ascii="Times New Roman" w:eastAsia="Times New Roman" w:hAnsi="Times New Roman" w:cs="Times New Roman"/>
          <w:color w:val="000000"/>
          <w:sz w:val="28"/>
          <w:szCs w:val="28"/>
          <w:lang w:eastAsia="ru-RU"/>
        </w:rPr>
        <w:t xml:space="preserve"> за 2018 год составила 41,9 тыс. рублей в месяц, что на 8,2% больше </w:t>
      </w:r>
      <w:r w:rsidR="003E57C1">
        <w:rPr>
          <w:rFonts w:ascii="Times New Roman" w:eastAsia="Times New Roman" w:hAnsi="Times New Roman" w:cs="Times New Roman"/>
          <w:color w:val="000000"/>
          <w:sz w:val="28"/>
          <w:szCs w:val="28"/>
          <w:lang w:eastAsia="ru-RU"/>
        </w:rPr>
        <w:t xml:space="preserve">показателей </w:t>
      </w:r>
      <w:r w:rsidRPr="0050661D">
        <w:rPr>
          <w:rFonts w:ascii="Times New Roman" w:eastAsia="Times New Roman" w:hAnsi="Times New Roman" w:cs="Times New Roman"/>
          <w:color w:val="000000"/>
          <w:sz w:val="28"/>
          <w:szCs w:val="28"/>
          <w:lang w:eastAsia="ru-RU"/>
        </w:rPr>
        <w:t>2017 года.</w:t>
      </w:r>
    </w:p>
    <w:p w14:paraId="63BFF772" w14:textId="77777777" w:rsidR="0050661D" w:rsidRPr="0050661D" w:rsidRDefault="0050661D" w:rsidP="0050661D">
      <w:pPr>
        <w:widowControl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за счет системного применения комплекса мер государственной поддержки железнодорожного машиностроения, реализуемых Минпромторгом России, в том числе в 2018 году:</w:t>
      </w:r>
    </w:p>
    <w:p w14:paraId="5684CF0B"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организациям, оказывающим услуги, связанные с железнодорожным подвижным составом, на возмещение части затрат, связанных с приобретением грузового железнодорожного подвижного состава» с объемом финансирования в размере 2 млрд руб.</w:t>
      </w:r>
    </w:p>
    <w:p w14:paraId="4007B1C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производителям моторвагонного подвижного состава в целях предоставления покупателям скидки при приобретении моторвагонного подвижного состава с объемом финансирования в размере 1,5 млрд. руб.</w:t>
      </w:r>
    </w:p>
    <w:p w14:paraId="023C4F3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успешной конкуренции отечественных предприятий на международном рынке с глобальными производителями, руководствуясь приоритетным проектом «Международная кооперация и экспорт в промышленности», Минпромторг России осуществляет реализацию комплекса мер по поддержке экспорта продукции предприятий железнодорожного машиностроения, в том числе посредством компенсации части затрат на сертификацию и транспортировку продукции.</w:t>
      </w:r>
    </w:p>
    <w:p w14:paraId="5EB82A6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Распоряжением Правительства Российской Федерации от 31.08.2017 №1878-р утверждена отраслевая экспортная стратегия железнодорожного машиностроения. Реализация экспортной Стратегии железнодорожного машиностроения позволит сформировать структурированный подх</w:t>
      </w:r>
      <w:r w:rsidR="003E57C1">
        <w:rPr>
          <w:rFonts w:ascii="Times New Roman" w:eastAsia="Times New Roman" w:hAnsi="Times New Roman" w:cs="Times New Roman"/>
          <w:color w:val="000000"/>
          <w:sz w:val="28"/>
          <w:szCs w:val="28"/>
          <w:lang w:eastAsia="ru-RU"/>
        </w:rPr>
        <w:t xml:space="preserve">од к решению ключевых проблем, </w:t>
      </w:r>
      <w:r w:rsidRPr="0050661D">
        <w:rPr>
          <w:rFonts w:ascii="Times New Roman" w:eastAsia="Times New Roman" w:hAnsi="Times New Roman" w:cs="Times New Roman"/>
          <w:color w:val="000000"/>
          <w:sz w:val="28"/>
          <w:szCs w:val="28"/>
          <w:lang w:eastAsia="ru-RU"/>
        </w:rPr>
        <w:t>стоящих перед российскими производителями-экспортёрами, повысить конкурентоспособность российской продукции на внешних рынках, обеспечит вклад железнодорожного машиностроения в развитие обрабатывающих отраслей промышленности и диверсификацию экономики, рост валового внутреннего продукта, рост конкурентоспособности предприятий железнодорожного машиностроения на внутреннем и внешних рынках.</w:t>
      </w:r>
    </w:p>
    <w:p w14:paraId="5A4086F1"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со Стратегией </w:t>
      </w:r>
      <w:r w:rsidRPr="0050661D">
        <w:rPr>
          <w:rFonts w:ascii="Times New Roman" w:eastAsia="Times New Roman" w:hAnsi="Times New Roman" w:cs="Times New Roman"/>
          <w:spacing w:val="-6"/>
          <w:sz w:val="28"/>
          <w:szCs w:val="28"/>
          <w:lang w:eastAsia="ru-RU"/>
        </w:rPr>
        <w:t>развития экспорта продукции железнодорожного машиностроения реализуются мероприятия по реализации экспортного потенциала железнодорожного машиностроения. По итогам 2018 года экспорт продукции железнодорожного машиностроения составил порядка 50,1 млрд рублей, что на 16,0% больше чем в 2017 году. При этом, доля экспорта в общем объеме производства продукции железнодорожного машиностроения составила порядка 10,1%.</w:t>
      </w:r>
    </w:p>
    <w:p w14:paraId="7885B93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Среди основных сегментов железнодорожного машиностроения драйвером роста экспорта являются грузовые магистральные вагоны, экспорт которых составил 11,7 тыс. шт., что на 17,4% больше чем в 2017 г., экспорт пассажирских вагонов составил 636 шт. (+271,9%), экспорт локомотивов составил 390 шт. (+81,4%).</w:t>
      </w:r>
    </w:p>
    <w:p w14:paraId="3D207CBB"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В 2018 году наиболее динамично осваивались экспортные рынки продукции железнодорожного машиностроения (топ 5): Казахстана, Венгрии, Украины, Ирана, Белоруссии.</w:t>
      </w:r>
    </w:p>
    <w:p w14:paraId="225DD97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На 2019 год в целях развития </w:t>
      </w:r>
      <w:r w:rsidRPr="0050661D">
        <w:rPr>
          <w:rFonts w:ascii="Times New Roman" w:eastAsia="Times New Roman" w:hAnsi="Times New Roman" w:cs="Times New Roman"/>
          <w:bCs/>
          <w:sz w:val="28"/>
          <w:szCs w:val="28"/>
          <w:lang w:eastAsia="ru-RU"/>
        </w:rPr>
        <w:t>железнодорожного машиностроения на территории Российской Федерации</w:t>
      </w:r>
      <w:r w:rsidRPr="0050661D">
        <w:rPr>
          <w:rFonts w:ascii="Times New Roman" w:eastAsia="Times New Roman" w:hAnsi="Times New Roman" w:cs="Times New Roman"/>
          <w:spacing w:val="-6"/>
          <w:sz w:val="28"/>
          <w:szCs w:val="28"/>
          <w:lang w:eastAsia="ru-RU"/>
        </w:rPr>
        <w:t xml:space="preserve"> запланирован следующий комплекс мер государственной поддержки:</w:t>
      </w:r>
    </w:p>
    <w:p w14:paraId="056D7C2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моторвагонного подвижного состава в целях предоставления покупателям скидки при приобретении моторвагонного подвижного состава – 1,5 млрд рублей;</w:t>
      </w:r>
    </w:p>
    <w:p w14:paraId="5440EC03"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государственная поддержка российских организаций транспортного машиностроения в целях реализации проектов по производству пассажирских вагонов (федеральный проект «Промышленный экспорт») – 2,5 млрд рублей;</w:t>
      </w:r>
    </w:p>
    <w:p w14:paraId="59AB14F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Указанный комплекс мероприятий позволит поддержать в 2019 году развитие российского </w:t>
      </w:r>
      <w:r w:rsidRPr="0050661D">
        <w:rPr>
          <w:rFonts w:ascii="Times New Roman" w:eastAsia="Times New Roman" w:hAnsi="Times New Roman" w:cs="Times New Roman"/>
          <w:bCs/>
          <w:sz w:val="28"/>
          <w:szCs w:val="28"/>
          <w:lang w:eastAsia="ru-RU"/>
        </w:rPr>
        <w:t>железнодорожного машиностроения</w:t>
      </w:r>
      <w:r w:rsidRPr="0050661D">
        <w:rPr>
          <w:rFonts w:ascii="Times New Roman" w:eastAsia="Times New Roman" w:hAnsi="Times New Roman" w:cs="Times New Roman"/>
          <w:spacing w:val="-6"/>
          <w:sz w:val="28"/>
          <w:szCs w:val="28"/>
          <w:lang w:eastAsia="ru-RU"/>
        </w:rPr>
        <w:t xml:space="preserve"> в соответствии со Стратегией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w:t>
      </w:r>
    </w:p>
    <w:p w14:paraId="13512F50"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Автомобильная промышленность</w:t>
      </w:r>
    </w:p>
    <w:p w14:paraId="2C90DE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Стратегия развития автомобильной промышленности Российской Федерации на период до 2025 года, утвержденная распоряжением Правительства Российской Федерации от 28.04.2018 № 831-р, направлена на создание регулирующих, инвестиционных, инфраструктурных и технологических условий для обеспечения конкурентоспособности на внутреннем и глобальном рынке автомобилей и автокомпонентов, произведенных на территории Российской Федерации. </w:t>
      </w:r>
    </w:p>
    <w:p w14:paraId="4CA6C8E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успешной конкуренции российских автопроизводителей на международной арене 31.08.2017 распоряжением Правительства Российской Федерации № 1877-р утверждена Стратегия развития экспорта продукции автомобильной промышленности в России до 2025 года.</w:t>
      </w:r>
    </w:p>
    <w:p w14:paraId="3575CD6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со Стратегией развития экспорта продукции автомобильной промышленности в Российской Федерации предполагается разработка механизма предоставления субсидий на развитие дилерской (сервисной) сети, а также меры поддержки по субсидированию транспортных расходов компаний-экспортеров, затрат на сертификацию и омологацию продукции, субсидирование через РЭЦ выставочной деятельности, финансирование части затрат, связанных с регистрацией на внешних рынках объектов интеллектуальной собственности. </w:t>
      </w:r>
    </w:p>
    <w:p w14:paraId="035615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автотранспортных средств, прицепов и полуприцепов (код ОКВЭД 2 – 29) по полному кругу организаций производителей по итогам 2018 года составил 113,3%. </w:t>
      </w:r>
    </w:p>
    <w:p w14:paraId="187B205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За 2018 год рост рынка составил 12,4% при этом реализовано более 1,89 млн. автомобилей, среди них легковых автомобилей около 1,68 млн. шт. (рост относительно аналогичного периода прошлого года +13,3%), легких коммерческих автомобилей – 119,3 тыс. шт. (+6,3%), грузовых автомобилей – 80,5 тыс. шт. (+2,9%), автобусов 13,3 тыс. шт. (+11,2%). </w:t>
      </w:r>
    </w:p>
    <w:p w14:paraId="46951B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Положительная динамика роста рынка сказалась и на объеме производства автомобилей, который за 2018 год составил около 1,75 млн. автомобилей, что на 14% больше, чем за аналогичный период прошлого года. Наибольший рост производства +15,9% продемонстрировал сегмент легковых автомобилей с объемом производства более 1,55 млн. шт., производство легких коммерческих автомобилей выросло на 5,1% при объеме производства в 114,9 тыс. автомобилей, а автобусов на 2,5% при объеме производства в 13,4 тыс. шт. При этом, отмечается некоторое снижение производства грузовых автомобилей относительно прошлого года на уровне - 4,7% (объем производства грузовых автомобилей в 2018 году составил 69,0 тыс. шт.).</w:t>
      </w:r>
    </w:p>
    <w:p w14:paraId="614EB7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2"/>
          <w:sz w:val="28"/>
          <w:szCs w:val="28"/>
          <w:lang w:eastAsia="ru-RU"/>
        </w:rPr>
        <w:t>Доля на российском рынке автомобилей, произведенных на территории Российской Федерации, составляет 85,2% (в сегменте легковых автомобилей – 85,3%,</w:t>
      </w:r>
      <w:r w:rsidRPr="0050661D">
        <w:rPr>
          <w:rFonts w:ascii="Times New Roman" w:eastAsia="Times New Roman" w:hAnsi="Times New Roman" w:cs="Times New Roman"/>
          <w:sz w:val="28"/>
          <w:szCs w:val="28"/>
          <w:lang w:eastAsia="ru-RU"/>
        </w:rPr>
        <w:t xml:space="preserve"> легких коммерческих автомобилей – 94,5%, грузовых автомобилей – 69,5%, в сегменте автобусов – 86,3%).</w:t>
      </w:r>
    </w:p>
    <w:p w14:paraId="23E4996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среднесписочная численность персонала</w:t>
      </w:r>
      <w:r w:rsidRPr="0050661D">
        <w:rPr>
          <w:rFonts w:ascii="Times New Roman" w:eastAsia="Times New Roman" w:hAnsi="Times New Roman" w:cs="Times New Roman"/>
          <w:spacing w:val="-2"/>
          <w:sz w:val="28"/>
          <w:szCs w:val="28"/>
          <w:lang w:eastAsia="ru-RU"/>
        </w:rPr>
        <w:t xml:space="preserve"> в автомобильной промышленности (код ОКВЭД2 – 29) </w:t>
      </w:r>
      <w:r w:rsidRPr="0050661D">
        <w:rPr>
          <w:rFonts w:ascii="Times New Roman" w:eastAsia="Times New Roman" w:hAnsi="Times New Roman" w:cs="Times New Roman"/>
          <w:sz w:val="28"/>
          <w:szCs w:val="28"/>
          <w:lang w:eastAsia="ru-RU"/>
        </w:rPr>
        <w:t xml:space="preserve">за 2018 год </w:t>
      </w:r>
      <w:r w:rsidRPr="0050661D">
        <w:rPr>
          <w:rFonts w:ascii="Times New Roman" w:eastAsia="Times New Roman" w:hAnsi="Times New Roman" w:cs="Times New Roman"/>
          <w:spacing w:val="-2"/>
          <w:sz w:val="28"/>
          <w:szCs w:val="28"/>
          <w:lang w:eastAsia="ru-RU"/>
        </w:rPr>
        <w:t>составила 290 тыс. человек. Сохраняется начавшаяся в 2018 году положительная динамика роста численности работников отрасли (+0,5</w:t>
      </w:r>
      <w:r w:rsidRPr="0050661D">
        <w:rPr>
          <w:rFonts w:ascii="Times New Roman" w:eastAsia="Times New Roman" w:hAnsi="Times New Roman" w:cs="Times New Roman"/>
          <w:spacing w:val="-2"/>
          <w:sz w:val="28"/>
          <w:szCs w:val="28"/>
          <w:lang w:val="en-US" w:eastAsia="ru-RU"/>
        </w:rPr>
        <w:t> </w:t>
      </w:r>
      <w:r w:rsidRPr="0050661D">
        <w:rPr>
          <w:rFonts w:ascii="Times New Roman" w:eastAsia="Times New Roman" w:hAnsi="Times New Roman" w:cs="Times New Roman"/>
          <w:spacing w:val="-2"/>
          <w:sz w:val="28"/>
          <w:szCs w:val="28"/>
          <w:lang w:eastAsia="ru-RU"/>
        </w:rPr>
        <w:t xml:space="preserve">% относительно 2017 года). </w:t>
      </w:r>
      <w:r w:rsidRPr="0050661D">
        <w:rPr>
          <w:rFonts w:ascii="Times New Roman" w:eastAsia="Times New Roman" w:hAnsi="Times New Roman" w:cs="Times New Roman"/>
          <w:sz w:val="28"/>
          <w:szCs w:val="28"/>
          <w:lang w:eastAsia="ru-RU"/>
        </w:rPr>
        <w:t>Средняя заработная плата работников отрасли за 2018 год составила 41,8 тыс. рублей в месяц, что на 8,8 % больше 2017 года.</w:t>
      </w:r>
    </w:p>
    <w:p w14:paraId="13DED87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По итогам 3 квартала 2018 года продолжается тенденция роста инвестиций в основной капитал предприятий. Индекс физического объема инвестиций в основной капитал составил 161,8%. Инвестиции в основной капитал по организациям, не относящимся к субъектам малого предпринимательства, составили 71,6 млрд рублей.</w:t>
      </w:r>
    </w:p>
    <w:p w14:paraId="67224B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в том числе за счет системного применения комплекса мер государственной поддержки автомобильной промышленности, реализуемых Минпромторгом России, в том числе в 2018 году:</w:t>
      </w:r>
    </w:p>
    <w:p w14:paraId="29C3E99F"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содержание рабочих мест с финансированием в 2018 году в размере 66,2 млрд рублей;</w:t>
      </w:r>
    </w:p>
    <w:p w14:paraId="5BE637ED"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и Евро-5 – 79,1 млрд рублей;</w:t>
      </w:r>
    </w:p>
    <w:p w14:paraId="29FC5DA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2,7 млрд рублей;</w:t>
      </w:r>
    </w:p>
    <w:p w14:paraId="51A1D8B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2018 - 2020 годах – 6,38 млрд рублей;</w:t>
      </w:r>
    </w:p>
    <w:p w14:paraId="4903A06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электрического транспорта – 1,5 млрд рублей.</w:t>
      </w:r>
      <w:r w:rsidRPr="0050661D">
        <w:rPr>
          <w:rFonts w:ascii="Times New Roman" w:eastAsia="Times New Roman" w:hAnsi="Times New Roman" w:cs="Times New Roman"/>
          <w:sz w:val="28"/>
          <w:szCs w:val="28"/>
          <w:lang w:eastAsia="ru-RU"/>
        </w:rPr>
        <w:t xml:space="preserve"> </w:t>
      </w:r>
    </w:p>
    <w:p w14:paraId="2B2E351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кредитным организациям на возмещение выпадающих доходов по кредитам, выданным россий</w:t>
      </w:r>
      <w:r w:rsidR="003E57C1">
        <w:rPr>
          <w:rFonts w:ascii="Times New Roman" w:eastAsia="Times New Roman" w:hAnsi="Times New Roman" w:cs="Times New Roman"/>
          <w:spacing w:val="-6"/>
          <w:sz w:val="28"/>
          <w:szCs w:val="28"/>
          <w:lang w:eastAsia="ru-RU"/>
        </w:rPr>
        <w:t xml:space="preserve">скими кредитными организациями </w:t>
      </w:r>
      <w:r w:rsidRPr="0050661D">
        <w:rPr>
          <w:rFonts w:ascii="Times New Roman" w:eastAsia="Times New Roman" w:hAnsi="Times New Roman" w:cs="Times New Roman"/>
          <w:spacing w:val="-6"/>
          <w:sz w:val="28"/>
          <w:szCs w:val="28"/>
          <w:lang w:eastAsia="ru-RU"/>
        </w:rP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19,98 млрд рублей;</w:t>
      </w:r>
    </w:p>
    <w:p w14:paraId="26B67AE2"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в 2015 году на цели рефинансирования и (или) приобретения прав требований по кредитам и займам, ранее привлеченными их доч</w:t>
      </w:r>
      <w:r w:rsidR="003E57C1">
        <w:rPr>
          <w:rFonts w:ascii="Times New Roman" w:eastAsia="Times New Roman" w:hAnsi="Times New Roman" w:cs="Times New Roman"/>
          <w:spacing w:val="-6"/>
          <w:sz w:val="28"/>
          <w:szCs w:val="28"/>
          <w:lang w:eastAsia="ru-RU"/>
        </w:rPr>
        <w:t xml:space="preserve">ерними и зависимыми обществами </w:t>
      </w:r>
      <w:r w:rsidRPr="0050661D">
        <w:rPr>
          <w:rFonts w:ascii="Times New Roman" w:eastAsia="Times New Roman" w:hAnsi="Times New Roman" w:cs="Times New Roman"/>
          <w:spacing w:val="-6"/>
          <w:sz w:val="28"/>
          <w:szCs w:val="28"/>
          <w:lang w:eastAsia="ru-RU"/>
        </w:rPr>
        <w:t>– 2,9 млрд рублей;</w:t>
      </w:r>
    </w:p>
    <w:p w14:paraId="4195024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созданием и организацией производства транспортных средств с дистанционным и автономным управлением – 1,3 млрд руб.;</w:t>
      </w:r>
    </w:p>
    <w:p w14:paraId="0C86016B"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1,00 млрд рублей;</w:t>
      </w:r>
    </w:p>
    <w:p w14:paraId="0BF11741"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-2,17 млрд рублей;</w:t>
      </w:r>
    </w:p>
    <w:p w14:paraId="3B15C0A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из федерального бюджета производителям техники, использующей природный газ в качестве моторного топлива – 4,8 млрд рублей. Обеспечено дополнительное производство и реализация более 6,1 тыс. единиц газомоторной техники;</w:t>
      </w:r>
    </w:p>
    <w:p w14:paraId="4C8B93D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 субсидии из федерального бюджета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0,75 млрд рублей. </w:t>
      </w:r>
    </w:p>
    <w:p w14:paraId="21B27CA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Совокупный объем продаж в рамках адресных программ стимулирования спроса за 2018 год составил около 124 тыс. шт. проданных автомобилей, в том числе порядка 54 тыс. шт. по программе «Семейный автомобиль», 45,5 тыс. шт. по программе «Первый автомобиль», 17,1 тыс. шт. по программе «Свое дело», 5,1 тыс. шт. по программе «Льготный лизинг», 2,3 тыс. шт. по программе «Российский тягач».</w:t>
      </w:r>
    </w:p>
    <w:p w14:paraId="57654106" w14:textId="77777777" w:rsidR="0050661D" w:rsidRPr="0050661D" w:rsidRDefault="0050661D" w:rsidP="0050661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6"/>
          <w:sz w:val="28"/>
          <w:szCs w:val="28"/>
          <w:lang w:eastAsia="ru-RU"/>
        </w:rPr>
        <w:t xml:space="preserve">В соответствии со Стратегией развития экспорта продукции автомобильной промышленности в Российской Федерации, утвержденной распоряжением Правительства Российской Федерации от 31.08.2017 № 1877-р, разработан          механизм стимулирования развитие дилерской (сервисной) сети за рубежом. </w:t>
      </w:r>
      <w:r w:rsidRPr="0050661D">
        <w:rPr>
          <w:rFonts w:ascii="Times New Roman" w:eastAsia="Times New Roman" w:hAnsi="Times New Roman" w:cs="Times New Roman"/>
          <w:sz w:val="28"/>
          <w:szCs w:val="28"/>
          <w:lang w:eastAsia="ru-RU"/>
        </w:rPr>
        <w:t xml:space="preserve">Для стимулирования экспорта продукции российского </w:t>
      </w:r>
      <w:r w:rsidR="003E57C1">
        <w:rPr>
          <w:rFonts w:ascii="Times New Roman" w:eastAsia="Times New Roman" w:hAnsi="Times New Roman" w:cs="Times New Roman"/>
          <w:sz w:val="28"/>
          <w:szCs w:val="28"/>
          <w:lang w:eastAsia="ru-RU"/>
        </w:rPr>
        <w:t xml:space="preserve">автомобилестроения в 2018 г. </w:t>
      </w:r>
      <w:r w:rsidRPr="0050661D">
        <w:rPr>
          <w:rFonts w:ascii="Times New Roman" w:eastAsia="Times New Roman" w:hAnsi="Times New Roman" w:cs="Times New Roman"/>
          <w:sz w:val="28"/>
          <w:szCs w:val="28"/>
          <w:lang w:eastAsia="ru-RU"/>
        </w:rPr>
        <w:t xml:space="preserve">на субсидирование затрат на транспортировку продукции предприятиям автопрома выплачено 1 782 070 746,45 руб., на омологацию и сертификацию продукции на зарубежных рынках - около 944 727 850,15 руб. </w:t>
      </w:r>
    </w:p>
    <w:p w14:paraId="627C770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sz w:val="28"/>
          <w:szCs w:val="28"/>
          <w:lang w:eastAsia="ru-RU"/>
        </w:rPr>
        <w:t xml:space="preserve">Среди основных отечественных марок автомобилей рост экспорта продолжает показывать ПАО «АВТОВАЗ» - за 2018 год рост составил 57,5% относительно аналогичного периода прошлого года (экспортировано более 38 тыс. автомобилей). ЗАО «Джи Эм – АВТОВАЗ» увеличило экспорт на 35,9% (экспортировано порядка 1,6 тыс. шт.), АО «АЗ «Урал» на 12% (990 шт.). </w:t>
      </w:r>
    </w:p>
    <w:p w14:paraId="5BEECD9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На 2019 год в целях развития автомобильной промышленности запланирован следующий комплекс мер государственной поддержки:</w:t>
      </w:r>
    </w:p>
    <w:p w14:paraId="7352CE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0,5 млрд рублей;</w:t>
      </w:r>
    </w:p>
    <w:p w14:paraId="4AD6AB0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производителям колесных транспортных средств на компенсацию части затрат на содержание рабочих мест – 51,5 млрд рублей;</w:t>
      </w:r>
    </w:p>
    <w:p w14:paraId="286D2FE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Евро-5 – 110,1 млрд рублей;</w:t>
      </w:r>
    </w:p>
    <w:p w14:paraId="7FD34F0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5,1 млрд рублей;</w:t>
      </w:r>
    </w:p>
    <w:p w14:paraId="688C0D38"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российским кредитным организациям на возмещение выпадающих доходов по кредитам, выданным российскими кредитными организациями </w:t>
      </w:r>
      <w:r w:rsidRPr="0050661D">
        <w:rPr>
          <w:rFonts w:ascii="Times New Roman" w:eastAsia="Times New Roman" w:hAnsi="Times New Roman" w:cs="Times New Roman"/>
          <w:color w:val="000000"/>
          <w:sz w:val="28"/>
          <w:szCs w:val="28"/>
          <w:lang w:eastAsia="ru-RU"/>
        </w:rPr>
        <w:b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9,3 млрд рублей;</w:t>
      </w:r>
    </w:p>
    <w:p w14:paraId="5FE40E69"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w:t>
      </w:r>
      <w:r w:rsidRPr="0050661D">
        <w:rPr>
          <w:rFonts w:ascii="Times New Roman" w:eastAsia="Times New Roman" w:hAnsi="Times New Roman" w:cs="Times New Roman"/>
          <w:color w:val="000000"/>
          <w:sz w:val="28"/>
          <w:szCs w:val="28"/>
          <w:lang w:eastAsia="ru-RU"/>
        </w:rPr>
        <w:br/>
        <w:t>в 2018 - 2020 годах – 4,9 млрд рублей;</w:t>
      </w:r>
    </w:p>
    <w:p w14:paraId="4B09AFA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 18,8 млрд рублей;</w:t>
      </w:r>
    </w:p>
    <w:p w14:paraId="4DA48DE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1,2 млрд рублей;</w:t>
      </w:r>
    </w:p>
    <w:p w14:paraId="3CE3E660"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w:t>
      </w:r>
      <w:r w:rsidRPr="0050661D">
        <w:rPr>
          <w:rFonts w:ascii="Times New Roman" w:eastAsia="Times New Roman" w:hAnsi="Times New Roman" w:cs="Times New Roman"/>
          <w:color w:val="000000"/>
          <w:sz w:val="28"/>
          <w:szCs w:val="28"/>
          <w:lang w:eastAsia="ru-RU"/>
        </w:rPr>
        <w:br/>
        <w:t>в 2015 году на цели рефинансирования и (или) приобретения прав требований по кредитам и займам, ранее привлеченным их дочерними и зависимыми обществами – 2,5 млрд рублей;</w:t>
      </w:r>
    </w:p>
    <w:p w14:paraId="0E09D1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xml:space="preserve">- субсидии </w:t>
      </w:r>
      <w:r w:rsidRPr="0050661D">
        <w:rPr>
          <w:rFonts w:ascii="Times New Roman" w:eastAsia="Times New Roman" w:hAnsi="Times New Roman" w:cs="Times New Roman"/>
          <w:color w:val="000000"/>
          <w:sz w:val="28"/>
          <w:szCs w:val="28"/>
          <w:lang w:eastAsia="ru-RU"/>
        </w:rPr>
        <w:t>производителям техники, использующей природный газ в качестве моторного топлива</w:t>
      </w:r>
      <w:r w:rsidRPr="0050661D">
        <w:rPr>
          <w:rFonts w:ascii="Times New Roman" w:eastAsia="Times New Roman" w:hAnsi="Times New Roman" w:cs="Times New Roman"/>
          <w:spacing w:val="-6"/>
          <w:sz w:val="28"/>
          <w:szCs w:val="28"/>
          <w:lang w:eastAsia="ru-RU"/>
        </w:rPr>
        <w:t xml:space="preserve"> </w:t>
      </w:r>
      <w:r w:rsidRPr="0050661D">
        <w:rPr>
          <w:rFonts w:ascii="Times New Roman" w:eastAsia="Times New Roman" w:hAnsi="Times New Roman" w:cs="Times New Roman"/>
          <w:color w:val="000000"/>
          <w:sz w:val="28"/>
          <w:szCs w:val="28"/>
          <w:lang w:eastAsia="ru-RU"/>
        </w:rPr>
        <w:t>– 2,5 млрд рублей;</w:t>
      </w:r>
    </w:p>
    <w:p w14:paraId="29B55484"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электрического транспорта – 1,5 млрд рублей.</w:t>
      </w:r>
    </w:p>
    <w:p w14:paraId="2C780BB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Указанный комплекс мероприятий позволит поддержать в 2019 году наметившиеся тенденции роста российской автомобильной промышленности                                  на уровне 5% относительно прошлого года, а также создаст условия для увеличения темпов и глубины локализации, развития компетенций и технологий в области автомобилестроения.</w:t>
      </w:r>
    </w:p>
    <w:p w14:paraId="14665B6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Минпромторг России нацелен на планомерное, сбалансированное развитие автомобильной промышленности с формированием долгосрочного стабильного тренда по росту производства на ежегодном уровне порядка 5-6% в соответствии со Стратегией развития автомобильной промышленности Российской Федерации на период до 2025 года, утвержденной распоряжением Правительства Российской Федерации от 28.04.2018 г. № 831-р.</w:t>
      </w:r>
    </w:p>
    <w:p w14:paraId="35CE2650" w14:textId="77777777" w:rsidR="0050661D" w:rsidRPr="0050661D" w:rsidRDefault="0050661D" w:rsidP="0050661D">
      <w:pPr>
        <w:shd w:val="clear" w:color="auto" w:fill="FFFFFF"/>
        <w:tabs>
          <w:tab w:val="left" w:pos="142"/>
        </w:tabs>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Авиационная промышленность</w:t>
      </w:r>
    </w:p>
    <w:p w14:paraId="40A08A0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При анализе конкуренции в авиационной промышленности необходимо разделять </w:t>
      </w:r>
      <w:r w:rsidRPr="0050661D">
        <w:rPr>
          <w:rFonts w:ascii="Times New Roman" w:eastAsia="Times New Roman" w:hAnsi="Times New Roman" w:cs="Times New Roman"/>
          <w:spacing w:val="-2"/>
          <w:sz w:val="28"/>
          <w:szCs w:val="28"/>
          <w:lang w:eastAsia="ru-RU"/>
        </w:rPr>
        <w:t xml:space="preserve">специфические рынки финальной продукции: внутренний рынок военной продукции, внутренний рынок </w:t>
      </w:r>
      <w:r w:rsidRPr="0050661D">
        <w:rPr>
          <w:rFonts w:ascii="Times New Roman" w:eastAsia="Times New Roman" w:hAnsi="Times New Roman" w:cs="Times New Roman"/>
          <w:sz w:val="28"/>
          <w:szCs w:val="28"/>
          <w:lang w:eastAsia="ru-RU"/>
        </w:rPr>
        <w:t>гражданской продукции и внешний рынок, а также рынки комплектующих изделий (систем, агрегатов и узлов, компонентов финальных изделий) и высокотехнологичных производственных услуг. Кроме того, значимым в современном авиастроении является рынок послепродажного обслуживания.</w:t>
      </w:r>
    </w:p>
    <w:p w14:paraId="69DB120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выпуск промышленной продукции составил – 87,3%; в том числе военной продукции – 82,2%; гражданской продукции - 104,5%. Доля объемов выпуска военной продукции промышленными предприятиями авиационной промышленности (в сравнении с 2017 годом) снизилась с 80,7% до 72,9 %, доля экспорта в целом по отрасли уменьшилась с 41,9% до 38,5%. Выработка промышленных предприятий на одного работника (производительность труда) уменьшилась на 12,0%.</w:t>
      </w:r>
    </w:p>
    <w:p w14:paraId="144F128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внутреннем рынке военной авиационной продукции </w:t>
      </w:r>
      <w:r w:rsidRPr="0050661D">
        <w:rPr>
          <w:rFonts w:ascii="Times New Roman" w:eastAsia="Times New Roman" w:hAnsi="Times New Roman" w:cs="Times New Roman"/>
          <w:spacing w:val="-1"/>
          <w:sz w:val="28"/>
          <w:szCs w:val="28"/>
          <w:lang w:eastAsia="ru-RU"/>
        </w:rPr>
        <w:t xml:space="preserve">доминирующую роль играет ПАО «ОАК» в области самолетостроения и АО «Вертолеты России» в области вертолетостроения, конкуренция осуществляется предприятиями, входящими в структуры указанных </w:t>
      </w:r>
      <w:r w:rsidRPr="0050661D">
        <w:rPr>
          <w:rFonts w:ascii="Times New Roman" w:eastAsia="Times New Roman" w:hAnsi="Times New Roman" w:cs="Times New Roman"/>
          <w:sz w:val="28"/>
          <w:szCs w:val="28"/>
          <w:lang w:eastAsia="ru-RU"/>
        </w:rPr>
        <w:t xml:space="preserve">корпораций. </w:t>
      </w:r>
    </w:p>
    <w:p w14:paraId="3885735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Практически аналогичная ситуация наблюдается в подотраслях авиационного двигателестроения (представлено АО «ОДК»), а также агрегато- (АО «Технодинамика») и приборостроения (АО «КРЭТ»). </w:t>
      </w:r>
    </w:p>
    <w:p w14:paraId="72A5DAD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spacing w:val="-1"/>
          <w:sz w:val="28"/>
          <w:szCs w:val="28"/>
          <w:lang w:eastAsia="ru-RU"/>
        </w:rPr>
        <w:t>импортозамещения и повышении конкурентоспособности российских предприятий авиастроения.</w:t>
      </w:r>
    </w:p>
    <w:p w14:paraId="5FC86F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Внешний рынок авиационной продукции обширен, наибольшие успехи у отечественных предприятий имеются на рынке военного вертолето- и самолетостроения, гражданский экспорт незначителен. Конкуренцию на мировом рынке можно охарактеризовать как развитую.</w:t>
      </w:r>
    </w:p>
    <w:p w14:paraId="27685B6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Конкурентоспособность предприятий российской авиационной </w:t>
      </w:r>
      <w:r w:rsidRPr="0050661D">
        <w:rPr>
          <w:rFonts w:ascii="Times New Roman" w:eastAsia="Times New Roman" w:hAnsi="Times New Roman" w:cs="Times New Roman"/>
          <w:sz w:val="28"/>
          <w:szCs w:val="28"/>
          <w:lang w:eastAsia="ru-RU"/>
        </w:rPr>
        <w:t xml:space="preserve">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 В целях совершенствования механизмов экспорта реализуется Стратегия развития экспорта гражданской продукции авиационной промышленности Российской Федерации на период до 2025 года. </w:t>
      </w:r>
    </w:p>
    <w:p w14:paraId="69885DD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постоянной основе проводятся мероприятия по совершенствованию действующего фонда нормативно-технических документов по стандартизации авиационной техники в обеспечение её безопасности, надежности, конкурентоспособности, гармонизации с международными стандартами и внедрения инновационных технологий в области авиастроения.</w:t>
      </w:r>
    </w:p>
    <w:p w14:paraId="2F848A2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данный момент в авиационной отрасли функционирует 3 подконтрольных государству интегрированных структуры, которые </w:t>
      </w:r>
      <w:r w:rsidRPr="0050661D">
        <w:rPr>
          <w:rFonts w:ascii="Times New Roman" w:eastAsia="Times New Roman" w:hAnsi="Times New Roman" w:cs="Times New Roman"/>
          <w:spacing w:val="-1"/>
          <w:sz w:val="28"/>
          <w:szCs w:val="28"/>
          <w:lang w:eastAsia="ru-RU"/>
        </w:rPr>
        <w:t>фактически являются монополистами в своих сферах деятельности.</w:t>
      </w:r>
    </w:p>
    <w:p w14:paraId="0AB59301"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Государство оказывает поддержку, как правило, крупным предприятиям-разработчикам и производителям финальной продукции с достаточно высоким уровнем конкурентоспособности, входящим в </w:t>
      </w:r>
      <w:r w:rsidRPr="0050661D">
        <w:rPr>
          <w:rFonts w:ascii="Times New Roman" w:eastAsia="Times New Roman" w:hAnsi="Times New Roman" w:cs="Times New Roman"/>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sz w:val="28"/>
          <w:szCs w:val="28"/>
          <w:lang w:eastAsia="ru-RU"/>
        </w:rPr>
        <w:t>российских предприятий на мировом рынке, но уровень конкуренции между отечественными предприятиями снижается. Мелким и средним частным предприятиям, в силу экономической специфики отрасли, сложно выдержать конкуренцию на рынках финальной продукции авиастроения. Однако они могут найти эффективные ниши на рынках высокотехнологичных комплектующих изделий и производственных услуг, что полностью подтверждается практикой зарубежных стран-лидеров мирового авиастроения.</w:t>
      </w:r>
    </w:p>
    <w:p w14:paraId="72D538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Государственная поддержка экспорта авиационной техники, а также импорта перспективных технологий происходит в основном за счет установления правил:</w:t>
      </w:r>
    </w:p>
    <w:p w14:paraId="78EED7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изготовителям воздушных судов (ВС) на возмещение части затрат на формирование первоначального склада запасных частей покупателей ВС, обеспечение средствами наземного обслуживания, переподготовку авиационного персонала для ВС нового типа, поставленных в 2016-2022 годах;</w:t>
      </w:r>
    </w:p>
    <w:p w14:paraId="7DD784A3"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 федерального бюджета российским организациям (компаниям, предприятиям) авиационного приборостроения и агрегатостроения на компенсацию части затрат на реализацию проектов по выходу авиационных организаций на мировой рынок в качестве поставщиков компонентов 2-4 уровней.</w:t>
      </w:r>
    </w:p>
    <w:p w14:paraId="500861B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зависимости от типа воздушного судна, стоимость импортных комплектующих </w:t>
      </w:r>
      <w:r w:rsidRPr="0050661D">
        <w:rPr>
          <w:rFonts w:ascii="Times New Roman" w:eastAsia="Times New Roman" w:hAnsi="Times New Roman" w:cs="Times New Roman"/>
          <w:spacing w:val="-1"/>
          <w:sz w:val="28"/>
          <w:szCs w:val="28"/>
          <w:lang w:eastAsia="ru-RU"/>
        </w:rPr>
        <w:t xml:space="preserve">изделий достигает уровня 70-80%, даже при строительстве военной техники доля </w:t>
      </w:r>
      <w:r w:rsidRPr="0050661D">
        <w:rPr>
          <w:rFonts w:ascii="Times New Roman" w:eastAsia="Times New Roman" w:hAnsi="Times New Roman" w:cs="Times New Roman"/>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sz w:val="28"/>
          <w:szCs w:val="28"/>
          <w:lang w:eastAsia="ru-RU"/>
        </w:rPr>
        <w:t>В</w:t>
      </w:r>
      <w:r w:rsidRPr="0050661D">
        <w:rPr>
          <w:rFonts w:ascii="Times New Roman" w:eastAsia="Times New Roman" w:hAnsi="Times New Roman" w:cs="Times New Roman"/>
          <w:i/>
          <w:iCs/>
          <w:sz w:val="28"/>
          <w:szCs w:val="28"/>
          <w:lang w:eastAsia="ru-RU"/>
        </w:rPr>
        <w:t xml:space="preserve"> </w:t>
      </w:r>
      <w:r w:rsidRPr="0050661D">
        <w:rPr>
          <w:rFonts w:ascii="Times New Roman" w:eastAsia="Times New Roman" w:hAnsi="Times New Roman" w:cs="Times New Roman"/>
          <w:sz w:val="28"/>
          <w:szCs w:val="28"/>
          <w:lang w:eastAsia="ru-RU"/>
        </w:rPr>
        <w:t xml:space="preserve">связи с необходимостью </w:t>
      </w:r>
      <w:r w:rsidRPr="0050661D">
        <w:rPr>
          <w:rFonts w:ascii="Times New Roman" w:eastAsia="Times New Roman" w:hAnsi="Times New Roman" w:cs="Times New Roman"/>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sz w:val="28"/>
          <w:szCs w:val="28"/>
          <w:lang w:eastAsia="ru-RU"/>
        </w:rPr>
        <w:t xml:space="preserve">конкуренция среди отечественных поставщиков комплектующих изделий, агрегатов, приборов и оборудования, </w:t>
      </w:r>
      <w:r w:rsidRPr="0050661D">
        <w:rPr>
          <w:rFonts w:ascii="Times New Roman" w:eastAsia="Times New Roman" w:hAnsi="Times New Roman" w:cs="Times New Roman"/>
          <w:spacing w:val="-1"/>
          <w:sz w:val="28"/>
          <w:szCs w:val="28"/>
          <w:lang w:eastAsia="ru-RU"/>
        </w:rPr>
        <w:t>что повысит конкурентоспособность российского авиастроения на рынке конечной продукции. Только при наличии развитой системы эффективных поставщиков компонентов авиационной техники 1-го – 4-го уровней, выпускающих комплектующие изделия, не уступающие мировым аналогам, возможен переход российского авиастроения к современной эффективной индустриальной модели, сочетающей экономию на масштабах однородных производств и устойчивость к рискам за счет диверсификации поставок. Такая производственная реструктуризация предусмотрена программными и стратегическими документами отрасли и отдельных интегрированных структур, но не завершена именно по причине дефицита в России конкурентоспособных специализированных предприятий-поставщиков, неразвитости соответствующих рынков. Конкуренция на этих рынках, с одной стороны, сильна за счет присутствия глобальных специализированных поставщиков. С другой стороны, поставки компонентов авиационной техники из-за рубежа подвержены и валютным, и политическим рискам, что определяет необходимость развития конкурентной среды на этих рынках и внутри страны.</w:t>
      </w:r>
    </w:p>
    <w:p w14:paraId="6C99971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необходимо отметить, что авиастроение не может существовать в отрыве от других отраслей промышленности, в производстве авиационной техники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5B46905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Учитывая вышесказанное, считаем, что создание отдельного плана развития конкуренции в авиастроении («дорожной карты») не рационально. По нашему мнению, необходима общая «дорожная карта» для отраслей ОПК.</w:t>
      </w:r>
    </w:p>
    <w:p w14:paraId="3D1B658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5F135179"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 (применительно к авиастроению – прежде всего, в производстве комплектующих изделий);</w:t>
      </w:r>
    </w:p>
    <w:p w14:paraId="03296FD8"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поиск и завоевание новых рынков сбыта финальной и промежуточной продукции российского авиастроения;</w:t>
      </w:r>
    </w:p>
    <w:p w14:paraId="67B45F9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государственного участия в компенсационной политике по кредитным ставкам;</w:t>
      </w:r>
    </w:p>
    <w:p w14:paraId="0DC552C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60531A5"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расширения высокотехнологичного экспорта наукоемкой продукции;</w:t>
      </w:r>
    </w:p>
    <w:p w14:paraId="704E7E3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кооперационных связей и поиск новых поставщиков авиационного комплектующего оборудования и материалов, не присоединившихся к санкциям;</w:t>
      </w:r>
    </w:p>
    <w:p w14:paraId="0E4D5782"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развития (при необходимости - создания) высокотехнологичных специализированных предприятий-поставщиков компонентов финальной продукции авиастроения, комплектующих изделий и производственных услуг, конкурентоспособных на внутреннем, и, по возможности, на мировом рынках;</w:t>
      </w:r>
    </w:p>
    <w:p w14:paraId="4822C10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обеспечение заинтересованности заказчиков авиационной продукции отечественного производства с точки зрения экономических, технических, и политических интересов. </w:t>
      </w:r>
    </w:p>
    <w:p w14:paraId="78535F10"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Сфера фармацевтической и медицинской промышленности</w:t>
      </w:r>
    </w:p>
    <w:p w14:paraId="3172D3E3"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Минпромторгом России создан целый комплекс мер поддержки развития фармацевтической и медицинской промышленности, в который входят как финансовые, так и нефинансовые инструменты. </w:t>
      </w:r>
    </w:p>
    <w:p w14:paraId="1D3774A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Times New Roman" w:hAnsi="Times New Roman" w:cs="Times New Roman"/>
          <w:sz w:val="28"/>
          <w:szCs w:val="28"/>
          <w:lang w:eastAsia="ru-RU"/>
        </w:rPr>
        <w:t xml:space="preserve">В рамках государственной программы поддержана разработка технологии и организация производства 132 лекарственных препаратов, входящих в перечень ЖНВЛП. На реализацию указанных проектов в 2011-2015 гг. привлечено 4,4 млрд. рублей за счет средств федерального бюджета. </w:t>
      </w:r>
      <w:r w:rsidRPr="0050661D">
        <w:rPr>
          <w:rFonts w:ascii="Times New Roman" w:eastAsia="Calibri" w:hAnsi="Times New Roman" w:cs="Times New Roman"/>
          <w:sz w:val="28"/>
          <w:szCs w:val="28"/>
        </w:rPr>
        <w:t>По состоянию на 01.02.2019 получены регистрационные удостоверения на лекарственные препараты для медицинского применения, соответствующие 69 международным непатентованным наименованиям.</w:t>
      </w:r>
    </w:p>
    <w:p w14:paraId="7383AFB7"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Растет экспортная составляющая фармацевтической промышленности, расширяя присутствие своей продукции не только на рынке Таможенного союза и ближнего зарубежья, но и в странах Латинской Америки. </w:t>
      </w:r>
    </w:p>
    <w:p w14:paraId="1DF8F96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color w:val="000000"/>
          <w:sz w:val="28"/>
          <w:szCs w:val="28"/>
          <w:u w:color="000000"/>
          <w:bdr w:val="nil"/>
          <w:lang w:eastAsia="ru-RU"/>
        </w:rPr>
        <w:t>Объем экспорта фармацевтической продукции в конечных ценах в январе-октябре 2018 г. составил 597,5 млн долл. США (+ 11,4 % к аналогичному периоду 2017 г.).</w:t>
      </w:r>
    </w:p>
    <w:p w14:paraId="7384392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Calibri" w:hAnsi="Times New Roman" w:cs="Times New Roman"/>
          <w:sz w:val="28"/>
          <w:szCs w:val="28"/>
        </w:rPr>
        <w:t xml:space="preserve">Продолжают открываться фармацевтические производства. </w:t>
      </w:r>
      <w:r w:rsidRPr="0050661D">
        <w:rPr>
          <w:rFonts w:ascii="Times New Roman" w:eastAsia="Times New Roman" w:hAnsi="Times New Roman" w:cs="Times New Roman"/>
          <w:sz w:val="28"/>
          <w:szCs w:val="28"/>
          <w:lang w:eastAsia="ru-RU"/>
        </w:rPr>
        <w:t>В 2018 году запущено 6 площадок в Белгородской, Калужской, Курской областях, а также в г. Санкт-Петербурге.</w:t>
      </w:r>
      <w:r w:rsidRPr="0050661D">
        <w:rPr>
          <w:rFonts w:ascii="Times New Roman" w:eastAsia="Times New Roman" w:hAnsi="Times New Roman" w:cs="Times New Roman"/>
          <w:bCs/>
          <w:sz w:val="28"/>
          <w:szCs w:val="28"/>
          <w:lang w:eastAsia="ru-RU"/>
        </w:rPr>
        <w:t xml:space="preserve"> В марте 2018 года в </w:t>
      </w:r>
      <w:r w:rsidRPr="0050661D">
        <w:rPr>
          <w:rFonts w:ascii="Times New Roman" w:eastAsia="Times New Roman" w:hAnsi="Times New Roman" w:cs="Times New Roman"/>
          <w:sz w:val="28"/>
          <w:szCs w:val="28"/>
          <w:lang w:eastAsia="ru-RU"/>
        </w:rPr>
        <w:t xml:space="preserve">Белгородской области (промышленной парк «Северный») </w:t>
      </w:r>
      <w:r w:rsidRPr="0050661D">
        <w:rPr>
          <w:rFonts w:ascii="Times New Roman" w:eastAsia="Times New Roman" w:hAnsi="Times New Roman" w:cs="Times New Roman"/>
          <w:bCs/>
          <w:sz w:val="28"/>
          <w:szCs w:val="28"/>
          <w:lang w:eastAsia="ru-RU"/>
        </w:rPr>
        <w:t xml:space="preserve">открыт первый российско-индийский фармацевтический завод (первая очередь предприятия) «Эдвансд фарма» по производству лекарственных препаратов для лечения туберкулеза, ВИЧ, онкологии, гепатита и других жизненно-важных </w:t>
      </w:r>
      <w:r w:rsidRPr="0050661D">
        <w:rPr>
          <w:rFonts w:ascii="Times New Roman" w:eastAsia="Times New Roman" w:hAnsi="Times New Roman" w:cs="Times New Roman"/>
          <w:sz w:val="28"/>
          <w:szCs w:val="28"/>
          <w:lang w:eastAsia="ru-RU"/>
        </w:rPr>
        <w:t>фармакотерапевтических групп. В конце 2018 г. состоялось открытие завода компании «Герофарм» по производству субстанций инсулина в г. Санкт-Петербурге.</w:t>
      </w:r>
    </w:p>
    <w:p w14:paraId="3292A1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рамках программ поддержки трансфера высоких технологий и </w:t>
      </w:r>
      <w:r w:rsidRPr="0050661D">
        <w:rPr>
          <w:rFonts w:ascii="Times New Roman" w:eastAsia="Times New Roman" w:hAnsi="Times New Roman" w:cs="Times New Roman"/>
          <w:color w:val="000000"/>
          <w:sz w:val="28"/>
          <w:szCs w:val="28"/>
          <w:lang w:eastAsia="ru-RU"/>
        </w:rPr>
        <w:t>модернизации производства были заключены специнвестконтракты с четырьмя крупными мировыми фармпроизводителями – ЗАО «Санофи-Авентис Восток», ООО «АстраЗенека», ООО «НоваМедик</w:t>
      </w:r>
      <w:r w:rsidR="003E57C1">
        <w:rPr>
          <w:rFonts w:ascii="Times New Roman" w:eastAsia="Times New Roman" w:hAnsi="Times New Roman" w:cs="Times New Roman"/>
          <w:color w:val="000000"/>
          <w:sz w:val="28"/>
          <w:szCs w:val="28"/>
          <w:lang w:eastAsia="ru-RU"/>
        </w:rPr>
        <w:t>а», ООО «ОКТАФАРМА-ФАРМИМЭКС», и с</w:t>
      </w:r>
      <w:r w:rsidRPr="0050661D">
        <w:rPr>
          <w:rFonts w:ascii="Times New Roman" w:eastAsia="Times New Roman" w:hAnsi="Times New Roman" w:cs="Times New Roman"/>
          <w:color w:val="000000"/>
          <w:sz w:val="28"/>
          <w:szCs w:val="28"/>
          <w:lang w:eastAsia="ru-RU"/>
        </w:rPr>
        <w:t xml:space="preserve"> тремя отечественными производителями – компанией ООО «Герофарм» и  ЗАО «Биокад», ООО «Снабполимер медицина Нижний Новгород».</w:t>
      </w:r>
    </w:p>
    <w:p w14:paraId="3E440B0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u w:color="000000"/>
          <w:bdr w:val="nil"/>
          <w:lang w:eastAsia="ru-RU"/>
        </w:rPr>
      </w:pPr>
      <w:r w:rsidRPr="0050661D">
        <w:rPr>
          <w:rFonts w:ascii="Times New Roman" w:eastAsia="Calibri" w:hAnsi="Times New Roman" w:cs="Times New Roman"/>
          <w:color w:val="000000"/>
          <w:sz w:val="28"/>
          <w:szCs w:val="28"/>
          <w:u w:color="000000"/>
          <w:bdr w:val="nil"/>
          <w:lang w:eastAsia="ru-RU"/>
        </w:rPr>
        <w:t>Объем экспорта продукции российской медицинской промышленности (включая принадлежности) за 9 месяцев 2018 года составил порядка 96 млн. долл. США (увеличение на 30% к аналогичному периоду 2017 года).</w:t>
      </w:r>
    </w:p>
    <w:p w14:paraId="5367DA8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получены регистрационные удостоверения по 63 проектам из плана импортозамещения в количестве 96 штук. По 42 проектам, профинансированным в рамках субсидий на организацию производства медицинских изделий, организовано производство готовой продукции.</w:t>
      </w:r>
      <w:r w:rsidR="003E57C1">
        <w:rPr>
          <w:rFonts w:ascii="Times New Roman" w:eastAsia="Calibri" w:hAnsi="Times New Roman" w:cs="Times New Roman"/>
          <w:color w:val="000000"/>
          <w:sz w:val="28"/>
          <w:szCs w:val="28"/>
        </w:rPr>
        <w:t xml:space="preserve"> </w:t>
      </w:r>
      <w:r w:rsidRPr="0050661D">
        <w:rPr>
          <w:rFonts w:ascii="Times New Roman" w:eastAsia="Calibri" w:hAnsi="Times New Roman" w:cs="Times New Roman"/>
          <w:color w:val="000000"/>
          <w:sz w:val="28"/>
          <w:szCs w:val="28"/>
          <w:shd w:val="clear" w:color="auto" w:fill="FFFFFF"/>
        </w:rPr>
        <w:t>Из завершенных проектов плана импортозамещения, по которым не получено регистрационное удостоверение, по 22 проектам регистрация разработанных изделий в Росздравнадзоре не предусмотрена (проекты по разработке компонентной базы для медицинского оборудования и проекты по разработке инновационных материалов для медицины), по 78 проектам подана заявка в Росздравнадзор.</w:t>
      </w:r>
    </w:p>
    <w:p w14:paraId="5236E50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С целью эффективности применяемых мер государственной поддержки осуществляется отслеживание стадий реализации проектов НИОКР.</w:t>
      </w:r>
    </w:p>
    <w:p w14:paraId="1EFD06AD"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целях оказания поддержки российским производителям лекарственных средств для медицинского применения, включая производителей фармацевтических субстанций, а также российским организациям – производителям медицинских изделий, в рамках государственной программы Российской Федерации «Развитие фармацевтической и медицинской промышленности» на 2013 – 2020 годы (далее – Госпрограмма), утвержденной постановлением Правительства Российской Федерации от 15.04.2014 № 305, с 2015 года предоставляются субсидии из федерального бюджета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 проектов по организации производства лекарственных средств и (или) фармацевтических субстанций, проектов по разработке схожих по фармакотерапевтическому действию и улучшенных аналогов инновационных лекарственных препаратов, проектов по производству медицинских изделий и проектов по проведению кинических испытаний имплантируемых медицинских изделий. Также, ряд проектов получает льготное финансирование через Фонд развития промышленности.</w:t>
      </w:r>
    </w:p>
    <w:p w14:paraId="6BF5D91C"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фармацевтической промышленности при реализации Плана в рамках действующих мер государственной поддержки (за весь период их реализации) составил 19,201 млрд. руб., из них:</w:t>
      </w:r>
    </w:p>
    <w:p w14:paraId="5197053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5,183 млрд руб. – средства Фонда развития промышленности (займы);</w:t>
      </w:r>
    </w:p>
    <w:p w14:paraId="29AF637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14,018 млрд руб. – собственные и привлеченные средства, из них 5,806 млрд. руб. – бюджетные средства, в том числе:</w:t>
      </w:r>
    </w:p>
    <w:p w14:paraId="4886F829"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ГП – 4,4 млрд руб.,</w:t>
      </w:r>
    </w:p>
    <w:p w14:paraId="7CEB1E5F"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1045 – 0,475 млрд. руб.,</w:t>
      </w:r>
    </w:p>
    <w:p w14:paraId="62F92EC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1047 – 0,381 млрд. руб.,</w:t>
      </w:r>
    </w:p>
    <w:p w14:paraId="0C84635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3 – 0,33 млрд руб.,</w:t>
      </w:r>
    </w:p>
    <w:p w14:paraId="4DE381F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214 – 0,22 млрд. руб.</w:t>
      </w:r>
    </w:p>
    <w:p w14:paraId="2BFD51D2"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медицинской промышленности при реализации Плана в рамках действующих мер государственной поддержки (за весь период их реализации) составил 3,723 млрд. руб. (ППРФ 1046 и ППРФ 1048), а также в рамках Фонда развития промышленности – 2,954 млрд. рублей.</w:t>
      </w:r>
    </w:p>
    <w:p w14:paraId="3038B98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установления приоритета отечественных медицинских изделий при осуществлении государственных и муниципальных нужд Минпромторг России разработал постановление Правительства Росс</w:t>
      </w:r>
      <w:r w:rsidR="003E57C1">
        <w:rPr>
          <w:rFonts w:ascii="Times New Roman" w:eastAsia="Times New Roman" w:hAnsi="Times New Roman" w:cs="Times New Roman"/>
          <w:color w:val="000000"/>
          <w:sz w:val="28"/>
          <w:szCs w:val="28"/>
          <w:lang w:eastAsia="ru-RU"/>
        </w:rPr>
        <w:t xml:space="preserve">ийской Федерации от 05.02.2015 </w:t>
      </w:r>
      <w:r w:rsidRPr="0050661D">
        <w:rPr>
          <w:rFonts w:ascii="Times New Roman" w:eastAsia="Times New Roman" w:hAnsi="Times New Roman" w:cs="Times New Roman"/>
          <w:color w:val="000000"/>
          <w:sz w:val="28"/>
          <w:szCs w:val="28"/>
          <w:lang w:eastAsia="ru-RU"/>
        </w:rPr>
        <w:t>№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(далее – постановление № 102).</w:t>
      </w:r>
    </w:p>
    <w:p w14:paraId="0B31905D"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 пунктом 3 постановления № 102 </w:t>
      </w:r>
      <w:r w:rsidRPr="0050661D">
        <w:rPr>
          <w:rFonts w:ascii="Times New Roman" w:eastAsia="Times New Roman" w:hAnsi="Times New Roman" w:cs="Times New Roman"/>
          <w:sz w:val="28"/>
          <w:szCs w:val="28"/>
          <w:lang w:eastAsia="ru-RU"/>
        </w:rPr>
        <w:t>подтверждением страны происхождения медицинских изделий, включенных в перечень, является сертификат о происхождении товара, выдаваемый уполномоченным органом (организацией) государств - членов Евразийского экономического союза по форме, установленной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20.11.2009, и в соответствии с критериями определения страны происхождения товаров, предусмотренными указанными Правилами (далее – сертификат СТ-1).</w:t>
      </w:r>
    </w:p>
    <w:p w14:paraId="077BF4F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ТПП России за период действия постановления выдано не менее 12 196 сертификатов СТ-1, в том числе количество выданных сертификатов СТ-1 на конкретную закупку (таких видов медицинских изделий, как холодильники комбинированные лабораторные; холодильники фармацевтические; медицинские морозильники, электрокардиографы, устройства электрофореза белков сыворотки крови на пленках из ацетата целлюлозы) за период действия постановления составил 11 259 шт. На такие виды медицинских изделий, как одежда медицинская, наборы реагентов для выявления инфекционных агентов методом полимеразной цепной реакции, салфетки антисептические спиртовые и т.д. выдано 937 шт. сертификатов СТ-1 со сроком действия до трех месяцев.</w:t>
      </w:r>
    </w:p>
    <w:p w14:paraId="3972400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Общее количество выигранных конкурсов</w:t>
      </w:r>
      <w:r w:rsidR="003E57C1">
        <w:rPr>
          <w:rFonts w:ascii="Times New Roman" w:eastAsia="Times New Roman" w:hAnsi="Times New Roman" w:cs="Times New Roman"/>
          <w:sz w:val="28"/>
          <w:szCs w:val="28"/>
          <w:lang w:eastAsia="ru-RU"/>
        </w:rPr>
        <w:t xml:space="preserve"> с использованием сертификатов </w:t>
      </w:r>
      <w:r w:rsidRPr="0050661D">
        <w:rPr>
          <w:rFonts w:ascii="Times New Roman" w:eastAsia="Times New Roman" w:hAnsi="Times New Roman" w:cs="Times New Roman"/>
          <w:sz w:val="28"/>
          <w:szCs w:val="28"/>
          <w:lang w:eastAsia="ru-RU"/>
        </w:rPr>
        <w:t>СТ-1 за период действия постановления № 102 составило 17 995 единиц на общую сумму не менее 12,84 млрд рублей.</w:t>
      </w:r>
    </w:p>
    <w:p w14:paraId="6F0F86F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Постановлением Правительства Российской Федерации от 30.11.2015 </w:t>
      </w:r>
      <w:r w:rsidRPr="0050661D">
        <w:rPr>
          <w:rFonts w:ascii="Times New Roman" w:eastAsia="Times New Roman" w:hAnsi="Times New Roman" w:cs="Times New Roman"/>
          <w:color w:val="000000"/>
          <w:sz w:val="28"/>
          <w:szCs w:val="28"/>
          <w:lang w:eastAsia="ru-RU"/>
        </w:rPr>
        <w:br/>
        <w:t xml:space="preserve">№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50661D">
        <w:rPr>
          <w:rFonts w:ascii="Times New Roman" w:eastAsia="Times New Roman" w:hAnsi="Times New Roman" w:cs="Times New Roman"/>
          <w:sz w:val="28"/>
          <w:szCs w:val="28"/>
          <w:lang w:eastAsia="ru-RU"/>
        </w:rPr>
        <w:t>закупок для обеспечения государственных и муниципальных нужд» установлено,</w:t>
      </w:r>
      <w:r w:rsidRPr="0050661D">
        <w:rPr>
          <w:rFonts w:ascii="Times New Roman" w:eastAsia="Times New Roman" w:hAnsi="Times New Roman" w:cs="Times New Roman"/>
          <w:color w:val="000000"/>
          <w:sz w:val="28"/>
          <w:szCs w:val="28"/>
          <w:lang w:eastAsia="ru-RU"/>
        </w:rPr>
        <w:t xml:space="preserve"> что заказчик отклоняет все заявки (окончательные предложения), содержащие предложения о поставке лекарственных препаратов, происходящих из иностранных государств (за исключением государств - членов Евразийского экономического союза) при условии, что на участие в определении поставщика подано не менее 2 заявок (окончательных предложений), которые удовлетворяют требованиям извещения об осуществлении закупки и (или) документации о закупке и которые одновременно соответствуют условиям, указанным в данном </w:t>
      </w:r>
      <w:hyperlink r:id="rId111" w:history="1">
        <w:r w:rsidRPr="0050661D">
          <w:rPr>
            <w:rFonts w:ascii="Times New Roman" w:eastAsia="Times New Roman" w:hAnsi="Times New Roman" w:cs="Times New Roman"/>
            <w:color w:val="000000"/>
            <w:sz w:val="28"/>
            <w:szCs w:val="28"/>
            <w:lang w:eastAsia="ru-RU"/>
          </w:rPr>
          <w:t>пункте</w:t>
        </w:r>
      </w:hyperlink>
      <w:r w:rsidRPr="0050661D">
        <w:rPr>
          <w:rFonts w:ascii="Times New Roman" w:eastAsia="Times New Roman" w:hAnsi="Times New Roman" w:cs="Times New Roman"/>
          <w:color w:val="000000"/>
          <w:sz w:val="28"/>
          <w:szCs w:val="28"/>
          <w:lang w:eastAsia="ru-RU"/>
        </w:rPr>
        <w:t>.</w:t>
      </w:r>
    </w:p>
    <w:p w14:paraId="41B9889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Так, в целях реализации постановления № 1289 ТПП России за период действия постановления оформлено не менее 1003 сертификатов СТ-1, выданных на конкретную закупку, а также 1781 сертификатов СТ-1 на лекарственные препараты с указанием срока действия сертификата, оформлено 944 годовых актов экспертизы на лекарственные препараты.</w:t>
      </w:r>
    </w:p>
    <w:p w14:paraId="05B936F6"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Дополнительные ограничения на </w:t>
      </w:r>
      <w:r w:rsidRPr="0050661D">
        <w:rPr>
          <w:rFonts w:ascii="Times New Roman" w:eastAsia="Times New Roman" w:hAnsi="Times New Roman" w:cs="Times New Roman"/>
          <w:color w:val="000000"/>
          <w:sz w:val="28"/>
          <w:szCs w:val="28"/>
          <w:lang w:eastAsia="ru-RU"/>
        </w:rPr>
        <w:t xml:space="preserve">допуск медицинских изделий и </w:t>
      </w:r>
      <w:r w:rsidRPr="0050661D">
        <w:rPr>
          <w:rFonts w:ascii="Times New Roman" w:eastAsia="Times New Roman" w:hAnsi="Times New Roman" w:cs="Times New Roman"/>
          <w:sz w:val="28"/>
          <w:szCs w:val="28"/>
          <w:lang w:eastAsia="ru-RU"/>
        </w:rPr>
        <w:t>лекарственных препаратов, происходящих из иностранных государств, при осуществлении закупок для обеспечения государственных и муниципальных нужд, поддерживают качество и цены на отечественное медицинское оборудование и лекарственные препараты на надлежащем уровне, при условии сохранения конкуренции между отечественными и зарубежными производителями.</w:t>
      </w:r>
    </w:p>
    <w:p w14:paraId="2D7E40C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разработаны и письмами от 29.01.2019 </w:t>
      </w:r>
      <w:r w:rsidRPr="0050661D">
        <w:rPr>
          <w:rFonts w:ascii="Times New Roman" w:eastAsia="Times New Roman" w:hAnsi="Times New Roman" w:cs="Times New Roman"/>
          <w:sz w:val="28"/>
          <w:szCs w:val="28"/>
          <w:lang w:eastAsia="ru-RU"/>
        </w:rPr>
        <w:br/>
        <w:t>№ МД-5088/19 от 11.02.2019 № МД-8207/19 внесены в Правительство Российской Федерации проект постановления «О внесении изменений в постановление Правительства Российской Федерации от 05.02.2015  № 102» и «О внесении изменений в перечень отдельных видов медицинских изделий, происходящих из иностранных государств, в отношении которых устанавливаются ограничения допуска для целей осуществления закупок для обеспечения государственных и муниципальных нужд», которыми предлагается дополнить перечень отдельных видов медицинских изделий, на который распространяется постановление № 102, 18 видами медицинских изделий.</w:t>
      </w:r>
    </w:p>
    <w:p w14:paraId="5F86E7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настоящее время проекты постановлений дорабатываются в рамках исполнения поручения Заместителя Председателя Правительства Российской Федерации Т.А. Голиковой от 16.02.2019 № ТГ-П12-1085.</w:t>
      </w:r>
    </w:p>
    <w:p w14:paraId="5561A856" w14:textId="77777777" w:rsidR="0050661D" w:rsidRPr="0050661D" w:rsidRDefault="0050661D" w:rsidP="0050661D">
      <w:pPr>
        <w:spacing w:after="0" w:line="240" w:lineRule="auto"/>
        <w:ind w:firstLine="709"/>
        <w:jc w:val="both"/>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совместно с Минфином России, Минэкономразвития России, Минздравом России,  Росздравнадзором и ФАС России будет проработан вопрос обложения налогом на добавленную стоимость медицинских товаров, поименованных в </w:t>
      </w:r>
      <w:r w:rsidRPr="0050661D">
        <w:rPr>
          <w:rFonts w:ascii="Times New Roman" w:eastAsia="Times New Roman" w:hAnsi="Times New Roman" w:cs="Times New Roman"/>
          <w:color w:val="000000"/>
          <w:sz w:val="28"/>
          <w:szCs w:val="28"/>
          <w:lang w:eastAsia="ru-RU"/>
        </w:rPr>
        <w:t>постановлении Прав</w:t>
      </w:r>
      <w:r w:rsidR="003E57C1">
        <w:rPr>
          <w:rFonts w:ascii="Times New Roman" w:eastAsia="Times New Roman" w:hAnsi="Times New Roman" w:cs="Times New Roman"/>
          <w:color w:val="000000"/>
          <w:sz w:val="28"/>
          <w:szCs w:val="28"/>
          <w:lang w:eastAsia="ru-RU"/>
        </w:rPr>
        <w:t xml:space="preserve">ительства Российской Федерации </w:t>
      </w:r>
      <w:r w:rsidRPr="0050661D">
        <w:rPr>
          <w:rFonts w:ascii="Times New Roman" w:eastAsia="Times New Roman" w:hAnsi="Times New Roman" w:cs="Times New Roman"/>
          <w:color w:val="000000"/>
          <w:sz w:val="28"/>
          <w:szCs w:val="28"/>
          <w:lang w:eastAsia="ru-RU"/>
        </w:rPr>
        <w:t>от 05.02.2015 №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ввоз которых осуществляется на территорию Российской Федерации и иные территории, находящиеся под ее юрисдикцией.</w:t>
      </w:r>
    </w:p>
    <w:p w14:paraId="1E83C6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Минпромторг России подготовил проект изменений в Федеральный закон Российской Федерации от 12.04.2019 г. № 61-ФЗ «Об обращении лекарственных средств» для поддержки экспорта промышленной продукции и упрощения доступа на внешние рынки фармацевтических субстанций, произведенных в Российской Федерации. Предложенные изменения предусматривают возможность выдачи специального документа, который подтверждает, что производство фармацевтической субстанции было осуществлено в соответствии с правилами надлежащей производственной практики. Страна, в которую ввозится фармацевтическая субстанция, сможет получить эту справку от производителя.</w:t>
      </w:r>
    </w:p>
    <w:p w14:paraId="405A86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Документ будет разработан в формате, рекомендуемом ВОЗ, и позволит эффективно осуществлять экспортно-импортные операции с фармацевтическими субстанциями, а также будет способствовать увеличению доли экспортеров в общем объеме несырьевого экспорта.</w:t>
      </w:r>
    </w:p>
    <w:p w14:paraId="6BDC699C"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Промышленность переработки отходов</w:t>
      </w:r>
    </w:p>
    <w:p w14:paraId="01CC8042"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Отрасль промышленности по обработке, утилизации и обезвреживанию отходов – совокупность экономически, технически и организационно взаимосвязанных хозяйствующих субъектов одной или нескольких отраслей экономики, осуществляющих деятельность по вовлечению отходов в хозяйственный оборот, созданию и развитию инновационных технологий ресурсосбережения, обработки, утилизации и обезвреживания отходов, внедрению специального промышленного оборудования, техники, установок по экологически безопасному обращению с отходами.</w:t>
      </w:r>
    </w:p>
    <w:p w14:paraId="1D611DC0"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создания в Российской Федерации конкурентоспособной индустрии обработки, утилизации и обезвреживания отходов с получением вторичного сырья и готовой продукции Минпромторгом России была разработана Стратегия развития промышленности по обработке, утилизации и обезвреживанию отходов производства и потребления на период до 2030 года, утвержденная распоряжением Правительства Российской Федерации от 25.01.2018 № 84-р (далее – Стратегия).</w:t>
      </w:r>
    </w:p>
    <w:p w14:paraId="31BF03F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основных целей Стратегии является формирование и перспективное развитие российской конкурентоспособной технологической и машиностроительной базы, обеспечивающей отрасль промышленности по обработке, утилизации и обезвреживанию отходов современным высокотехнологичным оборудованием, обладающим также высоким экспортным потенциалом.</w:t>
      </w:r>
    </w:p>
    <w:p w14:paraId="080770C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достижения поставленной цели планируется решение следующих задач:</w:t>
      </w:r>
    </w:p>
    <w:p w14:paraId="207E1A3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эффективной комплексной системы управления и регулирования в области обработки, утилизации и обезвреживания отходов;</w:t>
      </w:r>
    </w:p>
    <w:p w14:paraId="20BFC7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и расширение отечественной промышленно-технологической базы, обеспечивающей отрасль промышленности по обработке, утилизации и обезвреживанию отходов современным российским высокотехнологичным конкурентоспособным, экологически безопасным оборудованием, техникой, машинами и механизмами, обладающими высоким экспортным потенциалом.</w:t>
      </w:r>
    </w:p>
    <w:p w14:paraId="7861FDC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В целях достижения доступности, технологичности и эффективности отрасли большинство предусмотренных механизмов реализации настоящей Стратегии обеспечивают решение поставленных задач исключительно на конкурентной основе, что будет способствовать развитию внутриотраслевой конкуренции и недопущению монополизации рынков производства оборудования и услуг по обработке, утилизации и обезвреживанию отходов.</w:t>
      </w:r>
    </w:p>
    <w:p w14:paraId="6251E5D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Решение задачи развития и совершенствования отечественной технологической базы по обработке, утилизации и обезвреживанию отходов приведет к росту конкурентоспособности соответствующих отечественных технологий и оборудования, повышению уровня лояльности к ним со стороны потребителей, что создаст предпосылки для импортозамещения.</w:t>
      </w:r>
    </w:p>
    <w:p w14:paraId="7AEADFB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Необходимо отметить имеющиеся в настоящий момент положительные тенденции в выполнении задач, указанных в Стратегии, благодаря деятельности компаний в сфере обращения с отходами производства и потребления, в том числе региональных операторов по обращению с твердыми коммунальными отходами.</w:t>
      </w:r>
    </w:p>
    <w:p w14:paraId="1F963AD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АО «Управление отходами»</w:t>
      </w:r>
    </w:p>
    <w:p w14:paraId="615B1FCB" w14:textId="77777777" w:rsidR="0050661D" w:rsidRPr="0050661D" w:rsidRDefault="0050661D" w:rsidP="0050661D">
      <w:pPr>
        <w:spacing w:after="0" w:line="240" w:lineRule="auto"/>
        <w:ind w:firstLine="709"/>
        <w:jc w:val="both"/>
        <w:rPr>
          <w:rFonts w:ascii="Times New Roman" w:eastAsia="Times New Roman" w:hAnsi="Times New Roman" w:cs="Times New Roman"/>
          <w:iCs/>
          <w:sz w:val="28"/>
          <w:szCs w:val="28"/>
          <w:lang w:eastAsia="ru-RU"/>
        </w:rPr>
      </w:pPr>
      <w:r w:rsidRPr="0050661D">
        <w:rPr>
          <w:rFonts w:ascii="Times New Roman" w:eastAsia="Times New Roman" w:hAnsi="Times New Roman" w:cs="Times New Roman"/>
          <w:sz w:val="28"/>
          <w:szCs w:val="28"/>
          <w:lang w:eastAsia="ru-RU"/>
        </w:rPr>
        <w:t xml:space="preserve">В начале 2019 года </w:t>
      </w:r>
      <w:r w:rsidRPr="0050661D">
        <w:rPr>
          <w:rFonts w:ascii="Times New Roman" w:eastAsia="Times New Roman" w:hAnsi="Times New Roman" w:cs="Times New Roman"/>
          <w:bCs/>
          <w:sz w:val="28"/>
          <w:szCs w:val="28"/>
          <w:lang w:eastAsia="ru-RU"/>
        </w:rPr>
        <w:t>АО «Управление отходами»</w:t>
      </w:r>
      <w:r w:rsidRPr="0050661D">
        <w:rPr>
          <w:rFonts w:ascii="Times New Roman" w:eastAsia="Times New Roman" w:hAnsi="Times New Roman" w:cs="Times New Roman"/>
          <w:b/>
          <w:sz w:val="28"/>
          <w:szCs w:val="28"/>
          <w:lang w:eastAsia="ru-RU"/>
        </w:rPr>
        <w:t xml:space="preserve"> </w:t>
      </w:r>
      <w:r w:rsidRPr="0050661D">
        <w:rPr>
          <w:rFonts w:ascii="Times New Roman" w:eastAsia="Times New Roman" w:hAnsi="Times New Roman" w:cs="Times New Roman"/>
          <w:sz w:val="28"/>
          <w:szCs w:val="28"/>
          <w:lang w:eastAsia="ru-RU"/>
        </w:rPr>
        <w:t xml:space="preserve">в г. Мурманск запущен мусоросортировочный комплекс </w:t>
      </w:r>
      <w:r w:rsidRPr="0050661D">
        <w:rPr>
          <w:rFonts w:ascii="Times New Roman" w:eastAsia="Times New Roman" w:hAnsi="Times New Roman" w:cs="Times New Roman"/>
          <w:iCs/>
          <w:sz w:val="28"/>
          <w:szCs w:val="28"/>
          <w:lang w:eastAsia="ru-RU"/>
        </w:rPr>
        <w:t>мощностью 250 тысяч тонн в год.</w:t>
      </w:r>
    </w:p>
    <w:p w14:paraId="7FDF8D9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iCs/>
          <w:sz w:val="28"/>
          <w:szCs w:val="28"/>
          <w:lang w:eastAsia="ru-RU"/>
        </w:rPr>
        <w:t>Аналогичный комплекс с мощностью сортировки 200 тысяч тонн в год</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iCs/>
          <w:sz w:val="28"/>
          <w:szCs w:val="28"/>
          <w:lang w:eastAsia="ru-RU"/>
        </w:rPr>
        <w:t xml:space="preserve">планируется к запуску </w:t>
      </w:r>
      <w:r w:rsidRPr="0050661D">
        <w:rPr>
          <w:rFonts w:ascii="Times New Roman" w:eastAsia="Times New Roman" w:hAnsi="Times New Roman" w:cs="Times New Roman"/>
          <w:sz w:val="28"/>
          <w:szCs w:val="28"/>
          <w:lang w:eastAsia="ru-RU"/>
        </w:rPr>
        <w:t xml:space="preserve">в г. Магнитогорск </w:t>
      </w:r>
    </w:p>
    <w:p w14:paraId="3E484B8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в 2019 году начнется реализация мусоросортировочного комплекса в г. Челябинске, где </w:t>
      </w:r>
      <w:r w:rsidRPr="0050661D">
        <w:rPr>
          <w:rFonts w:ascii="Times New Roman" w:eastAsia="Times New Roman" w:hAnsi="Times New Roman" w:cs="Times New Roman"/>
          <w:iCs/>
          <w:sz w:val="28"/>
          <w:szCs w:val="28"/>
          <w:lang w:eastAsia="ru-RU"/>
        </w:rPr>
        <w:t>мощность сортировки составит 500 тысяч тонн в год</w:t>
      </w:r>
      <w:r w:rsidRPr="0050661D">
        <w:rPr>
          <w:rFonts w:ascii="Times New Roman" w:eastAsia="Times New Roman" w:hAnsi="Times New Roman" w:cs="Times New Roman"/>
          <w:sz w:val="28"/>
          <w:szCs w:val="28"/>
          <w:lang w:eastAsia="ru-RU"/>
        </w:rPr>
        <w:t>. Ввод в эксплуатацию планируется в 2020 г.</w:t>
      </w:r>
    </w:p>
    <w:p w14:paraId="76853F65"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 xml:space="preserve">ООО «Экомашгрупп» </w:t>
      </w:r>
      <w:r w:rsidRPr="0050661D">
        <w:rPr>
          <w:rFonts w:ascii="Times New Roman" w:eastAsia="Times New Roman" w:hAnsi="Times New Roman" w:cs="Times New Roman"/>
          <w:sz w:val="28"/>
          <w:szCs w:val="28"/>
          <w:lang w:eastAsia="ru-RU"/>
        </w:rPr>
        <w:t>в 2018 году завершило монтаж 5 крупных (свыше 150 тысяч тонн в год) автоматизированных комплексов с отечественными комплектующими, в том числе оптическими сепараторами, грохотами и разрывателями пакетов (г. Зарайск, г. Рошаль, г. Кашира, г. Коломна, г. Губкин) и 21 комплекса с мощностью до 150 тысяч тонн в год. В период до 2020 года еще в 15 регионах России планируется ввести в эксплуатацию объекты переработки отходов с оборудованием ООО «Экомашгрупп» (Московская, Белгородская, Омская, Новосибирская, Пензенская, Владимирская, Ярославская, Тульская, Тверская, Челябинская, Ленинградская области, Пермский край, Республика Башкирия, ЯНАО, г. Санкт-Петербург).</w:t>
      </w:r>
    </w:p>
    <w:p w14:paraId="70DDF3FC"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Компанией ООО «Ржевмаш»</w:t>
      </w:r>
      <w:r w:rsidRPr="0050661D">
        <w:rPr>
          <w:rFonts w:ascii="Times New Roman" w:eastAsia="Times New Roman" w:hAnsi="Times New Roman" w:cs="Times New Roman"/>
          <w:sz w:val="28"/>
          <w:szCs w:val="28"/>
          <w:lang w:eastAsia="ru-RU"/>
        </w:rPr>
        <w:t xml:space="preserve"> реализуются проекты автоматических комплексов по сортировке в Московской области «КПО Север», МПК «Каширский» (350 тысяч тонн в год каждый) и Республике Башкортостан (250 тысяч тонн в год), и высокомеханизированных комплексов по сортировке в Вологодской области (250 тысяч тонн в год), Воронежской области (100 тысяч тонн в год), Кировской области (250 тысяч тонн в год) и Пермском крае (350 тысяч тонн в год).</w:t>
      </w:r>
    </w:p>
    <w:p w14:paraId="0DE5F2C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ГК «Чистый город»</w:t>
      </w:r>
    </w:p>
    <w:p w14:paraId="499F62E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введено в эксплуатацию:</w:t>
      </w:r>
    </w:p>
    <w:p w14:paraId="02A1407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мощность 70 тысяч тонн в год, Республика Калмыкия;</w:t>
      </w:r>
    </w:p>
    <w:p w14:paraId="7F339A5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2 сортировочных комплекса, общей мощностью 600 тысяч тонн в год, Волгоградская область.</w:t>
      </w:r>
    </w:p>
    <w:p w14:paraId="79B56F92"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2019 году планируется ввод в эксплуатацию:</w:t>
      </w:r>
    </w:p>
    <w:p w14:paraId="408635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 сортировочных комплекса общей мощностью 420 тысяч тонн в год, Ростовская область;</w:t>
      </w:r>
    </w:p>
    <w:p w14:paraId="77B17EB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200 тысяч тонн в год, Республика Адыгея;</w:t>
      </w:r>
    </w:p>
    <w:p w14:paraId="6F572E1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450 тысяч тонн в год, Волгоградская область.</w:t>
      </w:r>
    </w:p>
    <w:p w14:paraId="7E90DD48"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Следует отметить, что доля российского оборудования в составе указанных комплексов более 60 процентов.</w:t>
      </w:r>
    </w:p>
    <w:p w14:paraId="16860FC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2018 год мусоросортировочных комплексов (МСК) на территории России оценивается в 60 единиц.</w:t>
      </w:r>
    </w:p>
    <w:p w14:paraId="3017886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Количество предприятий, занимающихся переработкой отходов с получением вторсырья, на сегодняшний день в Российской Федерации чуть более 200.</w:t>
      </w:r>
    </w:p>
    <w:p w14:paraId="11D7B13B"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Таким образом, одним из основных направлений действий по решению задачи создания эффективной комплексной системы управления и регулирования в области обработки, утилизации и обезвреживания отходов является подготовка предложений по реализации отдельных этапов Стратегии в рамках утвержденных Правительством Российской Федерации государственных программ Российской Федерации и приоритетных проектов, программ социально-экономического развития субъектов Российской Федерации, в первую очередь, в сфере создания благоприятной конкурентной среды, поддержки малого и среднего предпринимательства, формирования национальной системы гарантийных организаций для субъектов малого и среднего предпринимательства, стимулирования создания и выведения на проектную мощность индустриальных (промышленных) парков, технопарков, промышленных кластеров, создание инфраструктуры поддержки субъектов малого и среднего предпринимательства, осуществляющих внешнеэкономическую деятельность.</w:t>
      </w:r>
    </w:p>
    <w:p w14:paraId="1AB6DC8F" w14:textId="77777777" w:rsidR="0050661D" w:rsidRDefault="0050661D" w:rsidP="0050661D">
      <w:pPr>
        <w:rPr>
          <w:lang w:eastAsia="ru-RU"/>
        </w:rPr>
      </w:pPr>
    </w:p>
    <w:p w14:paraId="74380F4C" w14:textId="77777777" w:rsidR="0050661D" w:rsidRPr="0050661D" w:rsidRDefault="0050661D" w:rsidP="0050661D">
      <w:pPr>
        <w:rPr>
          <w:lang w:eastAsia="ru-RU"/>
        </w:rPr>
      </w:pPr>
    </w:p>
    <w:p w14:paraId="25AFBD0A" w14:textId="774C9913" w:rsidR="00476A70" w:rsidRDefault="00476A70" w:rsidP="00BB7A44">
      <w:pPr>
        <w:pStyle w:val="2"/>
        <w:numPr>
          <w:ilvl w:val="1"/>
          <w:numId w:val="69"/>
        </w:numPr>
      </w:pPr>
      <w:bookmarkStart w:id="2073" w:name="_Toc7448062"/>
      <w:r>
        <w:t>Министерство сельского хозяйства Российской Федерации</w:t>
      </w:r>
      <w:bookmarkEnd w:id="2073"/>
    </w:p>
    <w:p w14:paraId="61F3E7CC" w14:textId="77777777" w:rsidR="00476A70" w:rsidRPr="001D7907" w:rsidRDefault="00476A70" w:rsidP="00476A70">
      <w:pPr>
        <w:pStyle w:val="Default"/>
        <w:ind w:firstLine="709"/>
        <w:contextualSpacing/>
        <w:jc w:val="center"/>
        <w:rPr>
          <w:b/>
          <w:sz w:val="28"/>
          <w:szCs w:val="28"/>
        </w:rPr>
      </w:pPr>
      <w:r w:rsidRPr="001D7907">
        <w:rPr>
          <w:b/>
          <w:sz w:val="28"/>
          <w:szCs w:val="28"/>
        </w:rPr>
        <w:t>О состоянии развития конкуренция в агропромышленном комплексе</w:t>
      </w:r>
    </w:p>
    <w:p w14:paraId="65105BAB" w14:textId="77777777" w:rsidR="00476A70" w:rsidRPr="001D7907" w:rsidRDefault="00476A70" w:rsidP="00476A70">
      <w:pPr>
        <w:pStyle w:val="Default"/>
        <w:ind w:firstLine="709"/>
        <w:contextualSpacing/>
        <w:jc w:val="center"/>
        <w:rPr>
          <w:b/>
          <w:sz w:val="28"/>
          <w:szCs w:val="28"/>
        </w:rPr>
      </w:pPr>
    </w:p>
    <w:p w14:paraId="3F9991CD" w14:textId="77777777" w:rsidR="00476A70" w:rsidRPr="001D7907" w:rsidRDefault="00476A70" w:rsidP="00476A70">
      <w:pPr>
        <w:pStyle w:val="Default"/>
        <w:ind w:firstLine="709"/>
        <w:contextualSpacing/>
        <w:jc w:val="both"/>
        <w:rPr>
          <w:sz w:val="28"/>
          <w:szCs w:val="28"/>
        </w:rPr>
      </w:pPr>
      <w:r w:rsidRPr="001D7907">
        <w:rPr>
          <w:sz w:val="28"/>
          <w:szCs w:val="28"/>
        </w:rPr>
        <w:t>Одним из принципов го</w:t>
      </w:r>
      <w:r>
        <w:rPr>
          <w:sz w:val="28"/>
          <w:szCs w:val="28"/>
        </w:rPr>
        <w:t>сударственной аграрной политики</w:t>
      </w:r>
      <w:r w:rsidRPr="001D7907">
        <w:rPr>
          <w:sz w:val="28"/>
          <w:szCs w:val="28"/>
        </w:rPr>
        <w:t xml:space="preserve"> </w:t>
      </w:r>
      <w:r>
        <w:rPr>
          <w:sz w:val="28"/>
          <w:szCs w:val="28"/>
        </w:rPr>
        <w:br/>
      </w:r>
      <w:r w:rsidRPr="001D7907">
        <w:rPr>
          <w:sz w:val="28"/>
          <w:szCs w:val="28"/>
        </w:rPr>
        <w:t xml:space="preserve">в соответствии с Федеральным законом от 29 декабря 2006 г. № 264-ФЗ </w:t>
      </w:r>
      <w:r>
        <w:rPr>
          <w:sz w:val="28"/>
          <w:szCs w:val="28"/>
        </w:rPr>
        <w:br/>
      </w:r>
      <w:r w:rsidRPr="001D7907">
        <w:rPr>
          <w:sz w:val="28"/>
          <w:szCs w:val="28"/>
        </w:rPr>
        <w:t>«</w:t>
      </w:r>
      <w:r>
        <w:rPr>
          <w:sz w:val="28"/>
          <w:szCs w:val="28"/>
        </w:rPr>
        <w:t>О развитии сельского хозяйства»</w:t>
      </w:r>
      <w:r w:rsidRPr="001D7907">
        <w:rPr>
          <w:sz w:val="28"/>
          <w:szCs w:val="28"/>
        </w:rPr>
        <w:t xml:space="preserve"> является единство рынка сельскохозяйственной продукции, сырья и продовольствия и обеспечение равных условий конкуренции на этом рынке. Реализуемые в последние годы меры государственной поддержки сельского хозяйства и государственного регулирования рынка сельскохозяйственной продукции, сырья </w:t>
      </w:r>
      <w:r>
        <w:rPr>
          <w:sz w:val="28"/>
          <w:szCs w:val="28"/>
        </w:rPr>
        <w:br/>
      </w:r>
      <w:r w:rsidRPr="001D7907">
        <w:rPr>
          <w:sz w:val="28"/>
          <w:szCs w:val="28"/>
        </w:rPr>
        <w:t xml:space="preserve">и продовольствия направлены </w:t>
      </w:r>
      <w:r>
        <w:rPr>
          <w:sz w:val="28"/>
          <w:szCs w:val="28"/>
        </w:rPr>
        <w:t xml:space="preserve">также </w:t>
      </w:r>
      <w:r w:rsidRPr="001D7907">
        <w:rPr>
          <w:sz w:val="28"/>
          <w:szCs w:val="28"/>
        </w:rPr>
        <w:t xml:space="preserve">и на развитие конкурентной среды </w:t>
      </w:r>
      <w:r>
        <w:rPr>
          <w:sz w:val="28"/>
          <w:szCs w:val="28"/>
        </w:rPr>
        <w:br/>
      </w:r>
      <w:r w:rsidRPr="001D7907">
        <w:rPr>
          <w:sz w:val="28"/>
          <w:szCs w:val="28"/>
        </w:rPr>
        <w:t xml:space="preserve">на внутреннем рынке. </w:t>
      </w:r>
    </w:p>
    <w:p w14:paraId="017B47C8" w14:textId="77777777" w:rsidR="00476A70" w:rsidRDefault="00476A70" w:rsidP="00476A70">
      <w:pPr>
        <w:pStyle w:val="Default"/>
        <w:ind w:firstLine="709"/>
        <w:contextualSpacing/>
        <w:jc w:val="both"/>
        <w:rPr>
          <w:sz w:val="28"/>
          <w:szCs w:val="28"/>
        </w:rPr>
      </w:pPr>
      <w:r w:rsidRPr="001D7907">
        <w:rPr>
          <w:sz w:val="28"/>
          <w:szCs w:val="28"/>
        </w:rPr>
        <w:t>Основополагающим документом развития агропромышленного комплекса является Государственная программа развития сельского хозяйства и регулирования рынков сельскохозяйственной продукции, с</w:t>
      </w:r>
      <w:r>
        <w:rPr>
          <w:sz w:val="28"/>
          <w:szCs w:val="28"/>
        </w:rPr>
        <w:t>ырья и продовольствия на 2013-</w:t>
      </w:r>
      <w:r w:rsidRPr="001D7907">
        <w:rPr>
          <w:sz w:val="28"/>
          <w:szCs w:val="28"/>
        </w:rPr>
        <w:t>2020 годы (далее – Госпрограмма), предусматривающая мероприятия, направленные</w:t>
      </w:r>
      <w:r>
        <w:rPr>
          <w:sz w:val="28"/>
          <w:szCs w:val="28"/>
        </w:rPr>
        <w:t xml:space="preserve"> на</w:t>
      </w:r>
      <w:r w:rsidRPr="001D7907">
        <w:rPr>
          <w:sz w:val="28"/>
          <w:szCs w:val="28"/>
        </w:rPr>
        <w:t xml:space="preserve"> </w:t>
      </w:r>
      <w:r w:rsidRPr="00893221">
        <w:rPr>
          <w:sz w:val="28"/>
          <w:szCs w:val="28"/>
        </w:rPr>
        <w:t>повышение конкурентоспособности российской сельскохозяйственной продукции</w:t>
      </w:r>
      <w:r>
        <w:rPr>
          <w:sz w:val="28"/>
          <w:szCs w:val="28"/>
        </w:rPr>
        <w:t xml:space="preserve"> на внутреннем и внешнем рынках.</w:t>
      </w:r>
      <w:r w:rsidRPr="001D7907">
        <w:rPr>
          <w:sz w:val="28"/>
          <w:szCs w:val="28"/>
        </w:rPr>
        <w:t xml:space="preserve"> </w:t>
      </w:r>
    </w:p>
    <w:p w14:paraId="717D831E" w14:textId="77777777" w:rsidR="00476A70" w:rsidRDefault="00476A70" w:rsidP="00476A70">
      <w:pPr>
        <w:pStyle w:val="Default"/>
        <w:ind w:firstLine="709"/>
        <w:contextualSpacing/>
        <w:jc w:val="both"/>
        <w:rPr>
          <w:sz w:val="28"/>
          <w:szCs w:val="28"/>
        </w:rPr>
      </w:pPr>
      <w:r w:rsidRPr="001D7907">
        <w:rPr>
          <w:sz w:val="28"/>
          <w:szCs w:val="28"/>
        </w:rPr>
        <w:t>Комплексные м</w:t>
      </w:r>
      <w:r>
        <w:rPr>
          <w:sz w:val="28"/>
          <w:szCs w:val="28"/>
        </w:rPr>
        <w:t>еры поддержки аграрного сектора направлен</w:t>
      </w:r>
      <w:r w:rsidRPr="001D7907">
        <w:rPr>
          <w:sz w:val="28"/>
          <w:szCs w:val="28"/>
        </w:rPr>
        <w:t>ы</w:t>
      </w:r>
      <w:r>
        <w:rPr>
          <w:sz w:val="28"/>
          <w:szCs w:val="28"/>
        </w:rPr>
        <w:t xml:space="preserve">, </w:t>
      </w:r>
      <w:r>
        <w:rPr>
          <w:sz w:val="28"/>
          <w:szCs w:val="28"/>
        </w:rPr>
        <w:br/>
      </w:r>
      <w:r w:rsidRPr="001D7907">
        <w:rPr>
          <w:sz w:val="28"/>
          <w:szCs w:val="28"/>
        </w:rPr>
        <w:t>в первую очередь</w:t>
      </w:r>
      <w:r>
        <w:rPr>
          <w:sz w:val="28"/>
          <w:szCs w:val="28"/>
        </w:rPr>
        <w:t>,</w:t>
      </w:r>
      <w:r w:rsidRPr="001D7907">
        <w:rPr>
          <w:sz w:val="28"/>
          <w:szCs w:val="28"/>
        </w:rPr>
        <w:t xml:space="preserve"> на увеличение предложения сельскохозяйственной продукции, сырья и продовольствия на агропродовольственном рынке, </w:t>
      </w:r>
      <w:r>
        <w:rPr>
          <w:sz w:val="28"/>
          <w:szCs w:val="28"/>
        </w:rPr>
        <w:br/>
      </w:r>
      <w:r w:rsidRPr="001D7907">
        <w:rPr>
          <w:sz w:val="28"/>
          <w:szCs w:val="28"/>
        </w:rPr>
        <w:t>а также на поддержку доходности сельскохозяйственных производителей</w:t>
      </w:r>
      <w:r>
        <w:rPr>
          <w:sz w:val="28"/>
          <w:szCs w:val="28"/>
        </w:rPr>
        <w:t xml:space="preserve">, увеличение </w:t>
      </w:r>
      <w:r w:rsidRPr="00893221">
        <w:rPr>
          <w:bCs/>
          <w:sz w:val="28"/>
          <w:szCs w:val="28"/>
        </w:rPr>
        <w:t>темпа роста экспорта продукции агропромышленного комплекса</w:t>
      </w:r>
      <w:r>
        <w:rPr>
          <w:sz w:val="28"/>
          <w:szCs w:val="28"/>
        </w:rPr>
        <w:t>.</w:t>
      </w:r>
    </w:p>
    <w:p w14:paraId="771C1054" w14:textId="77777777" w:rsidR="00476A70" w:rsidRPr="00AE0154" w:rsidRDefault="00476A70" w:rsidP="00476A70">
      <w:pPr>
        <w:pStyle w:val="Default"/>
        <w:ind w:firstLine="709"/>
        <w:contextualSpacing/>
        <w:jc w:val="both"/>
        <w:rPr>
          <w:sz w:val="28"/>
          <w:szCs w:val="28"/>
        </w:rPr>
      </w:pPr>
      <w:r w:rsidRPr="00AE0154">
        <w:rPr>
          <w:sz w:val="28"/>
          <w:szCs w:val="28"/>
        </w:rPr>
        <w:t>Во исполнение Перечня поручений Президента Российской Федерации от 15 мая 2018 г. № Пр-817 ГС по итогам заседания Государственного совета Российской Федерации от 5 апреля 2018 года (подпункт «а» пункта 2), согласно Методики по расчету ключевых показателей развития конкуренции в отраслях экономики и субъектах Российской Федерации, утвержденной приказом Федеральной антимонопольно</w:t>
      </w:r>
      <w:r>
        <w:rPr>
          <w:sz w:val="28"/>
          <w:szCs w:val="28"/>
        </w:rPr>
        <w:t xml:space="preserve">й службы от 29 августа 2018 г. </w:t>
      </w:r>
      <w:r>
        <w:rPr>
          <w:sz w:val="28"/>
          <w:szCs w:val="28"/>
        </w:rPr>
        <w:br/>
      </w:r>
      <w:r w:rsidRPr="00AE0154">
        <w:rPr>
          <w:sz w:val="28"/>
          <w:szCs w:val="28"/>
        </w:rPr>
        <w:t>№ 1232/18 (далее – Методика), Минсел</w:t>
      </w:r>
      <w:r>
        <w:rPr>
          <w:sz w:val="28"/>
          <w:szCs w:val="28"/>
        </w:rPr>
        <w:t xml:space="preserve">ьхозом России проведена работа </w:t>
      </w:r>
      <w:r w:rsidRPr="00AE0154">
        <w:rPr>
          <w:sz w:val="28"/>
          <w:szCs w:val="28"/>
        </w:rPr>
        <w:t>по рассмотрению ключевых показателей развития конкуренции в сфере агропромышленного и рыбохозяйственного комплексов 20 субъектов Российской Федерации.</w:t>
      </w:r>
    </w:p>
    <w:p w14:paraId="0AAB6A9E" w14:textId="77777777" w:rsidR="00476A70" w:rsidRDefault="00476A70" w:rsidP="00476A70">
      <w:pPr>
        <w:pStyle w:val="Default"/>
        <w:ind w:firstLine="709"/>
        <w:contextualSpacing/>
        <w:jc w:val="both"/>
        <w:rPr>
          <w:sz w:val="28"/>
          <w:szCs w:val="28"/>
        </w:rPr>
      </w:pPr>
      <w:r w:rsidRPr="00AE0154">
        <w:rPr>
          <w:sz w:val="28"/>
          <w:szCs w:val="28"/>
        </w:rPr>
        <w:t>По результатам рассмотрения 5 субъектам Российской Федерации ключевых показателей развития конкуренции согласованы, 5 субъектам Российской Федерации перечни показ</w:t>
      </w:r>
      <w:r>
        <w:rPr>
          <w:sz w:val="28"/>
          <w:szCs w:val="28"/>
        </w:rPr>
        <w:t xml:space="preserve">ателей возвращены на доработку </w:t>
      </w:r>
      <w:r>
        <w:rPr>
          <w:sz w:val="28"/>
          <w:szCs w:val="28"/>
        </w:rPr>
        <w:br/>
      </w:r>
      <w:r w:rsidRPr="00AE0154">
        <w:rPr>
          <w:sz w:val="28"/>
          <w:szCs w:val="28"/>
        </w:rPr>
        <w:t>и 10 субъектам Российской Федерации о</w:t>
      </w:r>
      <w:r>
        <w:rPr>
          <w:sz w:val="28"/>
          <w:szCs w:val="28"/>
        </w:rPr>
        <w:t xml:space="preserve">тказано в согласовании в связи </w:t>
      </w:r>
      <w:r>
        <w:rPr>
          <w:sz w:val="28"/>
          <w:szCs w:val="28"/>
        </w:rPr>
        <w:br/>
      </w:r>
      <w:r w:rsidR="00472E9D">
        <w:rPr>
          <w:sz w:val="28"/>
          <w:szCs w:val="28"/>
        </w:rPr>
        <w:t>с не</w:t>
      </w:r>
      <w:r w:rsidRPr="00AE0154">
        <w:rPr>
          <w:sz w:val="28"/>
          <w:szCs w:val="28"/>
        </w:rPr>
        <w:t>представлением исходных данных в соответствии с Методикой.</w:t>
      </w:r>
    </w:p>
    <w:p w14:paraId="6D25EBDD" w14:textId="77777777" w:rsidR="00476A70" w:rsidRPr="00893221" w:rsidRDefault="00476A70" w:rsidP="00476A70">
      <w:pPr>
        <w:pStyle w:val="Default"/>
        <w:ind w:firstLine="709"/>
        <w:contextualSpacing/>
        <w:jc w:val="both"/>
        <w:rPr>
          <w:b/>
          <w:sz w:val="28"/>
          <w:szCs w:val="28"/>
        </w:rPr>
      </w:pPr>
      <w:r w:rsidRPr="00893221">
        <w:rPr>
          <w:b/>
          <w:sz w:val="28"/>
          <w:szCs w:val="28"/>
        </w:rPr>
        <w:t>Стимулирование инвестиционной деятельности в агропромышленном комплексе.</w:t>
      </w:r>
    </w:p>
    <w:p w14:paraId="62D66D87" w14:textId="77777777" w:rsidR="00476A70" w:rsidRPr="00384792" w:rsidRDefault="00476A70" w:rsidP="00476A70">
      <w:pPr>
        <w:spacing w:after="0" w:line="240" w:lineRule="auto"/>
        <w:ind w:firstLine="567"/>
        <w:jc w:val="both"/>
        <w:rPr>
          <w:rFonts w:ascii="Times New Roman" w:eastAsia="Calibri" w:hAnsi="Times New Roman" w:cs="Times New Roman"/>
          <w:sz w:val="28"/>
          <w:szCs w:val="28"/>
        </w:rPr>
      </w:pPr>
      <w:r w:rsidRPr="00384792">
        <w:rPr>
          <w:rFonts w:ascii="Times New Roman" w:eastAsia="Calibri" w:hAnsi="Times New Roman" w:cs="Times New Roman"/>
          <w:sz w:val="28"/>
          <w:szCs w:val="28"/>
        </w:rPr>
        <w:t xml:space="preserve">Указом Президента Российской Федерации от 7 мая 2018 года № 204 </w:t>
      </w:r>
      <w:r>
        <w:rPr>
          <w:rFonts w:ascii="Times New Roman" w:eastAsia="Calibri" w:hAnsi="Times New Roman" w:cs="Times New Roman"/>
          <w:sz w:val="28"/>
          <w:szCs w:val="28"/>
        </w:rPr>
        <w:br/>
      </w:r>
      <w:r w:rsidRPr="00384792">
        <w:rPr>
          <w:rFonts w:ascii="Times New Roman" w:eastAsia="Calibri" w:hAnsi="Times New Roman" w:cs="Times New Roman"/>
          <w:sz w:val="28"/>
          <w:szCs w:val="28"/>
        </w:rPr>
        <w:t>«О национальных целях и стратегических задачах развития Российской Федерации на период до 2024 года» в качестве одной из национальных целей развития Российской Федерации на период до 2024 года</w:t>
      </w:r>
      <w:r>
        <w:rPr>
          <w:rFonts w:ascii="Times New Roman" w:eastAsia="Calibri" w:hAnsi="Times New Roman" w:cs="Times New Roman"/>
          <w:sz w:val="28"/>
          <w:szCs w:val="28"/>
        </w:rPr>
        <w:t xml:space="preserve"> является </w:t>
      </w:r>
      <w:r w:rsidRPr="00384792">
        <w:rPr>
          <w:rFonts w:ascii="Times New Roman" w:eastAsia="Calibri" w:hAnsi="Times New Roman" w:cs="Times New Roman"/>
          <w:sz w:val="28"/>
          <w:szCs w:val="28"/>
        </w:rPr>
        <w:t>создание и модернизация экспортно-ориентированной товаропроводящей инфраструктуры, в том числе строительство оптово-распределительных центров (далее – ОРЦ). Создание и развитие современных логистических структур является одной из важнейших мер, направленных на стимулирование торговой деятельности и увеличение объемов продажи продукции отечественных производителей</w:t>
      </w:r>
      <w:r>
        <w:rPr>
          <w:rFonts w:ascii="Times New Roman" w:eastAsia="Calibri" w:hAnsi="Times New Roman" w:cs="Times New Roman"/>
          <w:sz w:val="28"/>
          <w:szCs w:val="28"/>
        </w:rPr>
        <w:t>, повышение их конкурентоспособности</w:t>
      </w:r>
      <w:r w:rsidRPr="00384792">
        <w:rPr>
          <w:rFonts w:ascii="Times New Roman" w:eastAsia="Calibri" w:hAnsi="Times New Roman" w:cs="Times New Roman"/>
          <w:sz w:val="28"/>
          <w:szCs w:val="28"/>
        </w:rPr>
        <w:t>.</w:t>
      </w:r>
    </w:p>
    <w:p w14:paraId="5734B1C7" w14:textId="77777777" w:rsidR="00476A70" w:rsidRPr="00893B45" w:rsidRDefault="00476A70" w:rsidP="00476A70">
      <w:pPr>
        <w:spacing w:after="0" w:line="240" w:lineRule="auto"/>
        <w:ind w:firstLine="709"/>
        <w:jc w:val="both"/>
        <w:rPr>
          <w:rFonts w:ascii="Times New Roman" w:eastAsia="Calibri" w:hAnsi="Times New Roman" w:cs="Times New Roman"/>
          <w:sz w:val="28"/>
        </w:rPr>
      </w:pPr>
      <w:r w:rsidRPr="00384792">
        <w:rPr>
          <w:rFonts w:ascii="Times New Roman" w:eastAsia="Calibri" w:hAnsi="Times New Roman" w:cs="Times New Roman"/>
          <w:sz w:val="28"/>
        </w:rPr>
        <w:t>В соответствии с данными ведомственного мониторинга</w:t>
      </w:r>
      <w:r>
        <w:rPr>
          <w:rFonts w:ascii="Times New Roman" w:eastAsia="Calibri" w:hAnsi="Times New Roman" w:cs="Times New Roman"/>
          <w:sz w:val="28"/>
        </w:rPr>
        <w:t>,</w:t>
      </w:r>
      <w:r w:rsidRPr="00384792">
        <w:rPr>
          <w:rFonts w:ascii="Times New Roman" w:eastAsia="Calibri" w:hAnsi="Times New Roman" w:cs="Times New Roman"/>
          <w:sz w:val="28"/>
        </w:rPr>
        <w:t xml:space="preserve"> в Российс</w:t>
      </w:r>
      <w:r>
        <w:rPr>
          <w:rFonts w:ascii="Times New Roman" w:eastAsia="Calibri" w:hAnsi="Times New Roman" w:cs="Times New Roman"/>
          <w:sz w:val="28"/>
        </w:rPr>
        <w:t xml:space="preserve">кой </w:t>
      </w:r>
      <w:r w:rsidRPr="00893B45">
        <w:rPr>
          <w:rFonts w:ascii="Times New Roman" w:eastAsia="Calibri" w:hAnsi="Times New Roman" w:cs="Times New Roman"/>
          <w:sz w:val="28"/>
        </w:rPr>
        <w:t xml:space="preserve">Федерации по состоянию на 1 января 2019 г. функционируют </w:t>
      </w:r>
      <w:r w:rsidRPr="00893B45">
        <w:rPr>
          <w:rFonts w:ascii="Times New Roman" w:eastAsia="Calibri" w:hAnsi="Times New Roman" w:cs="Times New Roman"/>
          <w:sz w:val="28"/>
        </w:rPr>
        <w:br/>
        <w:t xml:space="preserve">3 413 картофеле- и овощехранилищ суммарной мощностью единовременного хранения 7 888,0 тыс. тонн (2 110 картофелехранилищ суммарной мощностью 4 612,5 тыс. тонн, 803 овощехранилища суммарной мощностью </w:t>
      </w:r>
      <w:r w:rsidRPr="00893B45">
        <w:rPr>
          <w:rFonts w:ascii="Times New Roman" w:eastAsia="Calibri" w:hAnsi="Times New Roman" w:cs="Times New Roman"/>
          <w:sz w:val="28"/>
        </w:rPr>
        <w:br/>
        <w:t>1 630 тыс. тонн и 500 смешанных картофеле- и овощехранилищ суммарной мощностью 1 645,5 тыс. тонн.), а также 282 плодохранилища суммарной мощностью 668 тыс. тонн.</w:t>
      </w:r>
    </w:p>
    <w:p w14:paraId="1B95020D" w14:textId="77777777" w:rsidR="00476A70" w:rsidRPr="00384792" w:rsidRDefault="00476A70" w:rsidP="00476A70">
      <w:pPr>
        <w:spacing w:after="0" w:line="240" w:lineRule="auto"/>
        <w:ind w:firstLine="709"/>
        <w:jc w:val="both"/>
        <w:rPr>
          <w:rFonts w:ascii="Times New Roman" w:eastAsia="Calibri" w:hAnsi="Times New Roman" w:cs="Times New Roman"/>
          <w:sz w:val="28"/>
        </w:rPr>
      </w:pPr>
      <w:r w:rsidRPr="00893B45">
        <w:rPr>
          <w:rFonts w:ascii="Times New Roman" w:eastAsia="Calibri" w:hAnsi="Times New Roman" w:cs="Times New Roman"/>
          <w:sz w:val="28"/>
        </w:rPr>
        <w:t xml:space="preserve">Всего за 2015 - 2018 годы введено в эксплуатацию картофеле- и овощехранилищ мощностью 2 701,6 тыс. тонн, а также плодохранилищ – </w:t>
      </w:r>
      <w:r w:rsidRPr="00893B45">
        <w:rPr>
          <w:rFonts w:ascii="Times New Roman" w:eastAsia="Calibri" w:hAnsi="Times New Roman" w:cs="Times New Roman"/>
          <w:sz w:val="28"/>
        </w:rPr>
        <w:br/>
        <w:t>339,7 тыс. тонн.</w:t>
      </w:r>
    </w:p>
    <w:p w14:paraId="3E7C6FA2" w14:textId="77777777" w:rsidR="00476A70" w:rsidRDefault="00476A70" w:rsidP="00476A70">
      <w:pPr>
        <w:pStyle w:val="Default"/>
        <w:ind w:firstLine="709"/>
        <w:contextualSpacing/>
        <w:jc w:val="both"/>
        <w:rPr>
          <w:bCs/>
          <w:sz w:val="28"/>
          <w:szCs w:val="28"/>
        </w:rPr>
      </w:pPr>
      <w:r>
        <w:rPr>
          <w:bCs/>
          <w:sz w:val="28"/>
          <w:szCs w:val="28"/>
        </w:rPr>
        <w:t xml:space="preserve">Повысилась товарность реализованной сельскохозяйственной продукции. По данным Росстата, товарность реализации скота и птицы в 2018 году составила 101,1% против 100,7% в 2017 году, свиней – 100,5% </w:t>
      </w:r>
      <w:r>
        <w:rPr>
          <w:bCs/>
          <w:sz w:val="28"/>
          <w:szCs w:val="28"/>
        </w:rPr>
        <w:br/>
        <w:t xml:space="preserve">и 100,2%, птицы – 99,8% и 99,0%, яйца куриного – 89,9% </w:t>
      </w:r>
      <w:r w:rsidRPr="00851105">
        <w:rPr>
          <w:bCs/>
          <w:sz w:val="28"/>
          <w:szCs w:val="28"/>
        </w:rPr>
        <w:t>и 90,3</w:t>
      </w:r>
      <w:r>
        <w:rPr>
          <w:bCs/>
          <w:sz w:val="28"/>
          <w:szCs w:val="28"/>
        </w:rPr>
        <w:t>% соответственно.</w:t>
      </w:r>
    </w:p>
    <w:p w14:paraId="46D37B8F" w14:textId="77777777" w:rsidR="00476A70" w:rsidRDefault="00476A70" w:rsidP="00476A70">
      <w:pPr>
        <w:pStyle w:val="Default"/>
        <w:ind w:firstLine="709"/>
        <w:contextualSpacing/>
        <w:jc w:val="both"/>
        <w:rPr>
          <w:bCs/>
          <w:sz w:val="28"/>
          <w:szCs w:val="28"/>
        </w:rPr>
      </w:pPr>
      <w:r>
        <w:rPr>
          <w:bCs/>
          <w:sz w:val="28"/>
          <w:szCs w:val="28"/>
        </w:rPr>
        <w:t>Увеличились объемы отгрузки сельскохозяйственной продукции сельхозорганизациями.</w:t>
      </w:r>
    </w:p>
    <w:p w14:paraId="3A37F165" w14:textId="77777777" w:rsidR="00476A70" w:rsidRDefault="00476A70" w:rsidP="00476A70">
      <w:pPr>
        <w:pStyle w:val="Default"/>
        <w:ind w:firstLine="709"/>
        <w:contextualSpacing/>
        <w:jc w:val="right"/>
        <w:rPr>
          <w:bCs/>
          <w:sz w:val="28"/>
          <w:szCs w:val="28"/>
        </w:rPr>
      </w:pPr>
      <w:r>
        <w:rPr>
          <w:bCs/>
          <w:sz w:val="28"/>
          <w:szCs w:val="28"/>
        </w:rPr>
        <w:t>Таблица 1</w:t>
      </w:r>
    </w:p>
    <w:tbl>
      <w:tblPr>
        <w:tblStyle w:val="afa"/>
        <w:tblW w:w="9570" w:type="dxa"/>
        <w:tblLayout w:type="fixed"/>
        <w:tblLook w:val="04A0" w:firstRow="1" w:lastRow="0" w:firstColumn="1" w:lastColumn="0" w:noHBand="0" w:noVBand="1"/>
      </w:tblPr>
      <w:tblGrid>
        <w:gridCol w:w="2376"/>
        <w:gridCol w:w="1134"/>
        <w:gridCol w:w="1134"/>
        <w:gridCol w:w="1276"/>
        <w:gridCol w:w="1241"/>
        <w:gridCol w:w="1204"/>
        <w:gridCol w:w="1205"/>
      </w:tblGrid>
      <w:tr w:rsidR="00476A70" w14:paraId="7D537D0A" w14:textId="77777777" w:rsidTr="00300B34">
        <w:tc>
          <w:tcPr>
            <w:tcW w:w="2376" w:type="dxa"/>
          </w:tcPr>
          <w:p w14:paraId="0F347E5F" w14:textId="77777777" w:rsidR="00476A70" w:rsidRDefault="00476A70" w:rsidP="00300B34">
            <w:pPr>
              <w:pStyle w:val="Default"/>
              <w:contextualSpacing/>
              <w:jc w:val="right"/>
              <w:rPr>
                <w:bCs/>
                <w:sz w:val="28"/>
                <w:szCs w:val="28"/>
              </w:rPr>
            </w:pPr>
          </w:p>
        </w:tc>
        <w:tc>
          <w:tcPr>
            <w:tcW w:w="3544" w:type="dxa"/>
            <w:gridSpan w:val="3"/>
          </w:tcPr>
          <w:p w14:paraId="6BE0AB58" w14:textId="77777777" w:rsidR="00476A70" w:rsidRDefault="00476A70" w:rsidP="00300B34">
            <w:pPr>
              <w:pStyle w:val="Default"/>
              <w:contextualSpacing/>
              <w:jc w:val="center"/>
              <w:rPr>
                <w:bCs/>
                <w:sz w:val="28"/>
                <w:szCs w:val="28"/>
              </w:rPr>
            </w:pPr>
            <w:r>
              <w:rPr>
                <w:bCs/>
                <w:sz w:val="28"/>
                <w:szCs w:val="28"/>
              </w:rPr>
              <w:t>Производство, тыс. тонн</w:t>
            </w:r>
          </w:p>
        </w:tc>
        <w:tc>
          <w:tcPr>
            <w:tcW w:w="3650" w:type="dxa"/>
            <w:gridSpan w:val="3"/>
          </w:tcPr>
          <w:p w14:paraId="251A4EF3" w14:textId="77777777" w:rsidR="00476A70" w:rsidRDefault="00476A70" w:rsidP="00300B34">
            <w:pPr>
              <w:pStyle w:val="Default"/>
              <w:contextualSpacing/>
              <w:jc w:val="center"/>
              <w:rPr>
                <w:bCs/>
                <w:sz w:val="28"/>
                <w:szCs w:val="28"/>
              </w:rPr>
            </w:pPr>
            <w:r>
              <w:rPr>
                <w:bCs/>
                <w:sz w:val="28"/>
                <w:szCs w:val="28"/>
              </w:rPr>
              <w:t>Отгружено, тыс. тонн</w:t>
            </w:r>
          </w:p>
        </w:tc>
      </w:tr>
      <w:tr w:rsidR="00476A70" w14:paraId="097617EB" w14:textId="77777777" w:rsidTr="00300B34">
        <w:tc>
          <w:tcPr>
            <w:tcW w:w="2376" w:type="dxa"/>
          </w:tcPr>
          <w:p w14:paraId="06F0F4C1" w14:textId="77777777" w:rsidR="00476A70" w:rsidRDefault="00476A70" w:rsidP="00300B34">
            <w:pPr>
              <w:pStyle w:val="Default"/>
              <w:contextualSpacing/>
              <w:jc w:val="right"/>
              <w:rPr>
                <w:bCs/>
                <w:sz w:val="28"/>
                <w:szCs w:val="28"/>
              </w:rPr>
            </w:pPr>
          </w:p>
        </w:tc>
        <w:tc>
          <w:tcPr>
            <w:tcW w:w="1134" w:type="dxa"/>
          </w:tcPr>
          <w:p w14:paraId="64EA3700" w14:textId="77777777" w:rsidR="00476A70" w:rsidRDefault="00476A70" w:rsidP="00300B34">
            <w:pPr>
              <w:pStyle w:val="Default"/>
              <w:contextualSpacing/>
              <w:jc w:val="center"/>
              <w:rPr>
                <w:bCs/>
                <w:sz w:val="28"/>
                <w:szCs w:val="28"/>
              </w:rPr>
            </w:pPr>
            <w:r>
              <w:rPr>
                <w:bCs/>
                <w:sz w:val="28"/>
                <w:szCs w:val="28"/>
              </w:rPr>
              <w:t>2017 г.</w:t>
            </w:r>
          </w:p>
        </w:tc>
        <w:tc>
          <w:tcPr>
            <w:tcW w:w="1134" w:type="dxa"/>
          </w:tcPr>
          <w:p w14:paraId="084CDF42" w14:textId="77777777" w:rsidR="00476A70" w:rsidRDefault="00476A70" w:rsidP="00300B34">
            <w:pPr>
              <w:pStyle w:val="Default"/>
              <w:contextualSpacing/>
              <w:jc w:val="center"/>
              <w:rPr>
                <w:bCs/>
                <w:sz w:val="28"/>
                <w:szCs w:val="28"/>
              </w:rPr>
            </w:pPr>
            <w:r>
              <w:rPr>
                <w:bCs/>
                <w:sz w:val="28"/>
                <w:szCs w:val="28"/>
              </w:rPr>
              <w:t>2018 г.</w:t>
            </w:r>
          </w:p>
        </w:tc>
        <w:tc>
          <w:tcPr>
            <w:tcW w:w="1276" w:type="dxa"/>
          </w:tcPr>
          <w:p w14:paraId="081D9BCE" w14:textId="77777777" w:rsidR="00476A70" w:rsidRDefault="00476A70" w:rsidP="00300B34">
            <w:pPr>
              <w:pStyle w:val="Default"/>
              <w:contextualSpacing/>
              <w:jc w:val="center"/>
              <w:rPr>
                <w:bCs/>
                <w:sz w:val="28"/>
                <w:szCs w:val="28"/>
              </w:rPr>
            </w:pPr>
            <w:r>
              <w:rPr>
                <w:bCs/>
                <w:sz w:val="28"/>
                <w:szCs w:val="28"/>
              </w:rPr>
              <w:t>2018 г. в % к 2017 г.</w:t>
            </w:r>
          </w:p>
        </w:tc>
        <w:tc>
          <w:tcPr>
            <w:tcW w:w="1241" w:type="dxa"/>
          </w:tcPr>
          <w:p w14:paraId="72EEE37B" w14:textId="77777777" w:rsidR="00476A70" w:rsidRDefault="00476A70" w:rsidP="00300B34">
            <w:pPr>
              <w:pStyle w:val="Default"/>
              <w:contextualSpacing/>
              <w:jc w:val="center"/>
              <w:rPr>
                <w:bCs/>
                <w:sz w:val="28"/>
                <w:szCs w:val="28"/>
              </w:rPr>
            </w:pPr>
            <w:r>
              <w:rPr>
                <w:bCs/>
                <w:sz w:val="28"/>
                <w:szCs w:val="28"/>
              </w:rPr>
              <w:t>2017 г.</w:t>
            </w:r>
          </w:p>
        </w:tc>
        <w:tc>
          <w:tcPr>
            <w:tcW w:w="1204" w:type="dxa"/>
          </w:tcPr>
          <w:p w14:paraId="5199E7FC" w14:textId="77777777" w:rsidR="00476A70" w:rsidRDefault="00476A70" w:rsidP="00300B34">
            <w:pPr>
              <w:pStyle w:val="Default"/>
              <w:contextualSpacing/>
              <w:jc w:val="center"/>
              <w:rPr>
                <w:bCs/>
                <w:sz w:val="28"/>
                <w:szCs w:val="28"/>
              </w:rPr>
            </w:pPr>
            <w:r>
              <w:rPr>
                <w:bCs/>
                <w:sz w:val="28"/>
                <w:szCs w:val="28"/>
              </w:rPr>
              <w:t>2018 г.</w:t>
            </w:r>
          </w:p>
        </w:tc>
        <w:tc>
          <w:tcPr>
            <w:tcW w:w="1205" w:type="dxa"/>
          </w:tcPr>
          <w:p w14:paraId="18658398" w14:textId="77777777" w:rsidR="00476A70" w:rsidRDefault="00476A70" w:rsidP="00300B34">
            <w:pPr>
              <w:pStyle w:val="Default"/>
              <w:contextualSpacing/>
              <w:jc w:val="center"/>
              <w:rPr>
                <w:bCs/>
                <w:sz w:val="28"/>
                <w:szCs w:val="28"/>
              </w:rPr>
            </w:pPr>
            <w:r>
              <w:rPr>
                <w:bCs/>
                <w:sz w:val="28"/>
                <w:szCs w:val="28"/>
              </w:rPr>
              <w:t>2018 г. в % к 2017 г.</w:t>
            </w:r>
          </w:p>
        </w:tc>
      </w:tr>
      <w:tr w:rsidR="00476A70" w14:paraId="1B3A96AB" w14:textId="77777777" w:rsidTr="00300B34">
        <w:tc>
          <w:tcPr>
            <w:tcW w:w="2376" w:type="dxa"/>
          </w:tcPr>
          <w:p w14:paraId="1280409B" w14:textId="77777777" w:rsidR="00476A70" w:rsidRDefault="00476A70" w:rsidP="00300B34">
            <w:pPr>
              <w:pStyle w:val="Default"/>
              <w:contextualSpacing/>
              <w:rPr>
                <w:bCs/>
                <w:sz w:val="28"/>
                <w:szCs w:val="28"/>
              </w:rPr>
            </w:pPr>
            <w:r>
              <w:rPr>
                <w:bCs/>
                <w:sz w:val="28"/>
                <w:szCs w:val="28"/>
              </w:rPr>
              <w:t>Зерновые и зернобобовые культуры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D3B308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94968,7</w:t>
            </w:r>
          </w:p>
        </w:tc>
        <w:tc>
          <w:tcPr>
            <w:tcW w:w="1134" w:type="dxa"/>
            <w:tcBorders>
              <w:top w:val="single" w:sz="4" w:space="0" w:color="auto"/>
              <w:left w:val="nil"/>
              <w:bottom w:val="single" w:sz="4" w:space="0" w:color="auto"/>
              <w:right w:val="single" w:sz="4" w:space="0" w:color="auto"/>
            </w:tcBorders>
            <w:shd w:val="clear" w:color="auto" w:fill="auto"/>
            <w:vAlign w:val="bottom"/>
          </w:tcPr>
          <w:p w14:paraId="42C2A4E8" w14:textId="77777777" w:rsidR="00476A70" w:rsidRPr="00D56C70" w:rsidRDefault="00476A70" w:rsidP="00300B34">
            <w:pPr>
              <w:jc w:val="right"/>
              <w:rPr>
                <w:rFonts w:ascii="Times New Roman" w:hAnsi="Times New Roman" w:cs="Times New Roman"/>
                <w:sz w:val="28"/>
                <w:szCs w:val="28"/>
              </w:rPr>
            </w:pPr>
            <w:r w:rsidRPr="00D56C70">
              <w:rPr>
                <w:rFonts w:ascii="Times New Roman" w:hAnsi="Times New Roman" w:cs="Times New Roman"/>
                <w:sz w:val="28"/>
                <w:szCs w:val="28"/>
              </w:rPr>
              <w:t>79539,5</w:t>
            </w:r>
          </w:p>
        </w:tc>
        <w:tc>
          <w:tcPr>
            <w:tcW w:w="1276" w:type="dxa"/>
            <w:tcBorders>
              <w:top w:val="single" w:sz="4" w:space="0" w:color="auto"/>
              <w:left w:val="nil"/>
              <w:bottom w:val="single" w:sz="4" w:space="0" w:color="auto"/>
              <w:right w:val="single" w:sz="4" w:space="0" w:color="auto"/>
            </w:tcBorders>
            <w:shd w:val="clear" w:color="auto" w:fill="auto"/>
            <w:vAlign w:val="bottom"/>
          </w:tcPr>
          <w:p w14:paraId="403D32A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83,8</w:t>
            </w:r>
          </w:p>
        </w:tc>
        <w:tc>
          <w:tcPr>
            <w:tcW w:w="1241" w:type="dxa"/>
            <w:tcBorders>
              <w:top w:val="single" w:sz="4" w:space="0" w:color="auto"/>
              <w:left w:val="nil"/>
              <w:bottom w:val="single" w:sz="4" w:space="0" w:color="auto"/>
              <w:right w:val="single" w:sz="4" w:space="0" w:color="auto"/>
            </w:tcBorders>
            <w:shd w:val="clear" w:color="auto" w:fill="auto"/>
            <w:vAlign w:val="bottom"/>
          </w:tcPr>
          <w:p w14:paraId="06CCC00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63254,7</w:t>
            </w:r>
          </w:p>
        </w:tc>
        <w:tc>
          <w:tcPr>
            <w:tcW w:w="1204" w:type="dxa"/>
            <w:tcBorders>
              <w:top w:val="single" w:sz="4" w:space="0" w:color="auto"/>
              <w:left w:val="nil"/>
              <w:bottom w:val="single" w:sz="4" w:space="0" w:color="auto"/>
              <w:right w:val="single" w:sz="4" w:space="0" w:color="auto"/>
            </w:tcBorders>
            <w:shd w:val="clear" w:color="auto" w:fill="auto"/>
            <w:vAlign w:val="bottom"/>
          </w:tcPr>
          <w:p w14:paraId="77EFAF7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67921,1</w:t>
            </w:r>
          </w:p>
        </w:tc>
        <w:tc>
          <w:tcPr>
            <w:tcW w:w="1205" w:type="dxa"/>
            <w:tcBorders>
              <w:top w:val="single" w:sz="4" w:space="0" w:color="auto"/>
              <w:left w:val="nil"/>
              <w:bottom w:val="single" w:sz="4" w:space="0" w:color="auto"/>
              <w:right w:val="single" w:sz="4" w:space="0" w:color="auto"/>
            </w:tcBorders>
            <w:shd w:val="clear" w:color="auto" w:fill="auto"/>
            <w:vAlign w:val="bottom"/>
          </w:tcPr>
          <w:p w14:paraId="412A9FA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107,4</w:t>
            </w:r>
          </w:p>
        </w:tc>
      </w:tr>
      <w:tr w:rsidR="00476A70" w14:paraId="00AF8694" w14:textId="77777777" w:rsidTr="00300B34">
        <w:tc>
          <w:tcPr>
            <w:tcW w:w="2376" w:type="dxa"/>
          </w:tcPr>
          <w:p w14:paraId="31B2D3EC" w14:textId="77777777" w:rsidR="00476A70" w:rsidRDefault="00476A70" w:rsidP="00300B34">
            <w:pPr>
              <w:pStyle w:val="Default"/>
              <w:contextualSpacing/>
              <w:rPr>
                <w:bCs/>
                <w:sz w:val="28"/>
                <w:szCs w:val="28"/>
              </w:rPr>
            </w:pPr>
            <w:r>
              <w:rPr>
                <w:bCs/>
                <w:sz w:val="28"/>
                <w:szCs w:val="28"/>
              </w:rPr>
              <w:t>Подсолнечник</w:t>
            </w:r>
          </w:p>
        </w:tc>
        <w:tc>
          <w:tcPr>
            <w:tcW w:w="1134" w:type="dxa"/>
            <w:tcBorders>
              <w:top w:val="nil"/>
              <w:left w:val="single" w:sz="4" w:space="0" w:color="auto"/>
              <w:bottom w:val="single" w:sz="4" w:space="0" w:color="auto"/>
              <w:right w:val="single" w:sz="4" w:space="0" w:color="auto"/>
            </w:tcBorders>
            <w:shd w:val="clear" w:color="auto" w:fill="auto"/>
            <w:vAlign w:val="bottom"/>
          </w:tcPr>
          <w:p w14:paraId="3478C83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7132,6</w:t>
            </w:r>
          </w:p>
        </w:tc>
        <w:tc>
          <w:tcPr>
            <w:tcW w:w="1134" w:type="dxa"/>
            <w:tcBorders>
              <w:top w:val="nil"/>
              <w:left w:val="nil"/>
              <w:bottom w:val="single" w:sz="4" w:space="0" w:color="auto"/>
              <w:right w:val="single" w:sz="4" w:space="0" w:color="auto"/>
            </w:tcBorders>
            <w:shd w:val="clear" w:color="auto" w:fill="auto"/>
            <w:vAlign w:val="bottom"/>
          </w:tcPr>
          <w:p w14:paraId="18A6E59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8466,2</w:t>
            </w:r>
          </w:p>
        </w:tc>
        <w:tc>
          <w:tcPr>
            <w:tcW w:w="1276" w:type="dxa"/>
            <w:tcBorders>
              <w:top w:val="nil"/>
              <w:left w:val="nil"/>
              <w:bottom w:val="single" w:sz="4" w:space="0" w:color="auto"/>
              <w:right w:val="single" w:sz="4" w:space="0" w:color="auto"/>
            </w:tcBorders>
            <w:shd w:val="clear" w:color="auto" w:fill="auto"/>
            <w:vAlign w:val="bottom"/>
          </w:tcPr>
          <w:p w14:paraId="55C391E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118,7</w:t>
            </w:r>
          </w:p>
        </w:tc>
        <w:tc>
          <w:tcPr>
            <w:tcW w:w="1241" w:type="dxa"/>
            <w:tcBorders>
              <w:top w:val="nil"/>
              <w:left w:val="nil"/>
              <w:bottom w:val="single" w:sz="4" w:space="0" w:color="auto"/>
              <w:right w:val="single" w:sz="4" w:space="0" w:color="auto"/>
            </w:tcBorders>
            <w:shd w:val="clear" w:color="auto" w:fill="auto"/>
            <w:vAlign w:val="bottom"/>
          </w:tcPr>
          <w:p w14:paraId="4AC0100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6118,6</w:t>
            </w:r>
          </w:p>
        </w:tc>
        <w:tc>
          <w:tcPr>
            <w:tcW w:w="1204" w:type="dxa"/>
            <w:tcBorders>
              <w:top w:val="nil"/>
              <w:left w:val="nil"/>
              <w:bottom w:val="single" w:sz="4" w:space="0" w:color="auto"/>
              <w:right w:val="single" w:sz="4" w:space="0" w:color="auto"/>
            </w:tcBorders>
            <w:shd w:val="clear" w:color="auto" w:fill="auto"/>
            <w:vAlign w:val="bottom"/>
          </w:tcPr>
          <w:p w14:paraId="453475C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6756,9</w:t>
            </w:r>
          </w:p>
        </w:tc>
        <w:tc>
          <w:tcPr>
            <w:tcW w:w="1205" w:type="dxa"/>
            <w:tcBorders>
              <w:top w:val="nil"/>
              <w:left w:val="nil"/>
              <w:bottom w:val="single" w:sz="4" w:space="0" w:color="auto"/>
              <w:right w:val="single" w:sz="4" w:space="0" w:color="auto"/>
            </w:tcBorders>
            <w:shd w:val="clear" w:color="auto" w:fill="auto"/>
            <w:vAlign w:val="bottom"/>
          </w:tcPr>
          <w:p w14:paraId="089614F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110,4</w:t>
            </w:r>
          </w:p>
        </w:tc>
      </w:tr>
      <w:tr w:rsidR="00476A70" w14:paraId="088C1568" w14:textId="77777777" w:rsidTr="00300B34">
        <w:tc>
          <w:tcPr>
            <w:tcW w:w="2376" w:type="dxa"/>
          </w:tcPr>
          <w:p w14:paraId="68CA8161" w14:textId="77777777" w:rsidR="00476A70" w:rsidRDefault="00476A70" w:rsidP="00300B34">
            <w:pPr>
              <w:pStyle w:val="Default"/>
              <w:contextualSpacing/>
              <w:rPr>
                <w:bCs/>
                <w:sz w:val="28"/>
                <w:szCs w:val="28"/>
              </w:rPr>
            </w:pPr>
            <w:r>
              <w:rPr>
                <w:bCs/>
                <w:sz w:val="28"/>
                <w:szCs w:val="28"/>
              </w:rPr>
              <w:t>Сахарная свекла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3BD2471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45790,5</w:t>
            </w:r>
          </w:p>
        </w:tc>
        <w:tc>
          <w:tcPr>
            <w:tcW w:w="1134" w:type="dxa"/>
            <w:tcBorders>
              <w:top w:val="nil"/>
              <w:left w:val="nil"/>
              <w:bottom w:val="single" w:sz="4" w:space="0" w:color="auto"/>
              <w:right w:val="single" w:sz="4" w:space="0" w:color="auto"/>
            </w:tcBorders>
            <w:shd w:val="clear" w:color="auto" w:fill="auto"/>
            <w:vAlign w:val="bottom"/>
          </w:tcPr>
          <w:p w14:paraId="0CFF504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37503,3</w:t>
            </w:r>
          </w:p>
        </w:tc>
        <w:tc>
          <w:tcPr>
            <w:tcW w:w="1276" w:type="dxa"/>
            <w:tcBorders>
              <w:top w:val="nil"/>
              <w:left w:val="nil"/>
              <w:bottom w:val="single" w:sz="4" w:space="0" w:color="auto"/>
              <w:right w:val="single" w:sz="4" w:space="0" w:color="auto"/>
            </w:tcBorders>
            <w:shd w:val="clear" w:color="auto" w:fill="auto"/>
            <w:vAlign w:val="bottom"/>
          </w:tcPr>
          <w:p w14:paraId="39B64E8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81,9</w:t>
            </w:r>
          </w:p>
        </w:tc>
        <w:tc>
          <w:tcPr>
            <w:tcW w:w="1241" w:type="dxa"/>
            <w:tcBorders>
              <w:top w:val="nil"/>
              <w:left w:val="nil"/>
              <w:bottom w:val="single" w:sz="4" w:space="0" w:color="auto"/>
              <w:right w:val="single" w:sz="4" w:space="0" w:color="auto"/>
            </w:tcBorders>
            <w:shd w:val="clear" w:color="auto" w:fill="auto"/>
            <w:vAlign w:val="bottom"/>
          </w:tcPr>
          <w:p w14:paraId="21EED8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40489,4</w:t>
            </w:r>
          </w:p>
        </w:tc>
        <w:tc>
          <w:tcPr>
            <w:tcW w:w="1204" w:type="dxa"/>
            <w:tcBorders>
              <w:top w:val="nil"/>
              <w:left w:val="nil"/>
              <w:bottom w:val="single" w:sz="4" w:space="0" w:color="auto"/>
              <w:right w:val="single" w:sz="4" w:space="0" w:color="auto"/>
            </w:tcBorders>
            <w:shd w:val="clear" w:color="auto" w:fill="auto"/>
            <w:vAlign w:val="bottom"/>
          </w:tcPr>
          <w:p w14:paraId="62EDAEB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35389,6</w:t>
            </w:r>
          </w:p>
        </w:tc>
        <w:tc>
          <w:tcPr>
            <w:tcW w:w="1205" w:type="dxa"/>
            <w:tcBorders>
              <w:top w:val="nil"/>
              <w:left w:val="nil"/>
              <w:bottom w:val="single" w:sz="4" w:space="0" w:color="auto"/>
              <w:right w:val="single" w:sz="4" w:space="0" w:color="auto"/>
            </w:tcBorders>
            <w:shd w:val="clear" w:color="auto" w:fill="auto"/>
            <w:vAlign w:val="bottom"/>
          </w:tcPr>
          <w:p w14:paraId="5355402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87,4</w:t>
            </w:r>
          </w:p>
        </w:tc>
      </w:tr>
      <w:tr w:rsidR="00476A70" w14:paraId="08F201A3" w14:textId="77777777" w:rsidTr="00300B34">
        <w:tc>
          <w:tcPr>
            <w:tcW w:w="2376" w:type="dxa"/>
          </w:tcPr>
          <w:p w14:paraId="011DF174" w14:textId="77777777" w:rsidR="00476A70" w:rsidRDefault="00476A70" w:rsidP="00300B34">
            <w:pPr>
              <w:pStyle w:val="Default"/>
              <w:contextualSpacing/>
              <w:rPr>
                <w:bCs/>
                <w:sz w:val="28"/>
                <w:szCs w:val="28"/>
              </w:rPr>
            </w:pPr>
            <w:r>
              <w:rPr>
                <w:bCs/>
                <w:sz w:val="28"/>
                <w:szCs w:val="28"/>
              </w:rPr>
              <w:t xml:space="preserve">Картофель </w:t>
            </w:r>
          </w:p>
        </w:tc>
        <w:tc>
          <w:tcPr>
            <w:tcW w:w="1134" w:type="dxa"/>
            <w:tcBorders>
              <w:top w:val="nil"/>
              <w:left w:val="single" w:sz="4" w:space="0" w:color="auto"/>
              <w:bottom w:val="single" w:sz="4" w:space="0" w:color="auto"/>
              <w:right w:val="single" w:sz="4" w:space="0" w:color="auto"/>
            </w:tcBorders>
            <w:shd w:val="clear" w:color="auto" w:fill="auto"/>
            <w:vAlign w:val="bottom"/>
          </w:tcPr>
          <w:p w14:paraId="74C4AB3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4232,8</w:t>
            </w:r>
          </w:p>
        </w:tc>
        <w:tc>
          <w:tcPr>
            <w:tcW w:w="1134" w:type="dxa"/>
            <w:tcBorders>
              <w:top w:val="nil"/>
              <w:left w:val="nil"/>
              <w:bottom w:val="single" w:sz="4" w:space="0" w:color="auto"/>
              <w:right w:val="single" w:sz="4" w:space="0" w:color="auto"/>
            </w:tcBorders>
            <w:shd w:val="clear" w:color="auto" w:fill="auto"/>
            <w:vAlign w:val="bottom"/>
          </w:tcPr>
          <w:p w14:paraId="37E9EA3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4316,5</w:t>
            </w:r>
          </w:p>
        </w:tc>
        <w:tc>
          <w:tcPr>
            <w:tcW w:w="1276" w:type="dxa"/>
            <w:tcBorders>
              <w:top w:val="nil"/>
              <w:left w:val="nil"/>
              <w:bottom w:val="single" w:sz="4" w:space="0" w:color="auto"/>
              <w:right w:val="single" w:sz="4" w:space="0" w:color="auto"/>
            </w:tcBorders>
            <w:shd w:val="clear" w:color="auto" w:fill="auto"/>
            <w:vAlign w:val="bottom"/>
          </w:tcPr>
          <w:p w14:paraId="23CA7DF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102,0</w:t>
            </w:r>
          </w:p>
        </w:tc>
        <w:tc>
          <w:tcPr>
            <w:tcW w:w="1241" w:type="dxa"/>
            <w:tcBorders>
              <w:top w:val="nil"/>
              <w:left w:val="nil"/>
              <w:bottom w:val="single" w:sz="4" w:space="0" w:color="auto"/>
              <w:right w:val="single" w:sz="4" w:space="0" w:color="auto"/>
            </w:tcBorders>
            <w:shd w:val="clear" w:color="auto" w:fill="auto"/>
            <w:vAlign w:val="bottom"/>
          </w:tcPr>
          <w:p w14:paraId="2A4F6BF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2607,0</w:t>
            </w:r>
          </w:p>
        </w:tc>
        <w:tc>
          <w:tcPr>
            <w:tcW w:w="1204" w:type="dxa"/>
            <w:tcBorders>
              <w:top w:val="nil"/>
              <w:left w:val="nil"/>
              <w:bottom w:val="single" w:sz="4" w:space="0" w:color="auto"/>
              <w:right w:val="single" w:sz="4" w:space="0" w:color="auto"/>
            </w:tcBorders>
            <w:shd w:val="clear" w:color="auto" w:fill="auto"/>
            <w:vAlign w:val="bottom"/>
          </w:tcPr>
          <w:p w14:paraId="43ED802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2528,4</w:t>
            </w:r>
          </w:p>
        </w:tc>
        <w:tc>
          <w:tcPr>
            <w:tcW w:w="1205" w:type="dxa"/>
            <w:tcBorders>
              <w:top w:val="nil"/>
              <w:left w:val="nil"/>
              <w:bottom w:val="single" w:sz="4" w:space="0" w:color="auto"/>
              <w:right w:val="single" w:sz="4" w:space="0" w:color="auto"/>
            </w:tcBorders>
            <w:shd w:val="clear" w:color="auto" w:fill="auto"/>
            <w:vAlign w:val="bottom"/>
          </w:tcPr>
          <w:p w14:paraId="095B26F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97,0</w:t>
            </w:r>
          </w:p>
        </w:tc>
      </w:tr>
      <w:tr w:rsidR="00476A70" w14:paraId="4C29FDC5" w14:textId="77777777" w:rsidTr="00300B34">
        <w:tc>
          <w:tcPr>
            <w:tcW w:w="2376" w:type="dxa"/>
          </w:tcPr>
          <w:p w14:paraId="47357706" w14:textId="77777777" w:rsidR="00476A70" w:rsidRDefault="00476A70" w:rsidP="00300B34">
            <w:pPr>
              <w:pStyle w:val="Default"/>
              <w:contextualSpacing/>
              <w:rPr>
                <w:bCs/>
                <w:sz w:val="28"/>
                <w:szCs w:val="28"/>
              </w:rPr>
            </w:pPr>
            <w:r>
              <w:rPr>
                <w:bCs/>
                <w:sz w:val="28"/>
                <w:szCs w:val="28"/>
              </w:rPr>
              <w:t>Овощи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6923EC7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3479,3</w:t>
            </w:r>
          </w:p>
        </w:tc>
        <w:tc>
          <w:tcPr>
            <w:tcW w:w="1134" w:type="dxa"/>
            <w:tcBorders>
              <w:top w:val="nil"/>
              <w:left w:val="nil"/>
              <w:bottom w:val="single" w:sz="4" w:space="0" w:color="auto"/>
              <w:right w:val="single" w:sz="4" w:space="0" w:color="auto"/>
            </w:tcBorders>
            <w:shd w:val="clear" w:color="auto" w:fill="auto"/>
            <w:vAlign w:val="bottom"/>
          </w:tcPr>
          <w:p w14:paraId="223419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3581</w:t>
            </w:r>
          </w:p>
        </w:tc>
        <w:tc>
          <w:tcPr>
            <w:tcW w:w="1276" w:type="dxa"/>
            <w:tcBorders>
              <w:top w:val="nil"/>
              <w:left w:val="nil"/>
              <w:bottom w:val="single" w:sz="4" w:space="0" w:color="auto"/>
              <w:right w:val="single" w:sz="4" w:space="0" w:color="auto"/>
            </w:tcBorders>
            <w:shd w:val="clear" w:color="auto" w:fill="auto"/>
            <w:vAlign w:val="bottom"/>
          </w:tcPr>
          <w:p w14:paraId="43C6160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102,9</w:t>
            </w:r>
          </w:p>
        </w:tc>
        <w:tc>
          <w:tcPr>
            <w:tcW w:w="1241" w:type="dxa"/>
            <w:tcBorders>
              <w:top w:val="nil"/>
              <w:left w:val="nil"/>
              <w:bottom w:val="single" w:sz="4" w:space="0" w:color="auto"/>
              <w:right w:val="single" w:sz="4" w:space="0" w:color="auto"/>
            </w:tcBorders>
            <w:shd w:val="clear" w:color="auto" w:fill="auto"/>
            <w:vAlign w:val="bottom"/>
          </w:tcPr>
          <w:p w14:paraId="2147435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2484,4</w:t>
            </w:r>
          </w:p>
        </w:tc>
        <w:tc>
          <w:tcPr>
            <w:tcW w:w="1204" w:type="dxa"/>
            <w:tcBorders>
              <w:top w:val="nil"/>
              <w:left w:val="nil"/>
              <w:bottom w:val="single" w:sz="4" w:space="0" w:color="auto"/>
              <w:right w:val="single" w:sz="4" w:space="0" w:color="auto"/>
            </w:tcBorders>
            <w:shd w:val="clear" w:color="auto" w:fill="auto"/>
            <w:vAlign w:val="bottom"/>
          </w:tcPr>
          <w:p w14:paraId="45F00B3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2861,3</w:t>
            </w:r>
          </w:p>
        </w:tc>
        <w:tc>
          <w:tcPr>
            <w:tcW w:w="1205" w:type="dxa"/>
            <w:tcBorders>
              <w:top w:val="nil"/>
              <w:left w:val="nil"/>
              <w:bottom w:val="single" w:sz="4" w:space="0" w:color="auto"/>
              <w:right w:val="single" w:sz="4" w:space="0" w:color="auto"/>
            </w:tcBorders>
            <w:shd w:val="clear" w:color="auto" w:fill="auto"/>
            <w:vAlign w:val="bottom"/>
          </w:tcPr>
          <w:p w14:paraId="24EA50C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115,2</w:t>
            </w:r>
          </w:p>
        </w:tc>
      </w:tr>
      <w:tr w:rsidR="00476A70" w14:paraId="619D62FC" w14:textId="77777777" w:rsidTr="00300B34">
        <w:tc>
          <w:tcPr>
            <w:tcW w:w="2376" w:type="dxa"/>
          </w:tcPr>
          <w:p w14:paraId="01F944BD" w14:textId="77777777" w:rsidR="00476A70" w:rsidRDefault="00476A70" w:rsidP="00300B34">
            <w:pPr>
              <w:pStyle w:val="Default"/>
              <w:contextualSpacing/>
              <w:rPr>
                <w:bCs/>
                <w:sz w:val="28"/>
                <w:szCs w:val="28"/>
              </w:rPr>
            </w:pPr>
            <w:r>
              <w:rPr>
                <w:bCs/>
                <w:sz w:val="28"/>
                <w:szCs w:val="28"/>
              </w:rPr>
              <w:t>Скот и птица (в живом весе)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2CEB5C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10821,2</w:t>
            </w:r>
          </w:p>
        </w:tc>
        <w:tc>
          <w:tcPr>
            <w:tcW w:w="1134" w:type="dxa"/>
            <w:tcBorders>
              <w:top w:val="single" w:sz="4" w:space="0" w:color="auto"/>
              <w:left w:val="nil"/>
              <w:bottom w:val="single" w:sz="4" w:space="0" w:color="auto"/>
              <w:right w:val="single" w:sz="4" w:space="0" w:color="auto"/>
            </w:tcBorders>
            <w:shd w:val="clear" w:color="auto" w:fill="auto"/>
            <w:vAlign w:val="bottom"/>
          </w:tcPr>
          <w:p w14:paraId="5F20E9E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11256,2</w:t>
            </w:r>
          </w:p>
        </w:tc>
        <w:tc>
          <w:tcPr>
            <w:tcW w:w="1276" w:type="dxa"/>
            <w:tcBorders>
              <w:top w:val="single" w:sz="4" w:space="0" w:color="auto"/>
              <w:left w:val="nil"/>
              <w:bottom w:val="single" w:sz="4" w:space="0" w:color="auto"/>
              <w:right w:val="single" w:sz="4" w:space="0" w:color="auto"/>
            </w:tcBorders>
            <w:shd w:val="clear" w:color="auto" w:fill="auto"/>
            <w:vAlign w:val="bottom"/>
          </w:tcPr>
          <w:p w14:paraId="0CB9A2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104,0</w:t>
            </w:r>
          </w:p>
        </w:tc>
        <w:tc>
          <w:tcPr>
            <w:tcW w:w="1241" w:type="dxa"/>
            <w:tcBorders>
              <w:top w:val="single" w:sz="4" w:space="0" w:color="auto"/>
              <w:left w:val="nil"/>
              <w:bottom w:val="single" w:sz="4" w:space="0" w:color="auto"/>
              <w:right w:val="single" w:sz="4" w:space="0" w:color="auto"/>
            </w:tcBorders>
            <w:shd w:val="clear" w:color="auto" w:fill="auto"/>
            <w:vAlign w:val="bottom"/>
          </w:tcPr>
          <w:p w14:paraId="48A382D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10891,8</w:t>
            </w:r>
          </w:p>
        </w:tc>
        <w:tc>
          <w:tcPr>
            <w:tcW w:w="1204" w:type="dxa"/>
            <w:tcBorders>
              <w:top w:val="single" w:sz="4" w:space="0" w:color="auto"/>
              <w:left w:val="nil"/>
              <w:bottom w:val="single" w:sz="4" w:space="0" w:color="auto"/>
              <w:right w:val="single" w:sz="4" w:space="0" w:color="auto"/>
            </w:tcBorders>
            <w:shd w:val="clear" w:color="auto" w:fill="auto"/>
            <w:vAlign w:val="bottom"/>
          </w:tcPr>
          <w:p w14:paraId="43DE8B4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11374,6</w:t>
            </w:r>
          </w:p>
        </w:tc>
        <w:tc>
          <w:tcPr>
            <w:tcW w:w="1205" w:type="dxa"/>
            <w:tcBorders>
              <w:top w:val="single" w:sz="4" w:space="0" w:color="auto"/>
              <w:left w:val="nil"/>
              <w:bottom w:val="single" w:sz="4" w:space="0" w:color="auto"/>
              <w:right w:val="single" w:sz="4" w:space="0" w:color="auto"/>
            </w:tcBorders>
            <w:shd w:val="clear" w:color="auto" w:fill="auto"/>
            <w:vAlign w:val="bottom"/>
          </w:tcPr>
          <w:p w14:paraId="4B93011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104,4</w:t>
            </w:r>
          </w:p>
        </w:tc>
      </w:tr>
      <w:tr w:rsidR="00476A70" w14:paraId="707EEF9A" w14:textId="77777777" w:rsidTr="00300B34">
        <w:tc>
          <w:tcPr>
            <w:tcW w:w="2376" w:type="dxa"/>
          </w:tcPr>
          <w:p w14:paraId="6DEB4E03" w14:textId="77777777" w:rsidR="00476A70" w:rsidRDefault="00476A70" w:rsidP="00300B34">
            <w:pPr>
              <w:pStyle w:val="Default"/>
              <w:contextualSpacing/>
              <w:rPr>
                <w:bCs/>
                <w:sz w:val="28"/>
                <w:szCs w:val="28"/>
              </w:rPr>
            </w:pPr>
            <w:r>
              <w:rPr>
                <w:bCs/>
                <w:sz w:val="28"/>
                <w:szCs w:val="28"/>
              </w:rPr>
              <w:t>в т.ч. крупный рогатый скот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771CBB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932,7</w:t>
            </w:r>
          </w:p>
        </w:tc>
        <w:tc>
          <w:tcPr>
            <w:tcW w:w="1134" w:type="dxa"/>
            <w:tcBorders>
              <w:top w:val="nil"/>
              <w:left w:val="nil"/>
              <w:bottom w:val="single" w:sz="4" w:space="0" w:color="auto"/>
              <w:right w:val="single" w:sz="4" w:space="0" w:color="auto"/>
            </w:tcBorders>
            <w:shd w:val="clear" w:color="auto" w:fill="auto"/>
            <w:vAlign w:val="bottom"/>
          </w:tcPr>
          <w:p w14:paraId="24550B9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986,7</w:t>
            </w:r>
          </w:p>
        </w:tc>
        <w:tc>
          <w:tcPr>
            <w:tcW w:w="1276" w:type="dxa"/>
            <w:tcBorders>
              <w:top w:val="nil"/>
              <w:left w:val="nil"/>
              <w:bottom w:val="single" w:sz="4" w:space="0" w:color="auto"/>
              <w:right w:val="single" w:sz="4" w:space="0" w:color="auto"/>
            </w:tcBorders>
            <w:shd w:val="clear" w:color="auto" w:fill="auto"/>
            <w:vAlign w:val="bottom"/>
          </w:tcPr>
          <w:p w14:paraId="6DAA45D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105,8</w:t>
            </w:r>
          </w:p>
        </w:tc>
        <w:tc>
          <w:tcPr>
            <w:tcW w:w="1241" w:type="dxa"/>
            <w:tcBorders>
              <w:top w:val="nil"/>
              <w:left w:val="nil"/>
              <w:bottom w:val="single" w:sz="4" w:space="0" w:color="auto"/>
              <w:right w:val="single" w:sz="4" w:space="0" w:color="auto"/>
            </w:tcBorders>
            <w:shd w:val="clear" w:color="auto" w:fill="auto"/>
            <w:vAlign w:val="bottom"/>
          </w:tcPr>
          <w:p w14:paraId="38464CD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1035,8</w:t>
            </w:r>
          </w:p>
        </w:tc>
        <w:tc>
          <w:tcPr>
            <w:tcW w:w="1204" w:type="dxa"/>
            <w:tcBorders>
              <w:top w:val="nil"/>
              <w:left w:val="nil"/>
              <w:bottom w:val="single" w:sz="4" w:space="0" w:color="auto"/>
              <w:right w:val="single" w:sz="4" w:space="0" w:color="auto"/>
            </w:tcBorders>
            <w:shd w:val="clear" w:color="auto" w:fill="auto"/>
            <w:vAlign w:val="bottom"/>
          </w:tcPr>
          <w:p w14:paraId="7BFE477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1089,9</w:t>
            </w:r>
          </w:p>
        </w:tc>
        <w:tc>
          <w:tcPr>
            <w:tcW w:w="1205" w:type="dxa"/>
            <w:tcBorders>
              <w:top w:val="nil"/>
              <w:left w:val="nil"/>
              <w:bottom w:val="single" w:sz="4" w:space="0" w:color="auto"/>
              <w:right w:val="single" w:sz="4" w:space="0" w:color="auto"/>
            </w:tcBorders>
            <w:shd w:val="clear" w:color="auto" w:fill="auto"/>
            <w:vAlign w:val="bottom"/>
          </w:tcPr>
          <w:p w14:paraId="65079F8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105,2</w:t>
            </w:r>
          </w:p>
        </w:tc>
      </w:tr>
      <w:tr w:rsidR="00476A70" w14:paraId="089EF2C1" w14:textId="77777777" w:rsidTr="00300B34">
        <w:tc>
          <w:tcPr>
            <w:tcW w:w="2376" w:type="dxa"/>
          </w:tcPr>
          <w:p w14:paraId="50BADBAF" w14:textId="77777777" w:rsidR="00476A70" w:rsidRDefault="00476A70" w:rsidP="00300B34">
            <w:pPr>
              <w:pStyle w:val="Default"/>
              <w:contextualSpacing/>
              <w:rPr>
                <w:bCs/>
                <w:sz w:val="28"/>
                <w:szCs w:val="28"/>
              </w:rPr>
            </w:pPr>
            <w:r>
              <w:rPr>
                <w:bCs/>
                <w:sz w:val="28"/>
                <w:szCs w:val="28"/>
              </w:rPr>
              <w:t>свиньи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2B8AA26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3735,1</w:t>
            </w:r>
          </w:p>
        </w:tc>
        <w:tc>
          <w:tcPr>
            <w:tcW w:w="1134" w:type="dxa"/>
            <w:tcBorders>
              <w:top w:val="nil"/>
              <w:left w:val="nil"/>
              <w:bottom w:val="single" w:sz="4" w:space="0" w:color="auto"/>
              <w:right w:val="single" w:sz="4" w:space="0" w:color="auto"/>
            </w:tcBorders>
            <w:shd w:val="clear" w:color="auto" w:fill="auto"/>
            <w:vAlign w:val="bottom"/>
          </w:tcPr>
          <w:p w14:paraId="00858E2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4061,3</w:t>
            </w:r>
          </w:p>
        </w:tc>
        <w:tc>
          <w:tcPr>
            <w:tcW w:w="1276" w:type="dxa"/>
            <w:tcBorders>
              <w:top w:val="nil"/>
              <w:left w:val="nil"/>
              <w:bottom w:val="single" w:sz="4" w:space="0" w:color="auto"/>
              <w:right w:val="single" w:sz="4" w:space="0" w:color="auto"/>
            </w:tcBorders>
            <w:shd w:val="clear" w:color="auto" w:fill="auto"/>
            <w:vAlign w:val="bottom"/>
          </w:tcPr>
          <w:p w14:paraId="1EAC541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108,7</w:t>
            </w:r>
          </w:p>
        </w:tc>
        <w:tc>
          <w:tcPr>
            <w:tcW w:w="1241" w:type="dxa"/>
            <w:tcBorders>
              <w:top w:val="nil"/>
              <w:left w:val="nil"/>
              <w:bottom w:val="single" w:sz="4" w:space="0" w:color="auto"/>
              <w:right w:val="single" w:sz="4" w:space="0" w:color="auto"/>
            </w:tcBorders>
            <w:shd w:val="clear" w:color="auto" w:fill="auto"/>
            <w:vAlign w:val="bottom"/>
          </w:tcPr>
          <w:p w14:paraId="542337A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3741,4</w:t>
            </w:r>
          </w:p>
        </w:tc>
        <w:tc>
          <w:tcPr>
            <w:tcW w:w="1204" w:type="dxa"/>
            <w:tcBorders>
              <w:top w:val="nil"/>
              <w:left w:val="nil"/>
              <w:bottom w:val="single" w:sz="4" w:space="0" w:color="auto"/>
              <w:right w:val="single" w:sz="4" w:space="0" w:color="auto"/>
            </w:tcBorders>
            <w:shd w:val="clear" w:color="auto" w:fill="auto"/>
            <w:vAlign w:val="bottom"/>
          </w:tcPr>
          <w:p w14:paraId="661B98B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4079,9</w:t>
            </w:r>
          </w:p>
        </w:tc>
        <w:tc>
          <w:tcPr>
            <w:tcW w:w="1205" w:type="dxa"/>
            <w:tcBorders>
              <w:top w:val="nil"/>
              <w:left w:val="nil"/>
              <w:bottom w:val="single" w:sz="4" w:space="0" w:color="auto"/>
              <w:right w:val="single" w:sz="4" w:space="0" w:color="auto"/>
            </w:tcBorders>
            <w:shd w:val="clear" w:color="auto" w:fill="auto"/>
            <w:vAlign w:val="bottom"/>
          </w:tcPr>
          <w:p w14:paraId="4BBF65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109,0</w:t>
            </w:r>
          </w:p>
        </w:tc>
      </w:tr>
      <w:tr w:rsidR="00476A70" w14:paraId="0A303069" w14:textId="77777777" w:rsidTr="00300B34">
        <w:tc>
          <w:tcPr>
            <w:tcW w:w="2376" w:type="dxa"/>
          </w:tcPr>
          <w:p w14:paraId="54D3822C" w14:textId="77777777" w:rsidR="00476A70" w:rsidRDefault="00476A70" w:rsidP="00300B34">
            <w:pPr>
              <w:pStyle w:val="Default"/>
              <w:contextualSpacing/>
              <w:rPr>
                <w:bCs/>
                <w:sz w:val="28"/>
                <w:szCs w:val="28"/>
              </w:rPr>
            </w:pPr>
            <w:r>
              <w:rPr>
                <w:bCs/>
                <w:sz w:val="28"/>
                <w:szCs w:val="28"/>
              </w:rPr>
              <w:t>птица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5135A45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6096,5</w:t>
            </w:r>
          </w:p>
        </w:tc>
        <w:tc>
          <w:tcPr>
            <w:tcW w:w="1134" w:type="dxa"/>
            <w:tcBorders>
              <w:top w:val="nil"/>
              <w:left w:val="nil"/>
              <w:bottom w:val="single" w:sz="4" w:space="0" w:color="auto"/>
              <w:right w:val="single" w:sz="4" w:space="0" w:color="auto"/>
            </w:tcBorders>
            <w:shd w:val="clear" w:color="auto" w:fill="auto"/>
            <w:vAlign w:val="bottom"/>
          </w:tcPr>
          <w:p w14:paraId="11EE1C4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6150,2</w:t>
            </w:r>
          </w:p>
        </w:tc>
        <w:tc>
          <w:tcPr>
            <w:tcW w:w="1276" w:type="dxa"/>
            <w:tcBorders>
              <w:top w:val="nil"/>
              <w:left w:val="nil"/>
              <w:bottom w:val="single" w:sz="4" w:space="0" w:color="auto"/>
              <w:right w:val="single" w:sz="4" w:space="0" w:color="auto"/>
            </w:tcBorders>
            <w:shd w:val="clear" w:color="auto" w:fill="auto"/>
            <w:vAlign w:val="bottom"/>
          </w:tcPr>
          <w:p w14:paraId="76BEDF7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100,9</w:t>
            </w:r>
          </w:p>
        </w:tc>
        <w:tc>
          <w:tcPr>
            <w:tcW w:w="1241" w:type="dxa"/>
            <w:tcBorders>
              <w:top w:val="nil"/>
              <w:left w:val="nil"/>
              <w:bottom w:val="single" w:sz="4" w:space="0" w:color="auto"/>
              <w:right w:val="single" w:sz="4" w:space="0" w:color="auto"/>
            </w:tcBorders>
            <w:shd w:val="clear" w:color="auto" w:fill="auto"/>
            <w:vAlign w:val="bottom"/>
          </w:tcPr>
          <w:p w14:paraId="13901A7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6038,4</w:t>
            </w:r>
          </w:p>
        </w:tc>
        <w:tc>
          <w:tcPr>
            <w:tcW w:w="1204" w:type="dxa"/>
            <w:tcBorders>
              <w:top w:val="nil"/>
              <w:left w:val="nil"/>
              <w:bottom w:val="single" w:sz="4" w:space="0" w:color="auto"/>
              <w:right w:val="single" w:sz="4" w:space="0" w:color="auto"/>
            </w:tcBorders>
            <w:shd w:val="clear" w:color="auto" w:fill="auto"/>
            <w:vAlign w:val="bottom"/>
          </w:tcPr>
          <w:p w14:paraId="1A535A1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6135,7</w:t>
            </w:r>
          </w:p>
        </w:tc>
        <w:tc>
          <w:tcPr>
            <w:tcW w:w="1205" w:type="dxa"/>
            <w:tcBorders>
              <w:top w:val="nil"/>
              <w:left w:val="nil"/>
              <w:bottom w:val="single" w:sz="4" w:space="0" w:color="auto"/>
              <w:right w:val="single" w:sz="4" w:space="0" w:color="auto"/>
            </w:tcBorders>
            <w:shd w:val="clear" w:color="auto" w:fill="auto"/>
            <w:vAlign w:val="bottom"/>
          </w:tcPr>
          <w:p w14:paraId="0AB2D8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101,6</w:t>
            </w:r>
          </w:p>
        </w:tc>
      </w:tr>
      <w:tr w:rsidR="00476A70" w14:paraId="1F7C6439" w14:textId="77777777" w:rsidTr="00300B34">
        <w:tc>
          <w:tcPr>
            <w:tcW w:w="2376" w:type="dxa"/>
          </w:tcPr>
          <w:p w14:paraId="75BDD667" w14:textId="77777777" w:rsidR="00476A70" w:rsidRDefault="00476A70" w:rsidP="00300B34">
            <w:pPr>
              <w:pStyle w:val="Default"/>
              <w:contextualSpacing/>
              <w:rPr>
                <w:bCs/>
                <w:sz w:val="28"/>
                <w:szCs w:val="28"/>
              </w:rPr>
            </w:pPr>
            <w:r>
              <w:rPr>
                <w:bCs/>
                <w:sz w:val="28"/>
                <w:szCs w:val="28"/>
              </w:rPr>
              <w:t xml:space="preserve">Молоко </w:t>
            </w:r>
          </w:p>
        </w:tc>
        <w:tc>
          <w:tcPr>
            <w:tcW w:w="1134" w:type="dxa"/>
            <w:tcBorders>
              <w:top w:val="nil"/>
              <w:left w:val="single" w:sz="4" w:space="0" w:color="auto"/>
              <w:bottom w:val="single" w:sz="4" w:space="0" w:color="auto"/>
              <w:right w:val="single" w:sz="4" w:space="0" w:color="auto"/>
            </w:tcBorders>
            <w:shd w:val="clear" w:color="auto" w:fill="auto"/>
            <w:vAlign w:val="bottom"/>
          </w:tcPr>
          <w:p w14:paraId="0ED7185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15609,5</w:t>
            </w:r>
          </w:p>
        </w:tc>
        <w:tc>
          <w:tcPr>
            <w:tcW w:w="1134" w:type="dxa"/>
            <w:tcBorders>
              <w:top w:val="nil"/>
              <w:left w:val="nil"/>
              <w:bottom w:val="single" w:sz="4" w:space="0" w:color="auto"/>
              <w:right w:val="single" w:sz="4" w:space="0" w:color="auto"/>
            </w:tcBorders>
            <w:shd w:val="clear" w:color="auto" w:fill="auto"/>
            <w:vAlign w:val="bottom"/>
          </w:tcPr>
          <w:p w14:paraId="6CCDA33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16204,6</w:t>
            </w:r>
          </w:p>
        </w:tc>
        <w:tc>
          <w:tcPr>
            <w:tcW w:w="1276" w:type="dxa"/>
            <w:tcBorders>
              <w:top w:val="nil"/>
              <w:left w:val="nil"/>
              <w:bottom w:val="single" w:sz="4" w:space="0" w:color="auto"/>
              <w:right w:val="single" w:sz="4" w:space="0" w:color="auto"/>
            </w:tcBorders>
            <w:shd w:val="clear" w:color="auto" w:fill="auto"/>
            <w:vAlign w:val="bottom"/>
          </w:tcPr>
          <w:p w14:paraId="27FC28A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103,8</w:t>
            </w:r>
          </w:p>
        </w:tc>
        <w:tc>
          <w:tcPr>
            <w:tcW w:w="1241" w:type="dxa"/>
            <w:tcBorders>
              <w:top w:val="nil"/>
              <w:left w:val="nil"/>
              <w:bottom w:val="single" w:sz="4" w:space="0" w:color="auto"/>
              <w:right w:val="single" w:sz="4" w:space="0" w:color="auto"/>
            </w:tcBorders>
            <w:shd w:val="clear" w:color="auto" w:fill="auto"/>
            <w:vAlign w:val="bottom"/>
          </w:tcPr>
          <w:p w14:paraId="0FAFC82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14834,4</w:t>
            </w:r>
          </w:p>
        </w:tc>
        <w:tc>
          <w:tcPr>
            <w:tcW w:w="1204" w:type="dxa"/>
            <w:tcBorders>
              <w:top w:val="nil"/>
              <w:left w:val="nil"/>
              <w:bottom w:val="single" w:sz="4" w:space="0" w:color="auto"/>
              <w:right w:val="single" w:sz="4" w:space="0" w:color="auto"/>
            </w:tcBorders>
            <w:shd w:val="clear" w:color="auto" w:fill="auto"/>
            <w:vAlign w:val="bottom"/>
          </w:tcPr>
          <w:p w14:paraId="659EA9A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15357,5</w:t>
            </w:r>
          </w:p>
        </w:tc>
        <w:tc>
          <w:tcPr>
            <w:tcW w:w="1205" w:type="dxa"/>
            <w:tcBorders>
              <w:top w:val="nil"/>
              <w:left w:val="nil"/>
              <w:bottom w:val="single" w:sz="4" w:space="0" w:color="auto"/>
              <w:right w:val="single" w:sz="4" w:space="0" w:color="auto"/>
            </w:tcBorders>
            <w:shd w:val="clear" w:color="auto" w:fill="auto"/>
            <w:vAlign w:val="bottom"/>
          </w:tcPr>
          <w:p w14:paraId="12DF66EE" w14:textId="77777777" w:rsidR="00476A70" w:rsidRPr="00D56C70" w:rsidRDefault="00476A70" w:rsidP="00300B34">
            <w:pPr>
              <w:jc w:val="right"/>
              <w:rPr>
                <w:rFonts w:ascii="Times New Roman" w:hAnsi="Times New Roman" w:cs="Times New Roman"/>
                <w:color w:val="000000"/>
                <w:sz w:val="28"/>
                <w:szCs w:val="28"/>
              </w:rPr>
            </w:pPr>
            <w:r w:rsidRPr="00851105">
              <w:rPr>
                <w:rFonts w:ascii="Times New Roman" w:hAnsi="Times New Roman" w:cs="Times New Roman"/>
                <w:color w:val="000000"/>
                <w:sz w:val="28"/>
                <w:szCs w:val="28"/>
              </w:rPr>
              <w:t>103,5</w:t>
            </w:r>
          </w:p>
        </w:tc>
      </w:tr>
      <w:tr w:rsidR="00476A70" w14:paraId="724EF777" w14:textId="77777777" w:rsidTr="00300B34">
        <w:tc>
          <w:tcPr>
            <w:tcW w:w="2376" w:type="dxa"/>
          </w:tcPr>
          <w:p w14:paraId="021D952F" w14:textId="77777777" w:rsidR="00476A70" w:rsidRDefault="00476A70" w:rsidP="00300B34">
            <w:pPr>
              <w:pStyle w:val="Default"/>
              <w:contextualSpacing/>
              <w:rPr>
                <w:bCs/>
                <w:sz w:val="28"/>
                <w:szCs w:val="28"/>
              </w:rPr>
            </w:pPr>
            <w:r>
              <w:rPr>
                <w:bCs/>
                <w:sz w:val="28"/>
                <w:szCs w:val="28"/>
              </w:rPr>
              <w:t>Яйца куриные (млн шт.)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43F0E193"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35,4</w:t>
            </w:r>
          </w:p>
        </w:tc>
        <w:tc>
          <w:tcPr>
            <w:tcW w:w="1134" w:type="dxa"/>
            <w:tcBorders>
              <w:top w:val="nil"/>
              <w:left w:val="nil"/>
              <w:bottom w:val="single" w:sz="4" w:space="0" w:color="auto"/>
              <w:right w:val="single" w:sz="4" w:space="0" w:color="auto"/>
            </w:tcBorders>
            <w:shd w:val="clear" w:color="auto" w:fill="auto"/>
            <w:vAlign w:val="bottom"/>
          </w:tcPr>
          <w:p w14:paraId="0B0A9269"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35,8</w:t>
            </w:r>
          </w:p>
        </w:tc>
        <w:tc>
          <w:tcPr>
            <w:tcW w:w="1276" w:type="dxa"/>
            <w:tcBorders>
              <w:top w:val="nil"/>
              <w:left w:val="nil"/>
              <w:bottom w:val="single" w:sz="4" w:space="0" w:color="auto"/>
              <w:right w:val="single" w:sz="4" w:space="0" w:color="auto"/>
            </w:tcBorders>
            <w:shd w:val="clear" w:color="auto" w:fill="auto"/>
            <w:vAlign w:val="bottom"/>
          </w:tcPr>
          <w:p w14:paraId="2F9F6DA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101,0</w:t>
            </w:r>
          </w:p>
        </w:tc>
        <w:tc>
          <w:tcPr>
            <w:tcW w:w="1241" w:type="dxa"/>
            <w:tcBorders>
              <w:top w:val="nil"/>
              <w:left w:val="nil"/>
              <w:bottom w:val="single" w:sz="4" w:space="0" w:color="auto"/>
              <w:right w:val="single" w:sz="4" w:space="0" w:color="auto"/>
            </w:tcBorders>
            <w:shd w:val="clear" w:color="auto" w:fill="auto"/>
            <w:vAlign w:val="bottom"/>
          </w:tcPr>
          <w:p w14:paraId="123DAF21"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31,8</w:t>
            </w:r>
          </w:p>
        </w:tc>
        <w:tc>
          <w:tcPr>
            <w:tcW w:w="1204" w:type="dxa"/>
            <w:tcBorders>
              <w:top w:val="nil"/>
              <w:left w:val="nil"/>
              <w:bottom w:val="single" w:sz="4" w:space="0" w:color="auto"/>
              <w:right w:val="single" w:sz="4" w:space="0" w:color="auto"/>
            </w:tcBorders>
            <w:shd w:val="clear" w:color="auto" w:fill="auto"/>
            <w:vAlign w:val="bottom"/>
          </w:tcPr>
          <w:p w14:paraId="63743F35"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32,3</w:t>
            </w:r>
          </w:p>
        </w:tc>
        <w:tc>
          <w:tcPr>
            <w:tcW w:w="1205" w:type="dxa"/>
            <w:tcBorders>
              <w:top w:val="nil"/>
              <w:left w:val="nil"/>
              <w:bottom w:val="single" w:sz="4" w:space="0" w:color="auto"/>
              <w:right w:val="single" w:sz="4" w:space="0" w:color="auto"/>
            </w:tcBorders>
            <w:shd w:val="clear" w:color="auto" w:fill="auto"/>
            <w:vAlign w:val="bottom"/>
          </w:tcPr>
          <w:p w14:paraId="7DA9B34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101,5</w:t>
            </w:r>
          </w:p>
        </w:tc>
      </w:tr>
    </w:tbl>
    <w:p w14:paraId="5A78803F" w14:textId="77777777" w:rsidR="00476A70" w:rsidRPr="00936192" w:rsidRDefault="00476A70" w:rsidP="00476A70">
      <w:pPr>
        <w:pStyle w:val="Default"/>
        <w:ind w:firstLine="709"/>
        <w:contextualSpacing/>
        <w:jc w:val="right"/>
        <w:rPr>
          <w:bCs/>
          <w:sz w:val="28"/>
          <w:szCs w:val="28"/>
        </w:rPr>
      </w:pPr>
    </w:p>
    <w:p w14:paraId="5BDCE001" w14:textId="77777777" w:rsidR="00476A70" w:rsidRPr="001D7907" w:rsidRDefault="00476A70" w:rsidP="00476A70">
      <w:pPr>
        <w:pStyle w:val="Default"/>
        <w:ind w:firstLine="709"/>
        <w:contextualSpacing/>
        <w:jc w:val="both"/>
        <w:rPr>
          <w:sz w:val="28"/>
          <w:szCs w:val="28"/>
        </w:rPr>
      </w:pPr>
      <w:r w:rsidRPr="001D7907">
        <w:rPr>
          <w:b/>
          <w:bCs/>
          <w:sz w:val="28"/>
          <w:szCs w:val="28"/>
        </w:rPr>
        <w:t>Корректировка мер таможенно-тарифного регулирования</w:t>
      </w:r>
      <w:r>
        <w:rPr>
          <w:b/>
          <w:bCs/>
          <w:sz w:val="28"/>
          <w:szCs w:val="28"/>
        </w:rPr>
        <w:t>.</w:t>
      </w:r>
      <w:r w:rsidRPr="001D7907">
        <w:rPr>
          <w:b/>
          <w:bCs/>
          <w:sz w:val="28"/>
          <w:szCs w:val="28"/>
        </w:rPr>
        <w:t xml:space="preserve"> </w:t>
      </w:r>
    </w:p>
    <w:p w14:paraId="438A6E84"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Таможенно-тарифное регулирование осуществляется в соответствии</w:t>
      </w:r>
      <w:r w:rsidRPr="00765C04">
        <w:rPr>
          <w:rFonts w:ascii="Times New Roman" w:eastAsia="Calibri" w:hAnsi="Times New Roman" w:cs="Times New Roman"/>
          <w:color w:val="000000"/>
          <w:sz w:val="28"/>
          <w:szCs w:val="28"/>
        </w:rPr>
        <w:br/>
        <w:t xml:space="preserve"> с обязательствами Российской Федерации в В</w:t>
      </w:r>
      <w:r>
        <w:rPr>
          <w:rFonts w:ascii="Times New Roman" w:eastAsia="Calibri" w:hAnsi="Times New Roman" w:cs="Times New Roman"/>
          <w:color w:val="000000"/>
          <w:sz w:val="28"/>
          <w:szCs w:val="28"/>
        </w:rPr>
        <w:t>семирной торговой организации (далее – В</w:t>
      </w:r>
      <w:r w:rsidRPr="00765C04">
        <w:rPr>
          <w:rFonts w:ascii="Times New Roman" w:eastAsia="Calibri" w:hAnsi="Times New Roman" w:cs="Times New Roman"/>
          <w:color w:val="000000"/>
          <w:sz w:val="28"/>
          <w:szCs w:val="28"/>
        </w:rPr>
        <w:t>ТО</w:t>
      </w:r>
      <w:r>
        <w:rPr>
          <w:rFonts w:ascii="Times New Roman" w:eastAsia="Calibri" w:hAnsi="Times New Roman" w:cs="Times New Roman"/>
          <w:color w:val="000000"/>
          <w:sz w:val="28"/>
          <w:szCs w:val="28"/>
        </w:rPr>
        <w:t>)</w:t>
      </w:r>
      <w:r w:rsidRPr="00765C04">
        <w:rPr>
          <w:rFonts w:ascii="Times New Roman" w:eastAsia="Calibri" w:hAnsi="Times New Roman" w:cs="Times New Roman"/>
          <w:color w:val="000000"/>
          <w:sz w:val="28"/>
          <w:szCs w:val="28"/>
        </w:rPr>
        <w:t xml:space="preserve">. </w:t>
      </w:r>
    </w:p>
    <w:p w14:paraId="30BE83D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Решения о корректировке ставок ввозных таможенных пошлин принима</w:t>
      </w:r>
      <w:r>
        <w:rPr>
          <w:rFonts w:ascii="Times New Roman" w:eastAsia="Calibri" w:hAnsi="Times New Roman" w:cs="Times New Roman"/>
          <w:color w:val="000000"/>
          <w:sz w:val="28"/>
          <w:szCs w:val="28"/>
        </w:rPr>
        <w:t>ю</w:t>
      </w:r>
      <w:r w:rsidRPr="00765C04">
        <w:rPr>
          <w:rFonts w:ascii="Times New Roman" w:eastAsia="Calibri" w:hAnsi="Times New Roman" w:cs="Times New Roman"/>
          <w:color w:val="000000"/>
          <w:sz w:val="28"/>
          <w:szCs w:val="28"/>
        </w:rPr>
        <w:t>тся Евразийской экономической комиссией</w:t>
      </w:r>
      <w:r>
        <w:rPr>
          <w:rFonts w:ascii="Times New Roman" w:eastAsia="Calibri" w:hAnsi="Times New Roman" w:cs="Times New Roman"/>
          <w:color w:val="000000"/>
          <w:sz w:val="28"/>
          <w:szCs w:val="28"/>
        </w:rPr>
        <w:t xml:space="preserve"> (далее – ЕЭК) в соответствии</w:t>
      </w:r>
      <w:r w:rsidRPr="00765C04">
        <w:rPr>
          <w:rFonts w:ascii="Times New Roman" w:eastAsia="Calibri" w:hAnsi="Times New Roman" w:cs="Times New Roman"/>
          <w:color w:val="000000"/>
          <w:sz w:val="28"/>
          <w:szCs w:val="28"/>
        </w:rPr>
        <w:t xml:space="preserve"> с Договором о Евразийском экономическом союзе </w:t>
      </w:r>
      <w:r>
        <w:rPr>
          <w:rFonts w:ascii="Times New Roman" w:eastAsia="Calibri" w:hAnsi="Times New Roman" w:cs="Times New Roman"/>
          <w:color w:val="000000"/>
          <w:sz w:val="28"/>
          <w:szCs w:val="28"/>
        </w:rPr>
        <w:t xml:space="preserve">(далее – ЕАЭС) </w:t>
      </w:r>
      <w:r w:rsidRPr="00765C04">
        <w:rPr>
          <w:rFonts w:ascii="Times New Roman" w:eastAsia="Calibri" w:hAnsi="Times New Roman" w:cs="Times New Roman"/>
          <w:color w:val="000000"/>
          <w:sz w:val="28"/>
          <w:szCs w:val="28"/>
        </w:rPr>
        <w:t>от 29 мая 2014 года.</w:t>
      </w:r>
    </w:p>
    <w:p w14:paraId="17D57AD2"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Решениями Коллегии </w:t>
      </w:r>
      <w:r>
        <w:rPr>
          <w:rFonts w:ascii="Times New Roman" w:eastAsia="Calibri" w:hAnsi="Times New Roman" w:cs="Times New Roman"/>
          <w:color w:val="000000"/>
          <w:sz w:val="28"/>
          <w:szCs w:val="28"/>
        </w:rPr>
        <w:t>ЕЭК</w:t>
      </w:r>
      <w:r w:rsidRPr="00765C04">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от 5 июня 2018 г. № </w:t>
      </w:r>
      <w:r w:rsidRPr="00765C04">
        <w:rPr>
          <w:rFonts w:ascii="Times New Roman" w:eastAsia="Calibri" w:hAnsi="Times New Roman" w:cs="Times New Roman"/>
          <w:color w:val="000000"/>
          <w:sz w:val="28"/>
          <w:szCs w:val="28"/>
        </w:rPr>
        <w:t>94 и Совета Е</w:t>
      </w:r>
      <w:r>
        <w:rPr>
          <w:rFonts w:ascii="Times New Roman" w:eastAsia="Calibri" w:hAnsi="Times New Roman" w:cs="Times New Roman"/>
          <w:color w:val="000000"/>
          <w:sz w:val="28"/>
          <w:szCs w:val="28"/>
        </w:rPr>
        <w:t xml:space="preserve">ЭК </w:t>
      </w:r>
      <w:r>
        <w:rPr>
          <w:rFonts w:ascii="Times New Roman" w:eastAsia="Calibri" w:hAnsi="Times New Roman" w:cs="Times New Roman"/>
          <w:color w:val="000000"/>
          <w:sz w:val="28"/>
          <w:szCs w:val="28"/>
        </w:rPr>
        <w:br/>
        <w:t>от 13 июля 2018 г. № </w:t>
      </w:r>
      <w:r w:rsidRPr="00765C04">
        <w:rPr>
          <w:rFonts w:ascii="Times New Roman" w:eastAsia="Calibri" w:hAnsi="Times New Roman" w:cs="Times New Roman"/>
          <w:color w:val="000000"/>
          <w:sz w:val="28"/>
          <w:szCs w:val="28"/>
        </w:rPr>
        <w:t>66 в Единый таможенный тариф Е</w:t>
      </w:r>
      <w:r>
        <w:rPr>
          <w:rFonts w:ascii="Times New Roman" w:eastAsia="Calibri" w:hAnsi="Times New Roman" w:cs="Times New Roman"/>
          <w:color w:val="000000"/>
          <w:sz w:val="28"/>
          <w:szCs w:val="28"/>
        </w:rPr>
        <w:t>АЭС</w:t>
      </w:r>
      <w:r w:rsidRPr="00765C04">
        <w:rPr>
          <w:rFonts w:ascii="Times New Roman" w:eastAsia="Calibri" w:hAnsi="Times New Roman" w:cs="Times New Roman"/>
          <w:color w:val="000000"/>
          <w:sz w:val="28"/>
          <w:szCs w:val="28"/>
        </w:rPr>
        <w:t xml:space="preserve"> внесены изменения, вступившие в действие с 1 сентября 2018 г., в отношении отдельных видов товаров в соответствии с обязательствами Российской Федерации в рамках ВТО. </w:t>
      </w:r>
    </w:p>
    <w:p w14:paraId="73D59357"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Понижены ставки ввозных таможенных пошлин на отдельные виды рыбы, какао-полуфабрикатов, фруктов, продуктов переработки рыбы и фруктов. </w:t>
      </w:r>
    </w:p>
    <w:p w14:paraId="638274A1" w14:textId="77777777" w:rsidR="00476A70"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Постановлениями Правительства Российской Фе</w:t>
      </w:r>
      <w:r>
        <w:rPr>
          <w:rFonts w:ascii="Times New Roman" w:eastAsia="Calibri" w:hAnsi="Times New Roman" w:cs="Times New Roman"/>
          <w:color w:val="000000"/>
          <w:sz w:val="28"/>
          <w:szCs w:val="28"/>
        </w:rPr>
        <w:t xml:space="preserve">дерации </w:t>
      </w:r>
      <w:r>
        <w:rPr>
          <w:rFonts w:ascii="Times New Roman" w:eastAsia="Calibri" w:hAnsi="Times New Roman" w:cs="Times New Roman"/>
          <w:color w:val="000000"/>
          <w:sz w:val="28"/>
          <w:szCs w:val="28"/>
        </w:rPr>
        <w:br/>
        <w:t>от 7 декабря 2017 г. № </w:t>
      </w:r>
      <w:r w:rsidRPr="00765C04">
        <w:rPr>
          <w:rFonts w:ascii="Times New Roman" w:eastAsia="Calibri" w:hAnsi="Times New Roman" w:cs="Times New Roman"/>
          <w:color w:val="000000"/>
          <w:sz w:val="28"/>
          <w:szCs w:val="28"/>
        </w:rPr>
        <w:t>1484 «О распределении объема тарифной квоты в отношении молочной сыворотки в 2018</w:t>
      </w:r>
      <w:r>
        <w:rPr>
          <w:rFonts w:ascii="Times New Roman" w:eastAsia="Calibri" w:hAnsi="Times New Roman" w:cs="Times New Roman"/>
          <w:color w:val="000000"/>
          <w:sz w:val="28"/>
          <w:szCs w:val="28"/>
        </w:rPr>
        <w:t xml:space="preserve"> году» и от 9 декабря 2017 г. № </w:t>
      </w:r>
      <w:r w:rsidRPr="00765C04">
        <w:rPr>
          <w:rFonts w:ascii="Times New Roman" w:eastAsia="Calibri" w:hAnsi="Times New Roman" w:cs="Times New Roman"/>
          <w:color w:val="000000"/>
          <w:sz w:val="28"/>
          <w:szCs w:val="28"/>
        </w:rPr>
        <w:t>1498 «О распределении объемов тарифных квот в отношении мяса крупного рогатого скота, свинины и мяса домашней птицы в 2018 году» утверждено распределение объемов тарифных квот, установленных на 2018 год решением Коллегии Е</w:t>
      </w:r>
      <w:r>
        <w:rPr>
          <w:rFonts w:ascii="Times New Roman" w:eastAsia="Calibri" w:hAnsi="Times New Roman" w:cs="Times New Roman"/>
          <w:color w:val="000000"/>
          <w:sz w:val="28"/>
          <w:szCs w:val="28"/>
        </w:rPr>
        <w:t xml:space="preserve">ЭК </w:t>
      </w:r>
      <w:r w:rsidRPr="00765C04">
        <w:rPr>
          <w:rFonts w:ascii="Times New Roman" w:eastAsia="Calibri" w:hAnsi="Times New Roman" w:cs="Times New Roman"/>
          <w:color w:val="000000"/>
          <w:sz w:val="28"/>
          <w:szCs w:val="28"/>
        </w:rPr>
        <w:t>от 18 августа 2017 г. № 97.</w:t>
      </w:r>
    </w:p>
    <w:p w14:paraId="1EC1206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Решением коллегии Е</w:t>
      </w:r>
      <w:r>
        <w:rPr>
          <w:rFonts w:ascii="Times New Roman" w:eastAsia="Calibri" w:hAnsi="Times New Roman" w:cs="Times New Roman"/>
          <w:color w:val="000000"/>
          <w:sz w:val="28"/>
          <w:szCs w:val="28"/>
        </w:rPr>
        <w:t>ЭК от 18 августа 2017 г. № </w:t>
      </w:r>
      <w:r w:rsidRPr="00765C04">
        <w:rPr>
          <w:rFonts w:ascii="Times New Roman" w:eastAsia="Calibri" w:hAnsi="Times New Roman" w:cs="Times New Roman"/>
          <w:color w:val="000000"/>
          <w:sz w:val="28"/>
          <w:szCs w:val="28"/>
        </w:rPr>
        <w:t xml:space="preserve">96 «Об установлении на 2018 год объемов тарифной квоты в отношении отдельных видов риса длиннозерного, происходящего из Социалистической </w:t>
      </w:r>
      <w:r>
        <w:rPr>
          <w:rFonts w:ascii="Times New Roman" w:eastAsia="Calibri" w:hAnsi="Times New Roman" w:cs="Times New Roman"/>
          <w:color w:val="000000"/>
          <w:sz w:val="28"/>
          <w:szCs w:val="28"/>
        </w:rPr>
        <w:t xml:space="preserve">Республики Вьетнам и ввозимого </w:t>
      </w:r>
      <w:r w:rsidRPr="00765C04">
        <w:rPr>
          <w:rFonts w:ascii="Times New Roman" w:eastAsia="Calibri" w:hAnsi="Times New Roman" w:cs="Times New Roman"/>
          <w:color w:val="000000"/>
          <w:sz w:val="28"/>
          <w:szCs w:val="28"/>
        </w:rPr>
        <w:t xml:space="preserve">на территории государств-членов Евразийского </w:t>
      </w:r>
      <w:r>
        <w:rPr>
          <w:rFonts w:ascii="Times New Roman" w:eastAsia="Calibri" w:hAnsi="Times New Roman" w:cs="Times New Roman"/>
          <w:color w:val="000000"/>
          <w:sz w:val="28"/>
          <w:szCs w:val="28"/>
        </w:rPr>
        <w:t xml:space="preserve">экономического союза» </w:t>
      </w:r>
      <w:r w:rsidRPr="00765C04">
        <w:rPr>
          <w:rFonts w:ascii="Times New Roman" w:eastAsia="Calibri" w:hAnsi="Times New Roman" w:cs="Times New Roman"/>
          <w:color w:val="000000"/>
          <w:sz w:val="28"/>
          <w:szCs w:val="28"/>
        </w:rPr>
        <w:t xml:space="preserve">для Российской Федерации установлена тарифная квота в объеме </w:t>
      </w:r>
      <w:r w:rsidRPr="00765C04">
        <w:rPr>
          <w:rFonts w:ascii="Times New Roman" w:eastAsia="Calibri" w:hAnsi="Times New Roman" w:cs="Times New Roman"/>
          <w:color w:val="000000"/>
          <w:sz w:val="28"/>
          <w:szCs w:val="28"/>
        </w:rPr>
        <w:br/>
        <w:t>9 039 тонн (постановление Правительства Российской Фед</w:t>
      </w:r>
      <w:r>
        <w:rPr>
          <w:rFonts w:ascii="Times New Roman" w:eastAsia="Calibri" w:hAnsi="Times New Roman" w:cs="Times New Roman"/>
          <w:color w:val="000000"/>
          <w:sz w:val="28"/>
          <w:szCs w:val="28"/>
        </w:rPr>
        <w:t xml:space="preserve">ерации  </w:t>
      </w:r>
      <w:r>
        <w:rPr>
          <w:rFonts w:ascii="Times New Roman" w:eastAsia="Calibri" w:hAnsi="Times New Roman" w:cs="Times New Roman"/>
          <w:color w:val="000000"/>
          <w:sz w:val="28"/>
          <w:szCs w:val="28"/>
        </w:rPr>
        <w:br/>
        <w:t>от 5 декабря 2017 г. № </w:t>
      </w:r>
      <w:r w:rsidRPr="00765C04">
        <w:rPr>
          <w:rFonts w:ascii="Times New Roman" w:eastAsia="Calibri" w:hAnsi="Times New Roman" w:cs="Times New Roman"/>
          <w:color w:val="000000"/>
          <w:sz w:val="28"/>
          <w:szCs w:val="28"/>
        </w:rPr>
        <w:t xml:space="preserve">1470 «О распределении  объема тарифной квоты </w:t>
      </w:r>
      <w:r w:rsidRPr="00765C04">
        <w:rPr>
          <w:rFonts w:ascii="Times New Roman" w:eastAsia="Calibri" w:hAnsi="Times New Roman" w:cs="Times New Roman"/>
          <w:color w:val="000000"/>
          <w:sz w:val="28"/>
          <w:szCs w:val="28"/>
        </w:rPr>
        <w:br/>
        <w:t xml:space="preserve">в отношении отдельных видов риса длиннозерного, происходящего </w:t>
      </w:r>
      <w:r w:rsidRPr="00765C04">
        <w:rPr>
          <w:rFonts w:ascii="Times New Roman" w:eastAsia="Calibri" w:hAnsi="Times New Roman" w:cs="Times New Roman"/>
          <w:color w:val="000000"/>
          <w:sz w:val="28"/>
          <w:szCs w:val="28"/>
        </w:rPr>
        <w:br/>
        <w:t xml:space="preserve">из Социалистической Республики Вьетнам, в 2018 году»). Ставка ввозной таможенной пошлины в квоте 0%, вне квоты 10%, но не менее 0,03 евро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за 1 кг.</w:t>
      </w:r>
    </w:p>
    <w:p w14:paraId="7205CA90" w14:textId="77777777" w:rsidR="00476A70" w:rsidRPr="00765C04" w:rsidRDefault="00476A70" w:rsidP="00476A70">
      <w:pPr>
        <w:tabs>
          <w:tab w:val="left" w:pos="9356"/>
        </w:tabs>
        <w:spacing w:after="0" w:line="240" w:lineRule="auto"/>
        <w:ind w:firstLine="709"/>
        <w:jc w:val="both"/>
        <w:rPr>
          <w:rFonts w:ascii="Times New Roman" w:eastAsia="Calibri" w:hAnsi="Times New Roman" w:cs="Times New Roman"/>
          <w:sz w:val="28"/>
          <w:szCs w:val="28"/>
        </w:rPr>
      </w:pPr>
      <w:r w:rsidRPr="00765C04">
        <w:rPr>
          <w:rFonts w:ascii="Times New Roman" w:eastAsia="Calibri" w:hAnsi="Times New Roman" w:cs="Times New Roman"/>
          <w:sz w:val="28"/>
          <w:szCs w:val="28"/>
        </w:rPr>
        <w:t xml:space="preserve">В настоящее время применяются ставки вывозных таможенных пошлин в отношении отдельных видов рыбной продукции (тунец синий прочий - код ТН ВЭД ЕАЭС 0302 35 190 0, прочие рыбные субпродукты из тунца синего - из кода ТН ВЭД ЕАЭС 0302 99 000 9), семян рапса </w:t>
      </w:r>
      <w:r>
        <w:rPr>
          <w:rFonts w:ascii="Times New Roman" w:eastAsia="Calibri" w:hAnsi="Times New Roman" w:cs="Times New Roman"/>
          <w:sz w:val="28"/>
          <w:szCs w:val="28"/>
        </w:rPr>
        <w:br/>
      </w:r>
      <w:r w:rsidRPr="00765C04">
        <w:rPr>
          <w:rFonts w:ascii="Times New Roman" w:eastAsia="Calibri" w:hAnsi="Times New Roman" w:cs="Times New Roman"/>
          <w:sz w:val="28"/>
          <w:szCs w:val="28"/>
        </w:rPr>
        <w:t xml:space="preserve">(код ТН ВЭД ЕАЭС 1205),  семян подсолнечника (код ТН ВЭД ЕАЭС 1206),  шкур крупного рогатого скота, овец, ягнят и прочих необработанных шкур (коды ТН ВЭД ЕАЭС 4101 и 4102) и </w:t>
      </w:r>
      <w:r w:rsidRPr="00765C04">
        <w:rPr>
          <w:rFonts w:ascii="Times New Roman" w:eastAsia="Calibri" w:hAnsi="Times New Roman" w:cs="Times New Roman"/>
          <w:color w:val="000000"/>
          <w:sz w:val="28"/>
          <w:szCs w:val="28"/>
          <w:lang w:bidi="ru-RU"/>
        </w:rPr>
        <w:t>соответствуют конечному уровню связывания согласно обязательствам Российской Федерации в ВТО.</w:t>
      </w:r>
    </w:p>
    <w:p w14:paraId="6338F5C4" w14:textId="77777777" w:rsidR="00476A70" w:rsidRPr="008822C3"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В соответствии с постановлением Правительства Российской Федерации от 26</w:t>
      </w:r>
      <w:r>
        <w:rPr>
          <w:rFonts w:ascii="Times New Roman" w:eastAsia="Calibri" w:hAnsi="Times New Roman" w:cs="Times New Roman"/>
          <w:color w:val="000000"/>
          <w:sz w:val="28"/>
          <w:szCs w:val="28"/>
        </w:rPr>
        <w:t xml:space="preserve"> сентября 2016 г. № </w:t>
      </w:r>
      <w:r w:rsidRPr="00765C04">
        <w:rPr>
          <w:rFonts w:ascii="Times New Roman" w:eastAsia="Calibri" w:hAnsi="Times New Roman" w:cs="Times New Roman"/>
          <w:color w:val="000000"/>
          <w:sz w:val="28"/>
          <w:szCs w:val="28"/>
        </w:rPr>
        <w:t xml:space="preserve">966 «О внесении изменений в ставки вывозных таможенных пошлин на товары, вывозимые из Российской Федерации за пределы государств-участников соглашений о Таможенном союзе» ставка вывозной таможенной пошлины с 23 сентября 2016 г. </w:t>
      </w:r>
      <w:r w:rsidRPr="00765C04">
        <w:rPr>
          <w:rFonts w:ascii="Times New Roman" w:eastAsia="Calibri" w:hAnsi="Times New Roman" w:cs="Times New Roman"/>
          <w:color w:val="000000"/>
          <w:sz w:val="28"/>
          <w:szCs w:val="28"/>
        </w:rPr>
        <w:br/>
        <w:t xml:space="preserve">до 1 июля 2018 г. по позиции 1001 99 000 0 (пшеница и меслин прочие) применяется в размере 0 рублей. Постановлением Правительства Российской Федерации от 27 июня 2018 г. № 737 ее действие продлено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до 1 июля 2019 г</w:t>
      </w:r>
      <w:r>
        <w:rPr>
          <w:rFonts w:ascii="Times New Roman" w:eastAsia="Calibri" w:hAnsi="Times New Roman" w:cs="Times New Roman"/>
          <w:color w:val="000000"/>
          <w:sz w:val="28"/>
          <w:szCs w:val="28"/>
        </w:rPr>
        <w:t>ода</w:t>
      </w:r>
      <w:r w:rsidRPr="00765C04">
        <w:rPr>
          <w:rFonts w:ascii="Times New Roman" w:eastAsia="Calibri" w:hAnsi="Times New Roman" w:cs="Times New Roman"/>
          <w:color w:val="000000"/>
          <w:sz w:val="28"/>
          <w:szCs w:val="28"/>
        </w:rPr>
        <w:t>.</w:t>
      </w:r>
    </w:p>
    <w:p w14:paraId="1B3938FF" w14:textId="77777777" w:rsidR="00476A70" w:rsidRPr="001D7907" w:rsidRDefault="00476A70" w:rsidP="00476A70">
      <w:pPr>
        <w:pStyle w:val="Default"/>
        <w:ind w:firstLine="709"/>
        <w:contextualSpacing/>
        <w:jc w:val="both"/>
        <w:rPr>
          <w:sz w:val="28"/>
          <w:szCs w:val="28"/>
        </w:rPr>
      </w:pPr>
      <w:r w:rsidRPr="001D7907">
        <w:rPr>
          <w:b/>
          <w:bCs/>
          <w:sz w:val="28"/>
          <w:szCs w:val="28"/>
        </w:rPr>
        <w:t xml:space="preserve">О проведении государственных закупочных и товарных интервенций на рынках сельскохозяйственной продукции, сырья </w:t>
      </w:r>
      <w:r>
        <w:rPr>
          <w:b/>
          <w:bCs/>
          <w:sz w:val="28"/>
          <w:szCs w:val="28"/>
        </w:rPr>
        <w:br/>
      </w:r>
      <w:r w:rsidRPr="001D7907">
        <w:rPr>
          <w:b/>
          <w:bCs/>
          <w:sz w:val="28"/>
          <w:szCs w:val="28"/>
        </w:rPr>
        <w:t>и продовольствия</w:t>
      </w:r>
      <w:r>
        <w:rPr>
          <w:b/>
          <w:bCs/>
          <w:sz w:val="28"/>
          <w:szCs w:val="28"/>
        </w:rPr>
        <w:t>.</w:t>
      </w:r>
      <w:r w:rsidRPr="001D7907">
        <w:rPr>
          <w:b/>
          <w:bCs/>
          <w:sz w:val="28"/>
          <w:szCs w:val="28"/>
        </w:rPr>
        <w:t xml:space="preserve"> </w:t>
      </w:r>
    </w:p>
    <w:p w14:paraId="7D4C4B7A"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Общий объем зерна федерального интервенционного фонда</w:t>
      </w:r>
      <w:r>
        <w:rPr>
          <w:rFonts w:ascii="Times New Roman" w:hAnsi="Times New Roman" w:cs="Times New Roman"/>
          <w:sz w:val="28"/>
          <w:szCs w:val="28"/>
        </w:rPr>
        <w:t xml:space="preserve"> на конец 2018 года составлял 3 005,7 тыс. тонн на сумму 29 </w:t>
      </w:r>
      <w:r w:rsidRPr="00343D21">
        <w:rPr>
          <w:rFonts w:ascii="Times New Roman" w:hAnsi="Times New Roman" w:cs="Times New Roman"/>
          <w:sz w:val="28"/>
          <w:szCs w:val="28"/>
        </w:rPr>
        <w:t>121,9 млн рублей.</w:t>
      </w:r>
    </w:p>
    <w:p w14:paraId="72F8740A" w14:textId="77777777"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343D21">
        <w:rPr>
          <w:rFonts w:ascii="Times New Roman" w:eastAsia="Calibri" w:hAnsi="Times New Roman" w:cs="Times New Roman"/>
          <w:sz w:val="28"/>
          <w:szCs w:val="28"/>
        </w:rPr>
        <w:t>По данным ФТС России</w:t>
      </w:r>
      <w:r>
        <w:rPr>
          <w:rFonts w:ascii="Times New Roman" w:eastAsia="Calibri" w:hAnsi="Times New Roman" w:cs="Times New Roman"/>
          <w:sz w:val="28"/>
          <w:szCs w:val="28"/>
        </w:rPr>
        <w:t>,</w:t>
      </w:r>
      <w:r w:rsidRPr="00343D21">
        <w:rPr>
          <w:rFonts w:ascii="Times New Roman" w:eastAsia="Calibri" w:hAnsi="Times New Roman" w:cs="Times New Roman"/>
          <w:sz w:val="28"/>
          <w:szCs w:val="28"/>
        </w:rPr>
        <w:t xml:space="preserve"> на конец 2018 года </w:t>
      </w:r>
      <w:r>
        <w:rPr>
          <w:rFonts w:ascii="Times New Roman" w:eastAsia="Calibri" w:hAnsi="Times New Roman" w:cs="Times New Roman"/>
          <w:sz w:val="28"/>
          <w:szCs w:val="28"/>
        </w:rPr>
        <w:br/>
      </w:r>
      <w:r w:rsidRPr="00343D21">
        <w:rPr>
          <w:rFonts w:ascii="Times New Roman" w:eastAsia="Calibri" w:hAnsi="Times New Roman" w:cs="Times New Roman"/>
          <w:sz w:val="28"/>
          <w:szCs w:val="28"/>
        </w:rPr>
        <w:t xml:space="preserve">в 2018/2019 </w:t>
      </w:r>
      <w:r w:rsidRPr="000F5349">
        <w:rPr>
          <w:rFonts w:ascii="Times New Roman" w:eastAsia="Calibri" w:hAnsi="Times New Roman" w:cs="Times New Roman"/>
          <w:sz w:val="28"/>
          <w:szCs w:val="28"/>
        </w:rPr>
        <w:t xml:space="preserve">сельскохозяйственном году экспортировано зерновых культур 28,2 млн тонн, что на 5% выше, чем за аналогичный период прошлого сезона </w:t>
      </w:r>
      <w:r w:rsidRPr="000F5349">
        <w:rPr>
          <w:rFonts w:ascii="Times New Roman" w:eastAsia="Calibri" w:hAnsi="Times New Roman" w:cs="Times New Roman"/>
          <w:sz w:val="28"/>
          <w:szCs w:val="28"/>
        </w:rPr>
        <w:br/>
        <w:t xml:space="preserve">(26,9 млн тонн).  </w:t>
      </w:r>
    </w:p>
    <w:p w14:paraId="4088930D" w14:textId="77777777"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 xml:space="preserve">Экспорт пшеницы с начала сезона составил 23,8 млн тонн, что на </w:t>
      </w:r>
      <w:r w:rsidRPr="000F5349">
        <w:rPr>
          <w:rFonts w:ascii="Times New Roman" w:eastAsia="Calibri" w:hAnsi="Times New Roman" w:cs="Times New Roman"/>
          <w:sz w:val="28"/>
          <w:szCs w:val="28"/>
        </w:rPr>
        <w:br/>
        <w:t xml:space="preserve">14% выше уровня аналогичного периода 2017/2018 сельскохозяйственного года (20,9 млн тонн), ячменя – 3 млн тонн, что на 15% ниже уровня аналогичного периода 2017/2018 сельскохозяйственного года (3,5 млн тонн), кукурузы – 1,1 млн тонн, что на 49% ниже уровня аналогичного периода прошлого сезона (2,2 млн тонн), прочих культур – 0,3 млн тонн, что </w:t>
      </w:r>
      <w:r w:rsidRPr="000F5349">
        <w:rPr>
          <w:rFonts w:ascii="Times New Roman" w:eastAsia="Calibri" w:hAnsi="Times New Roman" w:cs="Times New Roman"/>
          <w:sz w:val="28"/>
          <w:szCs w:val="28"/>
        </w:rPr>
        <w:br/>
        <w:t xml:space="preserve">в 1,6 раза выше, чем за аналогичный период прошлого сезона </w:t>
      </w:r>
      <w:r w:rsidRPr="000F5349">
        <w:rPr>
          <w:rFonts w:ascii="Times New Roman" w:eastAsia="Calibri" w:hAnsi="Times New Roman" w:cs="Times New Roman"/>
          <w:sz w:val="28"/>
          <w:szCs w:val="28"/>
        </w:rPr>
        <w:br/>
        <w:t>(0,19 млн тонн).</w:t>
      </w:r>
    </w:p>
    <w:p w14:paraId="527E3775" w14:textId="77777777" w:rsidR="00476A70" w:rsidRPr="00343D21"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Основные 5 стран экспорта зерновых в сезоне 2018</w:t>
      </w:r>
      <w:r w:rsidRPr="00343D21">
        <w:rPr>
          <w:rFonts w:ascii="Times New Roman" w:eastAsia="Calibri" w:hAnsi="Times New Roman" w:cs="Times New Roman"/>
          <w:sz w:val="28"/>
          <w:szCs w:val="28"/>
        </w:rPr>
        <w:t xml:space="preserve">/2019: Египет </w:t>
      </w:r>
      <w:r w:rsidRPr="00343D21">
        <w:rPr>
          <w:rFonts w:ascii="Times New Roman" w:eastAsia="Calibri" w:hAnsi="Times New Roman" w:cs="Times New Roman"/>
          <w:sz w:val="28"/>
          <w:szCs w:val="28"/>
        </w:rPr>
        <w:br/>
        <w:t xml:space="preserve">(4,9 млн тонн, 17%), Турция (3,1 млн тонн, 11%), Вьетнам (1,2 млн тонн, 4%), Нигерия (1,2 млн тонн, 4%), Саудовская Аравия (1,2 млн тонн, 4%). </w:t>
      </w:r>
    </w:p>
    <w:p w14:paraId="4F226642"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2018 году Минсельхозом России осуществлялось точечное регулирование рынка зерна путем реализация зерна из запасов федерального интервенционного фонда сельскохозяйственной продукции (далее – интервенционный фонд) в рамках отдельных распоряжений Правительства Российской Федерации.</w:t>
      </w:r>
    </w:p>
    <w:p w14:paraId="75B9DB3F"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целях высвобождения мощностей по хранению зерна и снижения расходов федерального бюджета на обслуживание запасо</w:t>
      </w:r>
      <w:r>
        <w:rPr>
          <w:rFonts w:ascii="Times New Roman" w:hAnsi="Times New Roman" w:cs="Times New Roman"/>
          <w:sz w:val="28"/>
          <w:szCs w:val="28"/>
        </w:rPr>
        <w:t xml:space="preserve">в зерна интервенционного фонда </w:t>
      </w:r>
      <w:r w:rsidRPr="00343D21">
        <w:rPr>
          <w:rFonts w:ascii="Times New Roman" w:hAnsi="Times New Roman" w:cs="Times New Roman"/>
          <w:sz w:val="28"/>
          <w:szCs w:val="28"/>
        </w:rPr>
        <w:t>Минсельхозом России во и</w:t>
      </w:r>
      <w:r w:rsidRPr="00343D21">
        <w:rPr>
          <w:rFonts w:ascii="Times New Roman" w:hAnsi="Times New Roman" w:cs="Times New Roman"/>
          <w:bCs/>
          <w:sz w:val="28"/>
          <w:szCs w:val="28"/>
        </w:rPr>
        <w:t>сполнение распоряжения Правительства Российской Федерации от 23</w:t>
      </w:r>
      <w:r>
        <w:rPr>
          <w:rFonts w:ascii="Times New Roman" w:hAnsi="Times New Roman" w:cs="Times New Roman"/>
          <w:bCs/>
          <w:sz w:val="28"/>
          <w:szCs w:val="28"/>
        </w:rPr>
        <w:t xml:space="preserve"> декабря </w:t>
      </w:r>
      <w:r w:rsidRPr="00343D21">
        <w:rPr>
          <w:rFonts w:ascii="Times New Roman" w:hAnsi="Times New Roman" w:cs="Times New Roman"/>
          <w:bCs/>
          <w:sz w:val="28"/>
          <w:szCs w:val="28"/>
        </w:rPr>
        <w:t>2017</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xml:space="preserve">№ 2921-р реализовано зерно интервенционного фонда на экспорт в объеме </w:t>
      </w:r>
      <w:r>
        <w:rPr>
          <w:rFonts w:ascii="Times New Roman" w:hAnsi="Times New Roman" w:cs="Times New Roman"/>
          <w:bCs/>
          <w:sz w:val="28"/>
          <w:szCs w:val="28"/>
        </w:rPr>
        <w:br/>
      </w:r>
      <w:r w:rsidRPr="00343D21">
        <w:rPr>
          <w:rFonts w:ascii="Times New Roman" w:hAnsi="Times New Roman" w:cs="Times New Roman"/>
          <w:bCs/>
          <w:sz w:val="28"/>
          <w:szCs w:val="28"/>
        </w:rPr>
        <w:t>499,1 тыс. тонн</w:t>
      </w:r>
      <w:r w:rsidRPr="00343D21">
        <w:rPr>
          <w:rFonts w:ascii="Times New Roman" w:hAnsi="Times New Roman" w:cs="Times New Roman"/>
          <w:sz w:val="28"/>
          <w:szCs w:val="28"/>
        </w:rPr>
        <w:t xml:space="preserve"> общей стоимостью 4</w:t>
      </w:r>
      <w:r>
        <w:rPr>
          <w:rFonts w:ascii="Times New Roman" w:hAnsi="Times New Roman" w:cs="Times New Roman"/>
          <w:sz w:val="28"/>
          <w:szCs w:val="28"/>
        </w:rPr>
        <w:t> </w:t>
      </w:r>
      <w:r w:rsidRPr="00343D21">
        <w:rPr>
          <w:rFonts w:ascii="Times New Roman" w:hAnsi="Times New Roman" w:cs="Times New Roman"/>
          <w:sz w:val="28"/>
          <w:szCs w:val="28"/>
        </w:rPr>
        <w:t>598 млн руб</w:t>
      </w:r>
      <w:r>
        <w:rPr>
          <w:rFonts w:ascii="Times New Roman" w:hAnsi="Times New Roman" w:cs="Times New Roman"/>
          <w:sz w:val="28"/>
          <w:szCs w:val="28"/>
        </w:rPr>
        <w:t>лей</w:t>
      </w:r>
      <w:r w:rsidRPr="00343D21">
        <w:rPr>
          <w:rFonts w:ascii="Times New Roman" w:hAnsi="Times New Roman" w:cs="Times New Roman"/>
          <w:bCs/>
          <w:sz w:val="28"/>
          <w:szCs w:val="28"/>
        </w:rPr>
        <w:t>.</w:t>
      </w:r>
      <w:r w:rsidRPr="00343D21">
        <w:rPr>
          <w:rFonts w:ascii="Times New Roman" w:hAnsi="Times New Roman" w:cs="Times New Roman"/>
          <w:sz w:val="28"/>
          <w:szCs w:val="28"/>
        </w:rPr>
        <w:t xml:space="preserve"> </w:t>
      </w:r>
    </w:p>
    <w:p w14:paraId="761D07F4"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В целях оказания поддержки потребителям</w:t>
      </w:r>
      <w:r>
        <w:rPr>
          <w:rFonts w:ascii="Times New Roman" w:hAnsi="Times New Roman" w:cs="Times New Roman"/>
          <w:bCs/>
          <w:sz w:val="28"/>
          <w:szCs w:val="28"/>
        </w:rPr>
        <w:t xml:space="preserve"> Красноярского края </w:t>
      </w:r>
      <w:r>
        <w:rPr>
          <w:rFonts w:ascii="Times New Roman" w:hAnsi="Times New Roman" w:cs="Times New Roman"/>
          <w:bCs/>
          <w:sz w:val="28"/>
          <w:szCs w:val="28"/>
        </w:rPr>
        <w:br/>
        <w:t>и Республики</w:t>
      </w:r>
      <w:r w:rsidRPr="00343D21">
        <w:rPr>
          <w:rFonts w:ascii="Times New Roman" w:hAnsi="Times New Roman" w:cs="Times New Roman"/>
          <w:bCs/>
          <w:sz w:val="28"/>
          <w:szCs w:val="28"/>
        </w:rPr>
        <w:t xml:space="preserve"> Крым в связи со снижением валового сбора зерна вследствие неблагоприятных погодных условий реализовано 128,1 тыс. тонн (распоряжение Правительства Российской Федерации от 30</w:t>
      </w:r>
      <w:r>
        <w:rPr>
          <w:rFonts w:ascii="Times New Roman" w:hAnsi="Times New Roman" w:cs="Times New Roman"/>
          <w:bCs/>
          <w:sz w:val="28"/>
          <w:szCs w:val="28"/>
        </w:rPr>
        <w:t xml:space="preserve"> мая </w:t>
      </w:r>
      <w:r w:rsidRPr="00343D21">
        <w:rPr>
          <w:rFonts w:ascii="Times New Roman" w:hAnsi="Times New Roman" w:cs="Times New Roman"/>
          <w:bCs/>
          <w:sz w:val="28"/>
          <w:szCs w:val="28"/>
        </w:rPr>
        <w:t>2018</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1051-р) и 43,4 тыс. тонн зерна (распоряжение Правите</w:t>
      </w:r>
      <w:r>
        <w:rPr>
          <w:rFonts w:ascii="Times New Roman" w:hAnsi="Times New Roman" w:cs="Times New Roman"/>
          <w:bCs/>
          <w:sz w:val="28"/>
          <w:szCs w:val="28"/>
        </w:rPr>
        <w:t xml:space="preserve">льства Российской Федерации от </w:t>
      </w:r>
      <w:r w:rsidRPr="00343D21">
        <w:rPr>
          <w:rFonts w:ascii="Times New Roman" w:hAnsi="Times New Roman" w:cs="Times New Roman"/>
          <w:bCs/>
          <w:sz w:val="28"/>
          <w:szCs w:val="28"/>
        </w:rPr>
        <w:t>4</w:t>
      </w:r>
      <w:r>
        <w:rPr>
          <w:rFonts w:ascii="Times New Roman" w:hAnsi="Times New Roman" w:cs="Times New Roman"/>
          <w:bCs/>
          <w:sz w:val="28"/>
          <w:szCs w:val="28"/>
        </w:rPr>
        <w:t xml:space="preserve"> октября </w:t>
      </w:r>
      <w:r w:rsidRPr="00343D21">
        <w:rPr>
          <w:rFonts w:ascii="Times New Roman" w:hAnsi="Times New Roman" w:cs="Times New Roman"/>
          <w:bCs/>
          <w:sz w:val="28"/>
          <w:szCs w:val="28"/>
        </w:rPr>
        <w:t xml:space="preserve">2018 </w:t>
      </w:r>
      <w:r>
        <w:rPr>
          <w:rFonts w:ascii="Times New Roman" w:hAnsi="Times New Roman" w:cs="Times New Roman"/>
          <w:bCs/>
          <w:sz w:val="28"/>
          <w:szCs w:val="28"/>
        </w:rPr>
        <w:t xml:space="preserve">г. </w:t>
      </w:r>
      <w:r w:rsidRPr="00343D21">
        <w:rPr>
          <w:rFonts w:ascii="Times New Roman" w:hAnsi="Times New Roman" w:cs="Times New Roman"/>
          <w:bCs/>
          <w:sz w:val="28"/>
          <w:szCs w:val="28"/>
        </w:rPr>
        <w:t xml:space="preserve">№ 2133-р) соответственно. </w:t>
      </w:r>
    </w:p>
    <w:p w14:paraId="52C71673"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Также во исполнение распоряжения Правительства Росси</w:t>
      </w:r>
      <w:r>
        <w:rPr>
          <w:rFonts w:ascii="Times New Roman" w:hAnsi="Times New Roman" w:cs="Times New Roman"/>
          <w:bCs/>
          <w:sz w:val="28"/>
          <w:szCs w:val="28"/>
        </w:rPr>
        <w:t>йской Федерации от 4 октября 2018 г. №</w:t>
      </w:r>
      <w:r>
        <w:t> </w:t>
      </w:r>
      <w:r w:rsidRPr="00343D21">
        <w:rPr>
          <w:rFonts w:ascii="Times New Roman" w:hAnsi="Times New Roman" w:cs="Times New Roman"/>
          <w:bCs/>
          <w:sz w:val="28"/>
          <w:szCs w:val="28"/>
        </w:rPr>
        <w:t xml:space="preserve">2134-р Минсельхозом России на </w:t>
      </w:r>
      <w:r>
        <w:rPr>
          <w:rFonts w:ascii="Times New Roman" w:hAnsi="Times New Roman" w:cs="Times New Roman"/>
          <w:bCs/>
          <w:sz w:val="28"/>
          <w:szCs w:val="28"/>
        </w:rPr>
        <w:t>биржевых торгах реализовано 436</w:t>
      </w:r>
      <w:r w:rsidRPr="00343D21">
        <w:rPr>
          <w:rFonts w:ascii="Times New Roman" w:hAnsi="Times New Roman" w:cs="Times New Roman"/>
          <w:bCs/>
          <w:sz w:val="28"/>
          <w:szCs w:val="28"/>
        </w:rPr>
        <w:t xml:space="preserve">,9 тыс. тонн общей стоимостью 4 329,5 млн рублей, что позволило увеличить предложение зерна на внутреннем рынке. </w:t>
      </w:r>
    </w:p>
    <w:p w14:paraId="3AB50887"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 xml:space="preserve">В целях выравнивания доходности сельскохозяйственных товаропроизводителей в субъектах Российской Федерации, в которых отмечался значительный прирост объема производства зерна на фоне рекордного урожая зерна в 2017/2018 году (135,4 млн тонн), принято постановление Правительства Российской Федерации от 20 декабря 2017 г. </w:t>
      </w:r>
      <w:r w:rsidRPr="00343D21">
        <w:rPr>
          <w:rFonts w:ascii="Times New Roman" w:hAnsi="Times New Roman" w:cs="Times New Roman"/>
          <w:sz w:val="28"/>
          <w:szCs w:val="28"/>
        </w:rPr>
        <w:br/>
        <w:t>№ 1595 «Об утверждении Правил предоставления в 2017 и 2018 годах субсидий из федерального бюджета открытому акционерному обществу «Российские железные дороги» на возмещение потерь в доходах, возникающих в результате установления льготных тарифов на перевозку зерна» (далее соответственно –</w:t>
      </w:r>
      <w:r>
        <w:rPr>
          <w:rFonts w:ascii="Times New Roman" w:hAnsi="Times New Roman" w:cs="Times New Roman"/>
          <w:sz w:val="28"/>
          <w:szCs w:val="28"/>
        </w:rPr>
        <w:t xml:space="preserve"> </w:t>
      </w:r>
      <w:r w:rsidRPr="00343D21">
        <w:rPr>
          <w:rFonts w:ascii="Times New Roman" w:hAnsi="Times New Roman" w:cs="Times New Roman"/>
          <w:sz w:val="28"/>
          <w:szCs w:val="28"/>
        </w:rPr>
        <w:t>Правила № 1595, субсидии).</w:t>
      </w:r>
    </w:p>
    <w:p w14:paraId="4E14F936"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Правилами № </w:t>
      </w:r>
      <w:r w:rsidRPr="00343D21">
        <w:rPr>
          <w:rFonts w:ascii="Times New Roman" w:hAnsi="Times New Roman" w:cs="Times New Roman"/>
          <w:sz w:val="28"/>
          <w:szCs w:val="28"/>
        </w:rPr>
        <w:t xml:space="preserve">1595 предусматривалось предоставление </w:t>
      </w:r>
      <w:r>
        <w:rPr>
          <w:rFonts w:ascii="Times New Roman" w:hAnsi="Times New Roman" w:cs="Times New Roman"/>
          <w:sz w:val="28"/>
          <w:szCs w:val="28"/>
        </w:rPr>
        <w:br/>
      </w:r>
      <w:r w:rsidRPr="00343D21">
        <w:rPr>
          <w:rFonts w:ascii="Times New Roman" w:hAnsi="Times New Roman" w:cs="Times New Roman"/>
          <w:sz w:val="28"/>
          <w:szCs w:val="28"/>
        </w:rPr>
        <w:t xml:space="preserve">до 30 июня 2018 г. субсидий ОАО «РЖД» на возмещение потерь в доходах, возникающих в результате установления льготных тарифов на перевозку зерна со станций, расположенных в границах 13 субъектов (Воронежской, Курской, Липецкой, Орловской, Тамбовской, Оренбургской, Пензенской, Самарской, Саратовской, Ульяновской, Курганской, Новосибирской, Омской областей) </w:t>
      </w:r>
      <w:r>
        <w:rPr>
          <w:rFonts w:ascii="Times New Roman" w:hAnsi="Times New Roman" w:cs="Times New Roman"/>
          <w:sz w:val="28"/>
          <w:szCs w:val="28"/>
        </w:rPr>
        <w:br/>
      </w:r>
      <w:r w:rsidRPr="00343D21">
        <w:rPr>
          <w:rFonts w:ascii="Times New Roman" w:hAnsi="Times New Roman" w:cs="Times New Roman"/>
          <w:sz w:val="28"/>
          <w:szCs w:val="28"/>
        </w:rPr>
        <w:t xml:space="preserve">в направлении станций железных дорог Дальневосточного, Северо-Западного и Южного федеральных округов без взимания провозной платы </w:t>
      </w:r>
      <w:r>
        <w:rPr>
          <w:rFonts w:ascii="Times New Roman" w:hAnsi="Times New Roman" w:cs="Times New Roman"/>
          <w:sz w:val="28"/>
          <w:szCs w:val="28"/>
        </w:rPr>
        <w:br/>
      </w:r>
      <w:r w:rsidRPr="00343D21">
        <w:rPr>
          <w:rFonts w:ascii="Times New Roman" w:hAnsi="Times New Roman" w:cs="Times New Roman"/>
          <w:sz w:val="28"/>
          <w:szCs w:val="28"/>
        </w:rPr>
        <w:t xml:space="preserve">с грузоотправителей, с возмещением из федерального бюджета потерь </w:t>
      </w:r>
      <w:r>
        <w:rPr>
          <w:rFonts w:ascii="Times New Roman" w:hAnsi="Times New Roman" w:cs="Times New Roman"/>
          <w:sz w:val="28"/>
          <w:szCs w:val="28"/>
        </w:rPr>
        <w:br/>
      </w:r>
      <w:r w:rsidRPr="00343D21">
        <w:rPr>
          <w:rFonts w:ascii="Times New Roman" w:hAnsi="Times New Roman" w:cs="Times New Roman"/>
          <w:sz w:val="28"/>
          <w:szCs w:val="28"/>
        </w:rPr>
        <w:t>в доходах ОАО «РЖД», возникающих в результате осуществления таких перевозок.</w:t>
      </w:r>
    </w:p>
    <w:p w14:paraId="15A9621D"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реализации Правил № 1</w:t>
      </w:r>
      <w:r w:rsidRPr="00343D21">
        <w:rPr>
          <w:rFonts w:ascii="Times New Roman" w:hAnsi="Times New Roman" w:cs="Times New Roman"/>
          <w:sz w:val="28"/>
          <w:szCs w:val="28"/>
        </w:rPr>
        <w:t>595 в период с января по июль 2018 г. объем перевезенных зерновых культур составил 1</w:t>
      </w:r>
      <w:r>
        <w:rPr>
          <w:rFonts w:ascii="Times New Roman" w:hAnsi="Times New Roman" w:cs="Times New Roman"/>
          <w:sz w:val="28"/>
          <w:szCs w:val="28"/>
        </w:rPr>
        <w:t> </w:t>
      </w:r>
      <w:r w:rsidRPr="00343D21">
        <w:rPr>
          <w:rFonts w:ascii="Times New Roman" w:hAnsi="Times New Roman" w:cs="Times New Roman"/>
          <w:sz w:val="28"/>
          <w:szCs w:val="28"/>
        </w:rPr>
        <w:t>782,58 тыс. тонн, в том числе из Сибирского федерального округа – 398,97 тыс. тонн. По данным Федерального агентства железнодорожного транспорта ОАО «РЖД» перечислены субсидии в размере 1</w:t>
      </w:r>
      <w:r>
        <w:rPr>
          <w:rFonts w:ascii="Times New Roman" w:hAnsi="Times New Roman" w:cs="Times New Roman"/>
          <w:sz w:val="28"/>
          <w:szCs w:val="28"/>
        </w:rPr>
        <w:t> </w:t>
      </w:r>
      <w:r w:rsidRPr="00343D21">
        <w:rPr>
          <w:rFonts w:ascii="Times New Roman" w:hAnsi="Times New Roman" w:cs="Times New Roman"/>
          <w:sz w:val="28"/>
          <w:szCs w:val="28"/>
        </w:rPr>
        <w:t xml:space="preserve">721,6 млн рублей. </w:t>
      </w:r>
    </w:p>
    <w:p w14:paraId="1E25AFAE"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По итогам сезона 2017/2018 г. мера господдержки в виде льготных тарифов на перевозку зерна получила положительную оценку производителей, переработчиков и экспортеров зерна</w:t>
      </w:r>
      <w:r>
        <w:rPr>
          <w:rFonts w:ascii="Times New Roman" w:hAnsi="Times New Roman" w:cs="Times New Roman"/>
          <w:sz w:val="28"/>
          <w:szCs w:val="28"/>
        </w:rPr>
        <w:t>, что повышает конкурентность сельхозтоваропроизводителей</w:t>
      </w:r>
      <w:r w:rsidRPr="00343D21">
        <w:rPr>
          <w:rFonts w:ascii="Times New Roman" w:hAnsi="Times New Roman" w:cs="Times New Roman"/>
          <w:sz w:val="28"/>
          <w:szCs w:val="28"/>
        </w:rPr>
        <w:t>.</w:t>
      </w:r>
    </w:p>
    <w:p w14:paraId="26D16215"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Во исполнение подпункта «г» пункта 2 перечня поручений Прези</w:t>
      </w:r>
      <w:r>
        <w:rPr>
          <w:rFonts w:ascii="Times New Roman" w:hAnsi="Times New Roman" w:cs="Times New Roman"/>
          <w:sz w:val="28"/>
          <w:szCs w:val="28"/>
        </w:rPr>
        <w:t>дента Российской Федерации В.В. </w:t>
      </w:r>
      <w:r w:rsidRPr="00343D21">
        <w:rPr>
          <w:rFonts w:ascii="Times New Roman" w:hAnsi="Times New Roman" w:cs="Times New Roman"/>
          <w:sz w:val="28"/>
          <w:szCs w:val="28"/>
        </w:rPr>
        <w:t xml:space="preserve">Путина от 15 марта 2018 г. </w:t>
      </w:r>
      <w:r>
        <w:rPr>
          <w:rFonts w:ascii="Times New Roman" w:hAnsi="Times New Roman" w:cs="Times New Roman"/>
          <w:sz w:val="28"/>
          <w:szCs w:val="28"/>
        </w:rPr>
        <w:t>№ </w:t>
      </w:r>
      <w:r w:rsidRPr="00343D21">
        <w:rPr>
          <w:rFonts w:ascii="Times New Roman" w:hAnsi="Times New Roman" w:cs="Times New Roman"/>
          <w:sz w:val="28"/>
          <w:szCs w:val="28"/>
        </w:rPr>
        <w:t xml:space="preserve">Пр-436 Минсельхозом России разработан проект постановления Правительства Российской Федерации «Об утверждении Правил предоставления субсидий из федерального бюджета открытому акционерному обществу «Российские железные дороги» на возмещение потерь в доходах, возникающих </w:t>
      </w:r>
      <w:r>
        <w:rPr>
          <w:rFonts w:ascii="Times New Roman" w:hAnsi="Times New Roman" w:cs="Times New Roman"/>
          <w:sz w:val="28"/>
          <w:szCs w:val="28"/>
        </w:rPr>
        <w:br/>
      </w:r>
      <w:r w:rsidRPr="00343D21">
        <w:rPr>
          <w:rFonts w:ascii="Times New Roman" w:hAnsi="Times New Roman" w:cs="Times New Roman"/>
          <w:sz w:val="28"/>
          <w:szCs w:val="28"/>
        </w:rPr>
        <w:t xml:space="preserve">в результате установления льготных тарифов на перевозку зерна» без ограничения сроков (далее – проект постановления). Проект постановления </w:t>
      </w:r>
      <w:r>
        <w:rPr>
          <w:rFonts w:ascii="Times New Roman" w:hAnsi="Times New Roman" w:cs="Times New Roman"/>
          <w:sz w:val="28"/>
          <w:szCs w:val="28"/>
        </w:rPr>
        <w:t>подготавливается Минсельхозом России к внесению в Правительство</w:t>
      </w:r>
      <w:r w:rsidRPr="00343D21">
        <w:rPr>
          <w:rFonts w:ascii="Times New Roman" w:hAnsi="Times New Roman" w:cs="Times New Roman"/>
          <w:sz w:val="28"/>
          <w:szCs w:val="28"/>
        </w:rPr>
        <w:t xml:space="preserve"> </w:t>
      </w:r>
      <w:r>
        <w:rPr>
          <w:rFonts w:ascii="Times New Roman" w:hAnsi="Times New Roman" w:cs="Times New Roman"/>
          <w:sz w:val="28"/>
          <w:szCs w:val="28"/>
        </w:rPr>
        <w:br/>
      </w:r>
      <w:r w:rsidRPr="00343D21">
        <w:rPr>
          <w:rFonts w:ascii="Times New Roman" w:hAnsi="Times New Roman" w:cs="Times New Roman"/>
          <w:sz w:val="28"/>
          <w:szCs w:val="28"/>
        </w:rPr>
        <w:t>в установленном порядке.</w:t>
      </w:r>
    </w:p>
    <w:p w14:paraId="49AC7820"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Принятие проекта постановления позволит компенсировать часть стоимости перевозки зерна в регионы, являющихся крупнейшими потребителями зерновых культур, а также стимулировать перевозки из регионов Уральского, Приволжского и Сибирского федеральных округов, обладающих значительными запасами.</w:t>
      </w:r>
    </w:p>
    <w:p w14:paraId="78893BD0" w14:textId="77777777" w:rsidR="00476A70"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исполнение пункта 3 распоряжения Правительства Российской Федерации от 16 августа 2018 г. № 1697-р об утверждении плана мероприятий («дорожная карта») по развитию конкуренции в отраслях экономики Российской Федерации и переходу отдельных естественных монополий из состояния естественной монополии в состояние конкурентного рынка на 2018-2020 годы, Минсельхоз России ежеквартально направляет в ФАС России отчет о выполнении мероприятий, предусмотренных дорожной картой (письма от 2 октября 2018 г. № ЕФ-18-23/10943 и от 27 декабря 2018 г. № ОЛ-18-23/14930). </w:t>
      </w:r>
    </w:p>
    <w:p w14:paraId="43C892BF" w14:textId="77777777" w:rsidR="00476A70" w:rsidRPr="00AE0154" w:rsidRDefault="00476A70" w:rsidP="00476A70">
      <w:pPr>
        <w:spacing w:after="0" w:line="240" w:lineRule="auto"/>
        <w:ind w:firstLine="709"/>
        <w:jc w:val="both"/>
        <w:rPr>
          <w:rFonts w:ascii="Times New Roman" w:hAnsi="Times New Roman" w:cs="Times New Roman"/>
          <w:sz w:val="28"/>
          <w:szCs w:val="28"/>
        </w:rPr>
      </w:pPr>
      <w:r w:rsidRPr="00AE0154">
        <w:rPr>
          <w:rFonts w:ascii="Times New Roman" w:hAnsi="Times New Roman" w:cs="Times New Roman"/>
          <w:sz w:val="28"/>
          <w:szCs w:val="28"/>
        </w:rPr>
        <w:t>В целях снижения уровня административных барьеров, препятствующих развитию конкуренции в сфере агропромышленного комплекса и совершенствования антимонопольного и тарифного регулирования Министерство сельского хозяйства и Федеральная антимонопольная служба заключили</w:t>
      </w:r>
      <w:r>
        <w:rPr>
          <w:rFonts w:ascii="Times New Roman" w:hAnsi="Times New Roman" w:cs="Times New Roman"/>
          <w:sz w:val="28"/>
          <w:szCs w:val="28"/>
        </w:rPr>
        <w:t xml:space="preserve"> 14 декабря 2018 г. Соглашение </w:t>
      </w:r>
      <w:r>
        <w:rPr>
          <w:rFonts w:ascii="Times New Roman" w:hAnsi="Times New Roman" w:cs="Times New Roman"/>
          <w:sz w:val="28"/>
          <w:szCs w:val="28"/>
        </w:rPr>
        <w:br/>
      </w:r>
      <w:r w:rsidRPr="00AE0154">
        <w:rPr>
          <w:rFonts w:ascii="Times New Roman" w:hAnsi="Times New Roman" w:cs="Times New Roman"/>
          <w:sz w:val="28"/>
          <w:szCs w:val="28"/>
        </w:rPr>
        <w:t xml:space="preserve">о взаимодействии в формировании и реализации государственной политики </w:t>
      </w:r>
      <w:r>
        <w:rPr>
          <w:rFonts w:ascii="Times New Roman" w:hAnsi="Times New Roman" w:cs="Times New Roman"/>
          <w:sz w:val="28"/>
          <w:szCs w:val="28"/>
        </w:rPr>
        <w:br/>
      </w:r>
      <w:r w:rsidRPr="00AE0154">
        <w:rPr>
          <w:rFonts w:ascii="Times New Roman" w:hAnsi="Times New Roman" w:cs="Times New Roman"/>
          <w:sz w:val="28"/>
          <w:szCs w:val="28"/>
        </w:rPr>
        <w:t xml:space="preserve">в сфере агропромышленного комплекса и осуществлении контроля за соблюдением антимонопольного законодательства. </w:t>
      </w:r>
    </w:p>
    <w:p w14:paraId="00B290B8" w14:textId="77777777" w:rsidR="00476A70" w:rsidRDefault="00476A70" w:rsidP="00476A70">
      <w:pPr>
        <w:rPr>
          <w:lang w:eastAsia="ru-RU"/>
        </w:rPr>
      </w:pPr>
    </w:p>
    <w:p w14:paraId="5D668276" w14:textId="77777777" w:rsidR="00476A70" w:rsidRPr="00476A70" w:rsidRDefault="00476A70" w:rsidP="00476A70">
      <w:pPr>
        <w:rPr>
          <w:lang w:eastAsia="ru-RU"/>
        </w:rPr>
      </w:pPr>
    </w:p>
    <w:p w14:paraId="40A7DBBC" w14:textId="55614764" w:rsidR="00961572" w:rsidRDefault="00961572" w:rsidP="00BB7A44">
      <w:pPr>
        <w:pStyle w:val="2"/>
        <w:numPr>
          <w:ilvl w:val="1"/>
          <w:numId w:val="69"/>
        </w:numPr>
      </w:pPr>
      <w:bookmarkStart w:id="2074" w:name="_Toc7448063"/>
      <w:r w:rsidRPr="00870F68">
        <w:t xml:space="preserve">Министерство труда </w:t>
      </w:r>
      <w:r w:rsidR="007B6972" w:rsidRPr="00870F68">
        <w:t xml:space="preserve">и социальной защиты </w:t>
      </w:r>
      <w:r w:rsidRPr="00870F68">
        <w:t>Российской Федерации</w:t>
      </w:r>
      <w:bookmarkEnd w:id="2074"/>
    </w:p>
    <w:p w14:paraId="02A58BB3" w14:textId="77777777" w:rsidR="004156C6" w:rsidRPr="004156C6" w:rsidRDefault="004156C6" w:rsidP="004156C6">
      <w:pPr>
        <w:pStyle w:val="a5"/>
        <w:ind w:left="715"/>
      </w:pPr>
    </w:p>
    <w:p w14:paraId="23ED01AF"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p>
    <w:p w14:paraId="56665E2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 (письмо Минтруда России от 12 октября 2018 г. №11-5/10/П-7307).</w:t>
      </w:r>
    </w:p>
    <w:p w14:paraId="30361A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(письмо Минтруда России от 3 декабря 2018 г. № 11-5/10/П-8837).</w:t>
      </w:r>
    </w:p>
    <w:p w14:paraId="26AC9D1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961572">
        <w:rPr>
          <w:rFonts w:ascii="Times New Roman" w:eastAsia="Calibri" w:hAnsi="Times New Roman" w:cs="Times New Roman"/>
          <w:sz w:val="28"/>
          <w:szCs w:val="28"/>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4712C8A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рамках выполнения Национального плана развития конкуренции, утвержденного Указом Президента Российской Федерации от 21 декабря 2017 г. № 618 (далее - Национальный план), Минтрудом России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 августа 2018 г. № 1697-р. </w:t>
      </w:r>
    </w:p>
    <w:p w14:paraId="36A7A37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Обеспечено достижение показателя «Увеличение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заказов». Объем закупок товаров, работ, услуг в рамках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 субъектов малого и среднего предпринимательства в 2018 году составил 260,8 млрд.рублей, что составляет 52,79% в совокупном годовом объеме закупок Министерства. Указанный объем на 20,42% больше объема закупок, осуществленного Минтрудом России у субъектов малого и среднего предпринимательства в 2017 году. </w:t>
      </w:r>
    </w:p>
    <w:p w14:paraId="5836603F"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Также 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3917393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4AF9BA48"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«Реформа контрольно-надзорной деятельности»</w:t>
      </w:r>
    </w:p>
    <w:p w14:paraId="696C3FCF"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продолжена работа по совершенствованию функции государственного надзора в Федеральной службе по труду и занятости (Роструде) в рамках реализации приоритетной программы «Реформа контрольной и надзорной деятельности» направленной на ликвидацию и снижение административных барьеров в экономике.</w:t>
      </w:r>
    </w:p>
    <w:p w14:paraId="78D8D85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проведении планового контроля за соблюдением трудового законодательства и иных нормативных правовых актов, содержащих нормы трудового права, с 2018 года применяется риск-ориентированный подход. Это означает, что интенсивность проведения контрольных мероприятий в отношении объекта контроля зависит от категории риска, присвоенной Рострудом. Организации, относящиеся к категории высокого риска, подлежат плановой проверке один раз в 2 года, значительного риска - один раз в 3 года, среднего риска - не чаще чем один раз в 5 лет, умеренного риска - один раз в 6 лет. В отношении работодателей, деятельность которых отнесена к категории низкого риска, плановые проверки не проводятся (п.20 Положения о федеральном государственном надзоре за соблюдением трудового законодательства и иных нормативных правовых актов, содержащих нормы трудового права, утвержденного постановлением Правительства Российской Федерации от 1 сентября 2012 г. № 875).</w:t>
      </w:r>
    </w:p>
    <w:p w14:paraId="31F164C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Перечни работодателей, деятельность которых отнесена к категориям высокого и значительного риска, размещены на сайте Роструда (</w:t>
      </w:r>
      <w:hyperlink r:id="rId112" w:history="1">
        <w:r w:rsidRPr="00961572">
          <w:rPr>
            <w:rFonts w:ascii="Times New Roman" w:eastAsia="Calibri" w:hAnsi="Times New Roman" w:cs="Times New Roman"/>
            <w:sz w:val="28"/>
            <w:szCs w:val="28"/>
          </w:rPr>
          <w:t>https://www.rostrud.ru/rostrud/deyatelnost/?CAT_ID=10283</w:t>
        </w:r>
      </w:hyperlink>
      <w:r w:rsidRPr="00961572">
        <w:rPr>
          <w:rFonts w:ascii="Times New Roman" w:eastAsia="Calibri" w:hAnsi="Times New Roman" w:cs="Times New Roman"/>
          <w:sz w:val="28"/>
          <w:szCs w:val="28"/>
        </w:rPr>
        <w:t>).</w:t>
      </w:r>
    </w:p>
    <w:p w14:paraId="14B38C25"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к высокой категории риска было отнесено 6454 работодателя, к значительной – 3509, к средней – 22264. Таким образом, под указанные категории риска попали лишь 0,6% всех работодателей, а высокий и значительный риск зафиксирован только на 1 из 550 предприятий.</w:t>
      </w:r>
    </w:p>
    <w:p w14:paraId="4714323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соответствии с пунктом 2 постановления Правительства Российской Федерации от 8 сентября 2017 г. № 1080 «О внесении изменений в Положение о федеральном государственном надзоре за соблюдением трудового законодательства и иных нормативных правовых актов, содержащих нормы трудового права» с 1 июля 2018 г.  плановые проверки организаций и индивидуальных предпринимателей осуществляются государственными инспекторами труда по проверочным листам.</w:t>
      </w:r>
    </w:p>
    <w:p w14:paraId="6CD772D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Приказом Федеральной службы по труду и занятости от 10 ноября </w:t>
      </w:r>
      <w:r w:rsidRPr="00961572">
        <w:rPr>
          <w:rFonts w:ascii="Times New Roman" w:eastAsia="Calibri" w:hAnsi="Times New Roman" w:cs="Times New Roman"/>
          <w:sz w:val="28"/>
          <w:szCs w:val="28"/>
        </w:rPr>
        <w:br/>
        <w:t xml:space="preserve">2017 г. № 655 утверждено 133 проверочных листа. Они представляют собой исчерпывающий перечень наиболее значимых требований трудового законодательства. Предмет плановой проверки полностью ограничивается требованиями трудового законодательства, которые включены в проверочные листы. </w:t>
      </w:r>
    </w:p>
    <w:p w14:paraId="205CD26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Таким образом, при проведении плановой проверки инспектор труда не вправе расширять предмет проверки. </w:t>
      </w:r>
    </w:p>
    <w:p w14:paraId="23FFC94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повышения эффективности, прозрачности, объективности и беспристрастности контроля и надзора в сфере труда создана Автоматизированная система управления контрольно-надзорной деятельностью. </w:t>
      </w:r>
    </w:p>
    <w:p w14:paraId="26D8795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Данная система сформирована на основе процессного принципа управления, и вне зависимости от инспектора инициирует процессы контрольно-надзорной деятельности, отслеживает сроки их реализации и блокирует возможность неправомерных действий. Система позволяет в режиме онлайн отслеживать ход каждой проверки, проводимой любым инспектором, поэтому вероятность принятия им заведомо неправомерных решений значительно снижена. </w:t>
      </w:r>
    </w:p>
    <w:p w14:paraId="59B2BC7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реализации приоритетной программы по основному направлению стратегической и надзорной деятельности и включенного в нее приоритетного проекта «Систематизация, сокращение количества и актуализация обязательных требований» приняты федеральные законы </w:t>
      </w:r>
      <w:r w:rsidRPr="00961572">
        <w:rPr>
          <w:rFonts w:ascii="Times New Roman" w:eastAsia="Calibri" w:hAnsi="Times New Roman" w:cs="Times New Roman"/>
          <w:sz w:val="28"/>
          <w:szCs w:val="28"/>
        </w:rPr>
        <w:br/>
        <w:t>от 19 июля 2018 г. № 207-ФЗ «О внесении изменений в статьи 366 и 367 Трудового кодекса Российской Федерации в части исключения дублирования полномочий федеральных органов исполнительной власти в сфере охраны труда» и № 208-ФЗ «О внесении изменений в отдельные законодательные акты Российской Федерации в части исключения дублирования полномочий федеральных органов исполнительной власти в сфере охраны труда», исключающие дублирование полномочий Роструда и Ростехнадзора при проведении надзорно-контрольных мероприятий по соблюдению государственных нормативных требований охраны труда на ряде объектов промышленности, что исключает «двойную» ответственность работодателей за одни и те же нарушения.</w:t>
      </w:r>
    </w:p>
    <w:p w14:paraId="38F5093B"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2B6FFAC5" w14:textId="77777777" w:rsidR="00961572" w:rsidRPr="00961572" w:rsidRDefault="00961572" w:rsidP="00961572">
      <w:pPr>
        <w:autoSpaceDE w:val="0"/>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Основные проблемы, тенденции и предложения по развитию конкуренции на рынке социальных услуг</w:t>
      </w:r>
    </w:p>
    <w:p w14:paraId="01F4255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Как показал проведенный Минтрудом России мониторинг, сформированная нормативная правовая база в рамках реализации Федерального закона от 28 декабря 2013 г. № 442-ФЗ «Об основах социального обслуживания граждан в Российской Федерации» позволяет негосударственным организациям, осуществляющим деятельность в сфере социального обслуживания, являться полноправными поставщиками социальных услуг и получать компенсационные выплаты за счет бюджетных ассигнований.</w:t>
      </w:r>
    </w:p>
    <w:p w14:paraId="0E49694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Негосударственными организациями предоставляются социально-медицинские, социально-психологические, социально-бытовые, социально-педагогические, социально-экономические, социально-трудовые, социально-правовые услуги, а также услуги в целях повышения коммуникативного потенциала.</w:t>
      </w:r>
    </w:p>
    <w:p w14:paraId="31588723"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Указанным законом предусмотрена возможность предоставления социальных услуг поставщиками социальных услуг, которые включены в реестр поставщиков социальных услуг субъекта Российской Федерации, но не участвуют в выполнении государственного задания (заказа).</w:t>
      </w:r>
    </w:p>
    <w:p w14:paraId="2C4518FE"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Организация регулярных бесплатных семинаров и консультаций для некоммерческих организаций по порядку включения в реестр поставщиков социальных услуг, подготовка и распространение методических пособий с инструкцией по вступлению в реестр поставщиков социальных услуг является важной составляющей работы Координационных органов при высших органах исполнительной власти субъектов Российской Федерации  по организации доступа негосударственных организаций, осуществляющих деятельность в социальной сфере, к бюджетным средствам, выделяемым на предоставление социальных услуг населению (далее </w:t>
      </w:r>
      <w:r w:rsidRPr="00961572">
        <w:rPr>
          <w:rFonts w:ascii="Times New Roman" w:eastAsia="Calibri" w:hAnsi="Times New Roman" w:cs="Times New Roman"/>
          <w:sz w:val="28"/>
          <w:szCs w:val="28"/>
        </w:rPr>
        <w:noBreakHyphen/>
        <w:t xml:space="preserve"> Координационный совет).</w:t>
      </w:r>
    </w:p>
    <w:p w14:paraId="71DC827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проведен анализ деятельности Координационных советов при высших органах исполнительной власти субъектов Российской Федерации по организации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в сфере социального обслуживания. </w:t>
      </w:r>
    </w:p>
    <w:p w14:paraId="3386FAC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адрес высших органов исполнительной власти субъектов Российской Федерации направлен запрос Минтруда России от 25 сентября 2018 г. </w:t>
      </w:r>
      <w:r w:rsidRPr="00961572">
        <w:rPr>
          <w:rFonts w:ascii="Times New Roman" w:eastAsia="Calibri" w:hAnsi="Times New Roman" w:cs="Times New Roman"/>
          <w:sz w:val="28"/>
          <w:szCs w:val="28"/>
        </w:rPr>
        <w:br/>
        <w:t>№ 12-4/10/П-6749 о представлении информации о деятельности вышеуказанных координационных советов. На основе материалов, представленных субъектами Российской Федерации, подготовлен соответствующий доклад и представлен в Минэкономразвития России (письмо Минтруда России от 26 декабря 2018 г. № 12-4/10/П-9755).</w:t>
      </w:r>
    </w:p>
    <w:p w14:paraId="5C4FB0C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783DD89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77AB4DA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01CF0B6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 числу регионов, имеющих лучший региональный опыт по привлечению негосударственных организаций к оказанию социальных услуг населению относятся г. Москва, г. Санкт-Петербург, Московская, Самарская, Новосибирская области, Республика Татарстан, Пермский край, Ханты-Мансийский автономный округ.</w:t>
      </w:r>
    </w:p>
    <w:p w14:paraId="7EF58BD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соответствующий доклад и представлен в Правительство Российской Федерации (письмо Минтруда России от 26 декабря 2018 г. № 12-4/10/П-9742).</w:t>
      </w:r>
    </w:p>
    <w:p w14:paraId="2D02A90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Минтрудом России в информационно-телекоммуникационной сети «Интернет» по адресу: </w:t>
      </w:r>
      <w:r w:rsidRPr="00961572">
        <w:rPr>
          <w:rFonts w:ascii="Times New Roman" w:eastAsia="Calibri" w:hAnsi="Times New Roman" w:cs="Times New Roman"/>
          <w:sz w:val="28"/>
          <w:szCs w:val="28"/>
          <w:lang w:val="en-US"/>
        </w:rPr>
        <w:t>https</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monitoring</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vgot</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info</w:t>
      </w:r>
      <w:r w:rsidRPr="00961572">
        <w:rPr>
          <w:rFonts w:ascii="Times New Roman" w:eastAsia="Calibri" w:hAnsi="Times New Roman" w:cs="Times New Roman"/>
          <w:sz w:val="28"/>
          <w:szCs w:val="28"/>
        </w:rPr>
        <w:t>/ «Мониторинг тарифов на оказание социальных услуг (стационарная/полустационарная форма) размещена форма мониторинга тарифов на социальные услуги в организациях социального обслуживания субъектов Российской Федерации. В адрес органов исполнительной власти субъектов Российской Федерации направлены телеграммы от 8 ноября 2018 г. № 12-3/10/В-7700 и от 27 ноября 2018 г. № 12-3/10/П-8611 о представлении информации по мониторингу тарифов на оказание социальных услуг в соответствии с данной формой.</w:t>
      </w:r>
    </w:p>
    <w:p w14:paraId="5A1A3326"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и направлен доклад в Правительство Российской Федерации (письмо Минтруда России от 29 декабря 2018 г. № 12-3/10/П-9866).</w:t>
      </w:r>
    </w:p>
    <w:p w14:paraId="3A2923F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(далее - Типовой контракт).</w:t>
      </w:r>
    </w:p>
    <w:p w14:paraId="575517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767C8E2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Доработанная редакция Типового контракта 6 февраля 2019 г. направлена на согласование в ФАС России, Минфин России, Минпромторг России и в Фонд социального страхования Российской Федерации. Письмом от 18 февраля 2019 г. № 02-11-09/08-03-530П от Фонда социального страхования Российской Федерации получено согласование.</w:t>
      </w:r>
    </w:p>
    <w:p w14:paraId="2366DFA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 (письмо Минтруда России от 7 декабря 2018 г. № 13-3/10/П-8990).</w:t>
      </w:r>
    </w:p>
    <w:p w14:paraId="3C9F40B8"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w:t>
      </w:r>
    </w:p>
    <w:p w14:paraId="4482A304"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По информации субъектов Российской Федерации в 39 субъектах Российской Федерации реализуются технологии сопровождаемого проживания инвалидов, в 18 субъектах проведены подготовительные работы. </w:t>
      </w:r>
    </w:p>
    <w:p w14:paraId="62B4B7ED"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4A00F96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961572">
        <w:rPr>
          <w:rFonts w:ascii="Times New Roman" w:eastAsia="Calibri" w:hAnsi="Times New Roman" w:cs="Times New Roman"/>
          <w:sz w:val="28"/>
          <w:szCs w:val="28"/>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 (письмо Минтруда России от 25 декабря 2018 г. № 13-5/10/П-9662.</w:t>
      </w:r>
    </w:p>
    <w:p w14:paraId="226BE8DD" w14:textId="77777777"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 xml:space="preserve">Принят приказ Минтруда России от 24 декабря 2018 г. № 834н </w:t>
      </w:r>
      <w:r w:rsidRPr="00961572">
        <w:rPr>
          <w:rFonts w:ascii="Times New Roman" w:eastAsia="Calibri" w:hAnsi="Times New Roman" w:cs="Times New Roman"/>
          <w:color w:val="000000"/>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 (зарегистрирован в Минюсте России 25 февраля 2019 г № 53885).</w:t>
      </w:r>
    </w:p>
    <w:p w14:paraId="20D12BF8" w14:textId="77777777"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 xml:space="preserve">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Трудового кодекса Российской Федерации». (письмо Минтруда России от 21 ноября 2018 г. № 14-3/10/П-8448). </w:t>
      </w:r>
    </w:p>
    <w:p w14:paraId="1390A01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color w:val="000000"/>
          <w:sz w:val="28"/>
          <w:szCs w:val="28"/>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961572">
        <w:rPr>
          <w:rFonts w:ascii="Times New Roman" w:eastAsia="Calibri" w:hAnsi="Times New Roman" w:cs="Times New Roman"/>
          <w:sz w:val="28"/>
          <w:szCs w:val="28"/>
        </w:rPr>
        <w:t xml:space="preserve"> </w:t>
      </w:r>
      <w:r w:rsidRPr="00961572">
        <w:rPr>
          <w:rFonts w:ascii="Times New Roman" w:eastAsia="Calibri" w:hAnsi="Times New Roman" w:cs="Times New Roman"/>
          <w:color w:val="000000"/>
          <w:sz w:val="28"/>
          <w:szCs w:val="28"/>
        </w:rPr>
        <w:t>праву».</w:t>
      </w:r>
    </w:p>
    <w:p w14:paraId="2E5A4169" w14:textId="77777777" w:rsidR="00961572" w:rsidRPr="00961572" w:rsidRDefault="00961572" w:rsidP="00961572">
      <w:pPr>
        <w:autoSpaceDE w:val="0"/>
        <w:spacing w:after="0" w:line="240" w:lineRule="auto"/>
        <w:ind w:firstLine="709"/>
        <w:jc w:val="both"/>
        <w:rPr>
          <w:rFonts w:ascii="Times New Roman" w:eastAsia="Times New Roman" w:hAnsi="Times New Roman" w:cs="Times New Roman"/>
          <w:sz w:val="28"/>
          <w:szCs w:val="28"/>
        </w:rPr>
      </w:pPr>
      <w:r w:rsidRPr="00961572">
        <w:rPr>
          <w:rFonts w:ascii="Times New Roman" w:eastAsia="Calibri" w:hAnsi="Times New Roman" w:cs="Times New Roman"/>
          <w:iCs/>
          <w:sz w:val="28"/>
          <w:szCs w:val="28"/>
        </w:rPr>
        <w:t xml:space="preserve">Принят приказ Минтруда России </w:t>
      </w:r>
      <w:r w:rsidRPr="00961572">
        <w:rPr>
          <w:rFonts w:ascii="Times New Roman" w:eastAsia="Times New Roman" w:hAnsi="Times New Roman" w:cs="Times New Roman"/>
          <w:sz w:val="28"/>
          <w:szCs w:val="28"/>
        </w:rPr>
        <w:t>от 30 ноября 2018 г. № 762</w:t>
      </w:r>
      <w:r w:rsidRPr="00961572">
        <w:rPr>
          <w:rFonts w:ascii="Times New Roman" w:eastAsia="Calibri"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96157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578C35AE"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Times New Roman" w:hAnsi="Times New Roman" w:cs="Times New Roman"/>
          <w:sz w:val="28"/>
          <w:szCs w:val="28"/>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38F43A90" w14:textId="77777777" w:rsidR="00961572" w:rsidRPr="00961572" w:rsidRDefault="00961572" w:rsidP="00961572"/>
    <w:p w14:paraId="0C7784CD" w14:textId="3C7465EB" w:rsidR="00883C8E" w:rsidRPr="004477BD" w:rsidRDefault="004477BD" w:rsidP="00BB7A44">
      <w:pPr>
        <w:pStyle w:val="2"/>
        <w:numPr>
          <w:ilvl w:val="1"/>
          <w:numId w:val="69"/>
        </w:numPr>
      </w:pPr>
      <w:bookmarkStart w:id="2075" w:name="_Toc7448064"/>
      <w:r w:rsidRPr="004477BD">
        <w:t>Министерство спорта Российской Федерации</w:t>
      </w:r>
      <w:bookmarkEnd w:id="2075"/>
    </w:p>
    <w:p w14:paraId="602E61D2" w14:textId="77777777" w:rsidR="004477BD" w:rsidRDefault="004477BD" w:rsidP="00883C8E">
      <w:pPr>
        <w:spacing w:after="0" w:line="360" w:lineRule="auto"/>
        <w:jc w:val="both"/>
        <w:rPr>
          <w:rFonts w:ascii="Times New Roman" w:hAnsi="Times New Roman" w:cs="Times New Roman"/>
          <w:b/>
        </w:rPr>
      </w:pPr>
    </w:p>
    <w:p w14:paraId="6E6B9BB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соответствии с письмом Федеральной антимонопольной службы от 08.02.2019 №СП/8711/19 и во исполнение поручения Первого заместителя Председателя Правительства Российской Федерации И.И. Шувалова от 30.04.2013</w:t>
      </w:r>
      <w:r>
        <w:rPr>
          <w:rFonts w:ascii="Times New Roman" w:eastAsia="Times New Roman" w:hAnsi="Times New Roman" w:cs="Times New Roman"/>
          <w:snapToGrid w:val="0"/>
          <w:sz w:val="28"/>
          <w:szCs w:val="28"/>
          <w:lang w:eastAsia="ru-RU"/>
        </w:rPr>
        <w:t xml:space="preserve"> </w:t>
      </w:r>
      <w:r w:rsidRPr="004477BD">
        <w:rPr>
          <w:rFonts w:ascii="Times New Roman" w:eastAsia="Times New Roman" w:hAnsi="Times New Roman" w:cs="Times New Roman"/>
          <w:snapToGrid w:val="0"/>
          <w:sz w:val="28"/>
          <w:szCs w:val="28"/>
          <w:lang w:eastAsia="ru-RU"/>
        </w:rPr>
        <w:t>№</w:t>
      </w:r>
      <w:r>
        <w:rPr>
          <w:rFonts w:ascii="Times New Roman" w:eastAsia="Times New Roman" w:hAnsi="Times New Roman" w:cs="Times New Roman"/>
          <w:snapToGrid w:val="0"/>
          <w:sz w:val="28"/>
          <w:szCs w:val="28"/>
          <w:lang w:eastAsia="ru-RU"/>
        </w:rPr>
        <w:t xml:space="preserve"> </w:t>
      </w:r>
      <w:r w:rsidRPr="004477BD">
        <w:rPr>
          <w:rFonts w:ascii="Times New Roman" w:eastAsia="Times New Roman" w:hAnsi="Times New Roman" w:cs="Times New Roman"/>
          <w:snapToGrid w:val="0"/>
          <w:sz w:val="28"/>
          <w:szCs w:val="28"/>
          <w:lang w:eastAsia="ru-RU"/>
        </w:rPr>
        <w:t>ИШ-П13-3004 Министерство спорта Российской Федерации направляет материалы для включения в ежегодный доклад о состоянии конкуренции в Российской Федерации.</w:t>
      </w:r>
    </w:p>
    <w:p w14:paraId="3141A0EF"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соответствии с Положением о Министерстве спорта Российской Федерации (далее – Положение), утверждённым постановлением Правительства Российской Федерации № 607 от 19.06.2012, развитие конкурентной среды в сфере физической культуры и спорта в рамках компетенции Минспорта России учитывается при:</w:t>
      </w:r>
    </w:p>
    <w:p w14:paraId="3DC7C891"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Times New Roman" w:hAnsi="Times New Roman" w:cs="Times New Roman"/>
          <w:snapToGrid w:val="0"/>
          <w:sz w:val="28"/>
          <w:szCs w:val="28"/>
          <w:lang w:eastAsia="ru-RU"/>
        </w:rPr>
        <w:t xml:space="preserve">- </w:t>
      </w:r>
      <w:r w:rsidRPr="004477BD">
        <w:rPr>
          <w:rFonts w:ascii="Times New Roman" w:eastAsia="Calibri" w:hAnsi="Times New Roman" w:cs="Times New Roman"/>
          <w:sz w:val="28"/>
          <w:szCs w:val="28"/>
          <w:lang w:eastAsia="ru-RU"/>
        </w:rPr>
        <w:t xml:space="preserve">формировании списков кандидатов в спортивные сборные команды Российской Федерации (п. 4.2.11 Положения), </w:t>
      </w:r>
    </w:p>
    <w:p w14:paraId="3466310D"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формировании перечня физкультурно-спортивных организаций и образовательных организаций, осуществляющих подготовку спортсменов и использующих для обозначения юридического лица (в фирменном наименовании) наименования «Олимпийский», «Паралимпийский», «Olympic», «Paralympic» и образованные на их основе слова и словосочетания без заключения соответствующего договора с Международным олимпийским комитетом, Международным паралимпийским комитетом или уполномоченными ими организациями (п. 4.2.25 Положения),</w:t>
      </w:r>
    </w:p>
    <w:p w14:paraId="4F749969"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на обучение по дополнительным предпрофессиональным программам в области физической культуры и спорта по согласованию с Министерством образования и науки Российской Федерации (п. 4.2.25(2) Положения),</w:t>
      </w:r>
    </w:p>
    <w:p w14:paraId="472E3B3E"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лиц в физкультурно-спортивные организации, созданные Российской Федерацией и осуществляющие спортивную подготовку (п. 4.2.28 Положения).</w:t>
      </w:r>
    </w:p>
    <w:p w14:paraId="53A39B2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К полномочиям Минспорта России относится обеспечение условий для подготовки спортсменов сборных команд Российской Федерации, включая вопросы развития инфраструктуры. При этом спортивная инфраструктура создаётся в форме федеральной собственности (посредством осуществления бюджетных инвестиций) либо государственной собственности субъектов Российской Федерации/муниципальной собственности (путём предоставления субсидий из федерального бюджета).</w:t>
      </w:r>
    </w:p>
    <w:p w14:paraId="46841B0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На сегодняшний день в Российской Федерации в части спортивной инфраструктуры существует и развивается конкурентная среда. Перечень объектов федеральной собственности, предназначенных для подготовки спортсменов сборных команд Российской Федерации, представлен в федеральной целевой программе «Развитие физической культуры и спорта в Российской Федерации на 2006-2015 годы», утверждённой постановлением Правительства Российской Федерации № 7 от 11.01.2006, и в федеральной целевой программе «Развитие физической культуры и спорта в Российской Федерации на 2016-2020 годы», утверждённой постановлением Правительства Российской Федерации № 30 от 21.01.2015. </w:t>
      </w:r>
    </w:p>
    <w:p w14:paraId="550CEE85"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Данные перечни свидетельствует о достаточной конкурентной среде в сфере инфраструктуры спорта высших достижений. Считаем необходимым отметить, что рынок спортивной инфраструктуры для спорта высших достижений ограничен в своём развитии потребностями сборных команд Российской Федерации по видам спорта, учитывая конечное количество спортсменов, занимающихся тем или иным видом спорта.</w:t>
      </w:r>
    </w:p>
    <w:p w14:paraId="6C27598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Для организации занятий массовым спортом в Российской Федерации на сегодняшний день существует более 300 тысяч объектов спорта (согласно форме государственного статистического наблюдения № 1-ФК</w:t>
      </w:r>
      <w:r w:rsidRPr="004477BD">
        <w:rPr>
          <w:rFonts w:ascii="Times New Roman" w:eastAsia="Times New Roman" w:hAnsi="Times New Roman" w:cs="Times New Roman"/>
          <w:snapToGrid w:val="0"/>
          <w:sz w:val="26"/>
          <w:szCs w:val="20"/>
          <w:lang w:eastAsia="ru-RU"/>
        </w:rPr>
        <w:t xml:space="preserve"> «</w:t>
      </w:r>
      <w:r w:rsidRPr="004477BD">
        <w:rPr>
          <w:rFonts w:ascii="Times New Roman" w:eastAsia="Times New Roman" w:hAnsi="Times New Roman" w:cs="Times New Roman"/>
          <w:snapToGrid w:val="0"/>
          <w:sz w:val="28"/>
          <w:szCs w:val="28"/>
          <w:lang w:eastAsia="ru-RU"/>
        </w:rPr>
        <w:t>Сведения о физической культуре и спорте»). С учетом неравномерности распределения плотности населения в Российской Федерации уровень конкуренции объектов массового спорта можно считать средним с тенденцией к его повышению с учетом представленных показателей.</w:t>
      </w:r>
    </w:p>
    <w:p w14:paraId="3CA18700"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0"/>
          <w:lang w:eastAsia="ru-RU"/>
        </w:rPr>
        <w:t xml:space="preserve">Также сообщаем, что в соответствии со статьей 37.1 Федерального закона от 04.12.2007 № 329-ФЗ «О физической культуре и спорте в Российской Федерации» </w:t>
      </w:r>
      <w:r w:rsidRPr="004477BD">
        <w:rPr>
          <w:rFonts w:ascii="Times New Roman" w:eastAsia="Times New Roman" w:hAnsi="Times New Roman" w:cs="Times New Roman"/>
          <w:snapToGrid w:val="0"/>
          <w:sz w:val="28"/>
          <w:szCs w:val="28"/>
          <w:lang w:eastAsia="ru-RU"/>
        </w:rPr>
        <w:t xml:space="preserve">в целях систематизации данных о количестве, назначении и состоянии объектов спорта, находящихся на территории Российской Федерации и используемых для проведения официальных физкультурных мероприятий и спортивных мероприятий, </w:t>
      </w:r>
      <w:r w:rsidRPr="004477BD">
        <w:rPr>
          <w:rFonts w:ascii="Times New Roman" w:eastAsia="Times New Roman" w:hAnsi="Times New Roman" w:cs="Times New Roman"/>
          <w:snapToGrid w:val="0"/>
          <w:sz w:val="28"/>
          <w:szCs w:val="20"/>
          <w:lang w:eastAsia="ru-RU"/>
        </w:rPr>
        <w:t xml:space="preserve">формируется Всероссийский реестр объектов спорта. </w:t>
      </w:r>
    </w:p>
    <w:p w14:paraId="1BC4DC73"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8"/>
          <w:lang w:eastAsia="ru-RU"/>
        </w:rPr>
        <w:t>Порядок формирования и ведения Всероссийского реестра объектов спорта (далее - Реестр), предоставления сведений из него и внесения в него изменений утверждён п</w:t>
      </w:r>
      <w:r w:rsidRPr="004477BD">
        <w:rPr>
          <w:rFonts w:ascii="Times New Roman" w:eastAsia="Times New Roman" w:hAnsi="Times New Roman" w:cs="Times New Roman"/>
          <w:snapToGrid w:val="0"/>
          <w:sz w:val="28"/>
          <w:szCs w:val="27"/>
          <w:lang w:eastAsia="ru-RU"/>
        </w:rPr>
        <w:t xml:space="preserve">риказом Минспорта России № 766 от 12.09.2014, </w:t>
      </w:r>
      <w:r w:rsidRPr="004477BD">
        <w:rPr>
          <w:rFonts w:ascii="Times New Roman" w:eastAsia="Times New Roman" w:hAnsi="Times New Roman" w:cs="Times New Roman"/>
          <w:snapToGrid w:val="0"/>
          <w:sz w:val="28"/>
          <w:szCs w:val="28"/>
          <w:lang w:eastAsia="ru-RU"/>
        </w:rPr>
        <w:t>разработанным в соответствии с положениями указанной выше статьи 37.1. В</w:t>
      </w:r>
      <w:r w:rsidRPr="004477BD">
        <w:rPr>
          <w:rFonts w:ascii="Times New Roman" w:eastAsia="Times New Roman" w:hAnsi="Times New Roman" w:cs="Times New Roman"/>
          <w:snapToGrid w:val="0"/>
          <w:sz w:val="28"/>
          <w:szCs w:val="20"/>
          <w:lang w:eastAsia="ru-RU"/>
        </w:rPr>
        <w:t xml:space="preserve"> настоящее время</w:t>
      </w:r>
      <w:r w:rsidRPr="004477BD">
        <w:rPr>
          <w:rFonts w:ascii="Times New Roman" w:eastAsia="Times New Roman" w:hAnsi="Times New Roman" w:cs="Times New Roman"/>
          <w:snapToGrid w:val="0"/>
          <w:sz w:val="28"/>
          <w:szCs w:val="28"/>
          <w:lang w:eastAsia="ru-RU"/>
        </w:rPr>
        <w:t xml:space="preserve"> во </w:t>
      </w:r>
      <w:r w:rsidRPr="004477BD">
        <w:rPr>
          <w:rFonts w:ascii="Times New Roman" w:eastAsia="Times New Roman" w:hAnsi="Times New Roman" w:cs="Times New Roman"/>
          <w:snapToGrid w:val="0"/>
          <w:sz w:val="28"/>
          <w:szCs w:val="20"/>
          <w:lang w:eastAsia="ru-RU"/>
        </w:rPr>
        <w:t>Всероссийский реестр объектов спорта включено более 5100 объектов и реестр постоянно пополняется.</w:t>
      </w:r>
    </w:p>
    <w:p w14:paraId="6A49EC4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Мероприятия по оптимизации процедур государственных закупок проводятся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30F9A0EE"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совершенствуется планирование процедур закупок в течение года, при этом распределение проведения закупок в том или ином квартале на протяжении года объясняется следующим образом:</w:t>
      </w:r>
    </w:p>
    <w:p w14:paraId="739F951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I-II кварталах в основном проводятся те процедуры, сроки поставки товаров, выполнения работ, оказания услуг по которым длятся в течение года (например, выполнение научно-исследовательских работ).</w:t>
      </w:r>
    </w:p>
    <w:p w14:paraId="4C2769E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Во II-III кварталах осуществляются закупки с ограниченными сроками поставки товаров, выполнения работ, оказания услуг, по которым данные сроки являются значимыми (например, поставка компьютерной и оргтехники, программного обеспечения).</w:t>
      </w:r>
    </w:p>
    <w:p w14:paraId="1F166E9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В IV квартале в основном осуществляются закупки, исполнение государственных контрактов по которым длится в течение следующего календарного года (например, оказание услуг охраны). </w:t>
      </w:r>
    </w:p>
    <w:p w14:paraId="3A9DDFD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Закупки товаров, необходимых для нормального функционирования Минспорта России как государственного органа, равномерно распределены в течение года (например, закупка канцелярских товаров, бумаги, расходных материалов для оргтехники);</w:t>
      </w:r>
    </w:p>
    <w:p w14:paraId="55A00E8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в целях сокращения производственных издержек в случае возникновения потребности закупок одних и тех же товаров, работ, услуг с другими заказчиками проводятся совместные конкурсы и аукционы;</w:t>
      </w:r>
    </w:p>
    <w:p w14:paraId="785ADE7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ежегодно проводится повышение квалификации сотрудников контрактной службы Министерства спорта Российской Федерации;</w:t>
      </w:r>
    </w:p>
    <w:p w14:paraId="51161BC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 во исполнение поручения Президента Российской Федерации, содержащегося в абзаце третьем подпункта «г» пункта 2 Национального плана развития конкуренции в Российской Федерации на 2018-2020 годы, утвержденного Указом Президента Российской Федерации от 21.12.2017 </w:t>
      </w:r>
      <w:r w:rsidR="006E02DD">
        <w:rPr>
          <w:rFonts w:ascii="Times New Roman" w:eastAsia="Times New Roman" w:hAnsi="Times New Roman" w:cs="Times New Roman"/>
          <w:snapToGrid w:val="0"/>
          <w:sz w:val="28"/>
          <w:szCs w:val="28"/>
          <w:lang w:eastAsia="ru-RU"/>
        </w:rPr>
        <w:t xml:space="preserve">                  </w:t>
      </w:r>
      <w:r w:rsidRPr="004477BD">
        <w:rPr>
          <w:rFonts w:ascii="Times New Roman" w:eastAsia="Times New Roman" w:hAnsi="Times New Roman" w:cs="Times New Roman"/>
          <w:snapToGrid w:val="0"/>
          <w:sz w:val="28"/>
          <w:szCs w:val="28"/>
          <w:lang w:eastAsia="ru-RU"/>
        </w:rPr>
        <w:t>№ 618 «Об основных направлениях государственной политики по развитию конкуренции», издан приказ Минспорта России от 21.11.2018 № 951 «Об утверждении перечня показателей, характеризующих эффективность закупок товаров, работ, услуг, в том числе подведомственными организациями Министерства спорта Российской Федерации».</w:t>
      </w:r>
    </w:p>
    <w:p w14:paraId="58348E5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2018 году Минспорт России провел 48 конкурентных процедур закупки, количественная и стоимостная характеристика процедур закупок приведена в Таблице 1.</w:t>
      </w:r>
    </w:p>
    <w:p w14:paraId="734477E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При проведении конкурентных процедур закупок в 2018 году для участия в конкурсах, аукционах было подано 160 заявок. Количественные показатели поданных заявок в привязке к способу определения поставщика (подрядчика, исполнителя) приведены в Таблице 2.</w:t>
      </w:r>
    </w:p>
    <w:p w14:paraId="24B93895"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p>
    <w:p w14:paraId="70BC673F"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Таблица 1 «Количественная и стоимостная характеристики конкурентных способов определения поставщика (подрядчика, исполнителя), проведенных в 2018 году»</w:t>
      </w:r>
    </w:p>
    <w:p w14:paraId="06D1C1CB"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38043D6C"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15B52650"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74B0ECF7" w14:textId="77777777" w:rsidTr="004477BD">
        <w:tc>
          <w:tcPr>
            <w:tcW w:w="3539" w:type="dxa"/>
          </w:tcPr>
          <w:p w14:paraId="618B88E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410EF3F5"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75B1DE22"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3A3C047"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закупок</w:t>
            </w:r>
          </w:p>
        </w:tc>
        <w:tc>
          <w:tcPr>
            <w:tcW w:w="2693" w:type="dxa"/>
          </w:tcPr>
          <w:p w14:paraId="7C143C6E"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Стоимостная характеристика, </w:t>
            </w:r>
          </w:p>
          <w:p w14:paraId="2F5F4398"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тыс. руб.</w:t>
            </w:r>
          </w:p>
        </w:tc>
      </w:tr>
      <w:tr w:rsidR="004477BD" w:rsidRPr="004477BD" w14:paraId="118D2D1E" w14:textId="77777777" w:rsidTr="004477BD">
        <w:tc>
          <w:tcPr>
            <w:tcW w:w="3539" w:type="dxa"/>
          </w:tcPr>
          <w:p w14:paraId="427FBC4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39662BFC"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35</w:t>
            </w:r>
          </w:p>
        </w:tc>
        <w:tc>
          <w:tcPr>
            <w:tcW w:w="2693" w:type="dxa"/>
          </w:tcPr>
          <w:p w14:paraId="1FB22DA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156 854</w:t>
            </w:r>
          </w:p>
        </w:tc>
      </w:tr>
      <w:tr w:rsidR="004477BD" w:rsidRPr="004477BD" w14:paraId="1151F3F6" w14:textId="77777777" w:rsidTr="004477BD">
        <w:tc>
          <w:tcPr>
            <w:tcW w:w="3539" w:type="dxa"/>
          </w:tcPr>
          <w:p w14:paraId="70089124"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13B5099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w:t>
            </w:r>
          </w:p>
        </w:tc>
        <w:tc>
          <w:tcPr>
            <w:tcW w:w="2693" w:type="dxa"/>
          </w:tcPr>
          <w:p w14:paraId="233DB4E8"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1 960</w:t>
            </w:r>
          </w:p>
        </w:tc>
      </w:tr>
      <w:tr w:rsidR="004477BD" w:rsidRPr="004477BD" w14:paraId="19C38245" w14:textId="77777777" w:rsidTr="004477BD">
        <w:tc>
          <w:tcPr>
            <w:tcW w:w="3539" w:type="dxa"/>
          </w:tcPr>
          <w:p w14:paraId="1008E96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40EDECE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w:t>
            </w:r>
          </w:p>
        </w:tc>
        <w:tc>
          <w:tcPr>
            <w:tcW w:w="2693" w:type="dxa"/>
          </w:tcPr>
          <w:p w14:paraId="02A547E3"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82 806</w:t>
            </w:r>
          </w:p>
        </w:tc>
      </w:tr>
      <w:tr w:rsidR="004477BD" w:rsidRPr="004477BD" w14:paraId="440D7683" w14:textId="77777777" w:rsidTr="004477BD">
        <w:tc>
          <w:tcPr>
            <w:tcW w:w="3539" w:type="dxa"/>
          </w:tcPr>
          <w:p w14:paraId="7C694A6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6E57A71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48</w:t>
            </w:r>
          </w:p>
        </w:tc>
        <w:tc>
          <w:tcPr>
            <w:tcW w:w="2693" w:type="dxa"/>
          </w:tcPr>
          <w:p w14:paraId="33B1B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241 620</w:t>
            </w:r>
          </w:p>
        </w:tc>
      </w:tr>
    </w:tbl>
    <w:p w14:paraId="538847F8" w14:textId="77777777" w:rsidR="004477BD" w:rsidRPr="004477BD" w:rsidRDefault="004477BD" w:rsidP="004477BD">
      <w:pPr>
        <w:spacing w:after="0" w:line="240" w:lineRule="auto"/>
        <w:ind w:firstLine="567"/>
        <w:contextualSpacing/>
        <w:jc w:val="both"/>
        <w:rPr>
          <w:rFonts w:ascii="Times New Roman" w:eastAsia="Times New Roman" w:hAnsi="Times New Roman" w:cs="Times New Roman"/>
          <w:b/>
          <w:snapToGrid w:val="0"/>
          <w:sz w:val="28"/>
          <w:szCs w:val="28"/>
          <w:lang w:eastAsia="ru-RU"/>
        </w:rPr>
      </w:pPr>
    </w:p>
    <w:p w14:paraId="2E3DE0C4"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 xml:space="preserve">Таблица 2 «Количество заявок, </w:t>
      </w:r>
    </w:p>
    <w:p w14:paraId="16E499B8"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поданных на участие в конкурентных способах определения поставщика (подрядчика, исполнителя) в 2018 году»</w:t>
      </w:r>
    </w:p>
    <w:p w14:paraId="5AE9EB81"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31F8349E" w14:textId="77777777" w:rsidTr="004477BD">
        <w:tc>
          <w:tcPr>
            <w:tcW w:w="3539" w:type="dxa"/>
          </w:tcPr>
          <w:p w14:paraId="5AFC8E8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25F4A2A4"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3510400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B741259"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поданных заявок</w:t>
            </w:r>
          </w:p>
        </w:tc>
        <w:tc>
          <w:tcPr>
            <w:tcW w:w="2693" w:type="dxa"/>
          </w:tcPr>
          <w:p w14:paraId="3EF0ABB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Количество допущенных заявок</w:t>
            </w:r>
          </w:p>
        </w:tc>
      </w:tr>
      <w:tr w:rsidR="004477BD" w:rsidRPr="004477BD" w14:paraId="0BC02ECD" w14:textId="77777777" w:rsidTr="004477BD">
        <w:tc>
          <w:tcPr>
            <w:tcW w:w="3539" w:type="dxa"/>
          </w:tcPr>
          <w:p w14:paraId="1A076086"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280EC754"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105</w:t>
            </w:r>
          </w:p>
        </w:tc>
        <w:tc>
          <w:tcPr>
            <w:tcW w:w="2693" w:type="dxa"/>
          </w:tcPr>
          <w:p w14:paraId="5A01A26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76</w:t>
            </w:r>
          </w:p>
        </w:tc>
      </w:tr>
      <w:tr w:rsidR="004477BD" w:rsidRPr="004477BD" w14:paraId="3C623468" w14:textId="77777777" w:rsidTr="004477BD">
        <w:tc>
          <w:tcPr>
            <w:tcW w:w="3539" w:type="dxa"/>
          </w:tcPr>
          <w:p w14:paraId="66D018BB"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5851A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c>
          <w:tcPr>
            <w:tcW w:w="2693" w:type="dxa"/>
          </w:tcPr>
          <w:p w14:paraId="4FC7BB1D"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r>
      <w:tr w:rsidR="004477BD" w:rsidRPr="004477BD" w14:paraId="5774DDCC" w14:textId="77777777" w:rsidTr="004477BD">
        <w:tc>
          <w:tcPr>
            <w:tcW w:w="3539" w:type="dxa"/>
          </w:tcPr>
          <w:p w14:paraId="1E8150B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6201B17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53</w:t>
            </w:r>
          </w:p>
        </w:tc>
        <w:tc>
          <w:tcPr>
            <w:tcW w:w="2693" w:type="dxa"/>
          </w:tcPr>
          <w:p w14:paraId="760275F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50</w:t>
            </w:r>
          </w:p>
        </w:tc>
      </w:tr>
      <w:tr w:rsidR="004477BD" w:rsidRPr="004477BD" w14:paraId="1DC312A7" w14:textId="77777777" w:rsidTr="004477BD">
        <w:tc>
          <w:tcPr>
            <w:tcW w:w="3539" w:type="dxa"/>
          </w:tcPr>
          <w:p w14:paraId="396DBD3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41FFD1B9"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160</w:t>
            </w:r>
          </w:p>
        </w:tc>
        <w:tc>
          <w:tcPr>
            <w:tcW w:w="2693" w:type="dxa"/>
          </w:tcPr>
          <w:p w14:paraId="0E1D86A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128</w:t>
            </w:r>
          </w:p>
        </w:tc>
      </w:tr>
    </w:tbl>
    <w:p w14:paraId="5FAF58AC" w14:textId="77777777" w:rsidR="004477BD" w:rsidRPr="004477BD" w:rsidRDefault="004477BD" w:rsidP="004477BD">
      <w:pPr>
        <w:spacing w:after="0" w:line="240" w:lineRule="auto"/>
        <w:contextualSpacing/>
        <w:jc w:val="both"/>
        <w:rPr>
          <w:rFonts w:ascii="Times New Roman" w:eastAsia="Times New Roman" w:hAnsi="Times New Roman" w:cs="Times New Roman"/>
          <w:b/>
          <w:snapToGrid w:val="0"/>
          <w:sz w:val="28"/>
          <w:szCs w:val="28"/>
          <w:lang w:eastAsia="ru-RU"/>
        </w:rPr>
      </w:pPr>
    </w:p>
    <w:p w14:paraId="64E9ADAD" w14:textId="77777777" w:rsidR="004477BD" w:rsidRPr="004477BD" w:rsidRDefault="004477BD" w:rsidP="004477BD">
      <w:pPr>
        <w:spacing w:after="0" w:line="240" w:lineRule="auto"/>
        <w:ind w:firstLine="709"/>
        <w:jc w:val="both"/>
        <w:rPr>
          <w:rFonts w:ascii="Times New Roman" w:eastAsia="Calibri" w:hAnsi="Times New Roman" w:cs="Times New Roman"/>
          <w:sz w:val="28"/>
          <w:szCs w:val="28"/>
        </w:rPr>
      </w:pPr>
      <w:r w:rsidRPr="004477BD">
        <w:rPr>
          <w:rFonts w:ascii="Times New Roman" w:eastAsia="Calibri" w:hAnsi="Times New Roman" w:cs="Times New Roman"/>
          <w:sz w:val="28"/>
          <w:szCs w:val="28"/>
        </w:rPr>
        <w:t>Также сообщаем, что Минспортом России в настоящее время не принят план мероприятий («дорожная карта») по развитию конкуренции в спортивной отрасли.</w:t>
      </w:r>
    </w:p>
    <w:p w14:paraId="73B8B4F7" w14:textId="77777777" w:rsidR="004477BD" w:rsidRPr="004477BD" w:rsidRDefault="004477BD" w:rsidP="00883C8E">
      <w:pPr>
        <w:spacing w:after="0" w:line="360" w:lineRule="auto"/>
        <w:jc w:val="both"/>
        <w:rPr>
          <w:rFonts w:ascii="Times New Roman" w:hAnsi="Times New Roman" w:cs="Times New Roman"/>
          <w:b/>
        </w:rPr>
      </w:pPr>
    </w:p>
    <w:p w14:paraId="10034FE2" w14:textId="77777777" w:rsidR="00883C8E" w:rsidRDefault="00883C8E" w:rsidP="00883C8E">
      <w:pPr>
        <w:spacing w:after="0" w:line="360" w:lineRule="auto"/>
        <w:jc w:val="both"/>
        <w:rPr>
          <w:rFonts w:ascii="Times New Roman" w:hAnsi="Times New Roman" w:cs="Times New Roman"/>
          <w:b/>
        </w:rPr>
      </w:pPr>
    </w:p>
    <w:p w14:paraId="6A1C5728" w14:textId="77777777" w:rsidR="00EF5C9C" w:rsidRDefault="00EF5C9C" w:rsidP="00883C8E">
      <w:pPr>
        <w:spacing w:after="0" w:line="360" w:lineRule="auto"/>
        <w:jc w:val="both"/>
        <w:rPr>
          <w:rFonts w:ascii="Times New Roman" w:hAnsi="Times New Roman" w:cs="Times New Roman"/>
          <w:b/>
        </w:rPr>
      </w:pPr>
    </w:p>
    <w:p w14:paraId="5C48935D" w14:textId="1CB85C6A" w:rsidR="00EF5C9C" w:rsidRDefault="00EF5C9C" w:rsidP="00BB7A44">
      <w:pPr>
        <w:pStyle w:val="2"/>
        <w:numPr>
          <w:ilvl w:val="1"/>
          <w:numId w:val="69"/>
        </w:numPr>
      </w:pPr>
      <w:bookmarkStart w:id="2076" w:name="_Toc7448065"/>
      <w:r>
        <w:t>Федеральная служба по экологическому, технологическому и атомному надзору (Ростехнадзор)</w:t>
      </w:r>
      <w:bookmarkEnd w:id="2076"/>
    </w:p>
    <w:p w14:paraId="674A3DF6" w14:textId="77777777" w:rsidR="00B72321" w:rsidRDefault="00B72321" w:rsidP="00784998">
      <w:pPr>
        <w:spacing w:line="360" w:lineRule="auto"/>
        <w:jc w:val="both"/>
        <w:rPr>
          <w:rFonts w:ascii="Times New Roman" w:hAnsi="Times New Roman"/>
          <w:spacing w:val="-2"/>
          <w:sz w:val="28"/>
          <w:szCs w:val="28"/>
        </w:rPr>
      </w:pPr>
    </w:p>
    <w:p w14:paraId="2637E4C7"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spacing w:val="-2"/>
        </w:rPr>
        <w:t xml:space="preserve">В соответствии с письмами Федеральной антимонопольной службы </w:t>
      </w:r>
      <w:r w:rsidRPr="00B72321">
        <w:rPr>
          <w:rFonts w:ascii="Times New Roman" w:hAnsi="Times New Roman" w:cs="Times New Roman"/>
          <w:spacing w:val="-2"/>
        </w:rPr>
        <w:br/>
        <w:t xml:space="preserve">от 08.02.2019 № СП/8711/19 и от 15.02.2019 №СП/11218-ПР/19 Федеральная служба по экологическому, технологическому и атомному надзору сообщает </w:t>
      </w:r>
      <w:r w:rsidRPr="00B72321">
        <w:rPr>
          <w:rFonts w:ascii="Times New Roman" w:hAnsi="Times New Roman" w:cs="Times New Roman"/>
          <w:spacing w:val="-2"/>
        </w:rPr>
        <w:br/>
      </w:r>
      <w:r w:rsidRPr="00B72321">
        <w:rPr>
          <w:rFonts w:ascii="Times New Roman" w:hAnsi="Times New Roman" w:cs="Times New Roman"/>
          <w:color w:val="000000"/>
          <w:lang w:bidi="ru-RU"/>
        </w:rPr>
        <w:t>о выполнении следующих мероприятий:</w:t>
      </w:r>
    </w:p>
    <w:p w14:paraId="49507B09"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Приказом Ростехнадзора от 12 февраля 2018 г. № 64/1 утвержден план работы Ростехнадзора по выполнению Национального плана развития конкуренции в Российской Федерации на 2018-2020 годы.</w:t>
      </w:r>
    </w:p>
    <w:p w14:paraId="2F8CF2D2"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Приказом Ростехнадзора от 20 ноября 2018 г. № 579 утверждены показатели, характеризующие эффективность закупок товаров, работ, услуг, </w:t>
      </w:r>
      <w:r w:rsidRPr="00B72321">
        <w:rPr>
          <w:rFonts w:ascii="Times New Roman" w:hAnsi="Times New Roman" w:cs="Times New Roman"/>
          <w:color w:val="000000"/>
          <w:lang w:bidi="ru-RU"/>
        </w:rPr>
        <w:br/>
        <w:t xml:space="preserve">в том числе подведомственными организациями Федеральной службы </w:t>
      </w:r>
      <w:r w:rsidRPr="00B72321">
        <w:rPr>
          <w:rFonts w:ascii="Times New Roman" w:hAnsi="Times New Roman" w:cs="Times New Roman"/>
          <w:color w:val="000000"/>
          <w:lang w:bidi="ru-RU"/>
        </w:rPr>
        <w:br/>
        <w:t xml:space="preserve">по экологическому, технологическому и атомному надзору. В соответствии </w:t>
      </w:r>
      <w:r w:rsidRPr="00B72321">
        <w:rPr>
          <w:rFonts w:ascii="Times New Roman" w:hAnsi="Times New Roman" w:cs="Times New Roman"/>
          <w:color w:val="000000"/>
          <w:lang w:bidi="ru-RU"/>
        </w:rPr>
        <w:br/>
        <w:t>с данными показателями проведен анализ закупочной деятельности Ростехнадзора, осуществляемой в 2018 году:</w:t>
      </w:r>
    </w:p>
    <w:p w14:paraId="4D4C2101"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конкурентных способов определения поставщиков (подрядчиков, исполнителей), которые по итогам проведения процедур были признаны состоявшимися, составила 65,42;</w:t>
      </w:r>
    </w:p>
    <w:p w14:paraId="7C9AFE79"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отмененных процедур - 0,14;</w:t>
      </w:r>
    </w:p>
    <w:p w14:paraId="6121635D"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доля обоснованных жалоб на действия (бездействие) заказчика </w:t>
      </w:r>
      <w:r w:rsidRPr="00B72321">
        <w:rPr>
          <w:rFonts w:ascii="Times New Roman" w:hAnsi="Times New Roman" w:cs="Times New Roman"/>
          <w:color w:val="000000"/>
          <w:lang w:bidi="ru-RU"/>
        </w:rPr>
        <w:br/>
        <w:t>при проведении процедур - 4,25 %;</w:t>
      </w:r>
    </w:p>
    <w:p w14:paraId="58EDC6EB" w14:textId="77777777"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 xml:space="preserve">показатель эффективности расходования бюджетных средств </w:t>
      </w:r>
      <w:r w:rsidRPr="00B72321">
        <w:rPr>
          <w:rFonts w:ascii="Times New Roman" w:hAnsi="Times New Roman" w:cs="Times New Roman"/>
          <w:color w:val="000000"/>
          <w:lang w:bidi="ru-RU"/>
        </w:rPr>
        <w:br/>
        <w:t>по конкурентным закупкам - 13,80.</w:t>
      </w:r>
    </w:p>
    <w:p w14:paraId="34F500EF"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Данная информация размещена на официальном сайте Ростехнадзора </w:t>
      </w:r>
      <w:r w:rsidRPr="00B72321">
        <w:rPr>
          <w:rFonts w:ascii="Times New Roman" w:hAnsi="Times New Roman" w:cs="Times New Roman"/>
          <w:color w:val="000000"/>
          <w:lang w:bidi="ru-RU"/>
        </w:rPr>
        <w:br/>
        <w:t>в разделе «Госзакупки».</w:t>
      </w:r>
    </w:p>
    <w:p w14:paraId="3631A951" w14:textId="77777777" w:rsidR="00B72321" w:rsidRPr="00B72321" w:rsidRDefault="00B72321" w:rsidP="00784998">
      <w:pPr>
        <w:pStyle w:val="25"/>
        <w:shd w:val="clear" w:color="auto" w:fill="auto"/>
        <w:tabs>
          <w:tab w:val="left" w:pos="1080"/>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В целях обеспечения недискриминационного доступа поставщиков </w:t>
      </w:r>
      <w:r w:rsidRPr="00B72321">
        <w:rPr>
          <w:rFonts w:ascii="Times New Roman" w:hAnsi="Times New Roman" w:cs="Times New Roman"/>
          <w:color w:val="000000"/>
          <w:lang w:bidi="ru-RU"/>
        </w:rPr>
        <w:br/>
        <w:t xml:space="preserve">к закупкам товаров, работ, услуг центральный аппарат Ростехнадзора осуществляет закупки преимущественно посредством проведения аукционов </w:t>
      </w:r>
      <w:r w:rsidRPr="00B72321">
        <w:rPr>
          <w:rFonts w:ascii="Times New Roman" w:hAnsi="Times New Roman" w:cs="Times New Roman"/>
          <w:color w:val="000000"/>
          <w:lang w:bidi="ru-RU"/>
        </w:rPr>
        <w:br/>
        <w:t>в электронной форме. Для определения начальной (максимальной) цены контракта запросы ценовой информации размещаются в Единой информационной системе, а также направляются потенциальным поставщикам посредством электронной почты. При составлении технических заданий приоритетным направлением является обеспечение конкуренции.</w:t>
      </w:r>
    </w:p>
    <w:p w14:paraId="2A394FC2" w14:textId="77777777"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В 2018 году проведено 19 закупок для субъектов малого предпринимательства и социально ориентированных некоммерческих организаций на общую сумму 50 513,31 тыс. рублей, что составляет 21,52 </w:t>
      </w:r>
      <w:r w:rsidRPr="00B72321">
        <w:rPr>
          <w:rStyle w:val="2BookmanOldStyle13pt"/>
          <w:rFonts w:ascii="Times New Roman" w:hAnsi="Times New Roman" w:cs="Times New Roman"/>
          <w:b w:val="0"/>
          <w:i w:val="0"/>
          <w:sz w:val="28"/>
          <w:szCs w:val="28"/>
        </w:rPr>
        <w:t>%</w:t>
      </w:r>
      <w:r w:rsidRPr="00B72321">
        <w:rPr>
          <w:rFonts w:ascii="Times New Roman" w:hAnsi="Times New Roman" w:cs="Times New Roman"/>
          <w:color w:val="000000"/>
          <w:lang w:bidi="ru-RU"/>
        </w:rPr>
        <w:t xml:space="preserve"> </w:t>
      </w:r>
      <w:r w:rsidRPr="00B72321">
        <w:rPr>
          <w:rFonts w:ascii="Times New Roman" w:hAnsi="Times New Roman" w:cs="Times New Roman"/>
          <w:color w:val="000000"/>
          <w:lang w:bidi="ru-RU"/>
        </w:rPr>
        <w:br/>
        <w:t xml:space="preserve">от всего объема закупок (2017 год − 26 закупок на общую сумму </w:t>
      </w:r>
      <w:r w:rsidRPr="00B72321">
        <w:rPr>
          <w:rFonts w:ascii="Times New Roman" w:hAnsi="Times New Roman" w:cs="Times New Roman"/>
          <w:color w:val="000000"/>
          <w:lang w:bidi="ru-RU"/>
        </w:rPr>
        <w:br/>
        <w:t xml:space="preserve">47 147,24 тыс. рублей, 14,12 % от всего объема закупок). </w:t>
      </w:r>
    </w:p>
    <w:p w14:paraId="73B59C51" w14:textId="77777777" w:rsidR="00B72321" w:rsidRDefault="00B72321" w:rsidP="00B72321"/>
    <w:p w14:paraId="7D7BE4FE" w14:textId="2F82C36C" w:rsidR="00784998" w:rsidRDefault="00784998" w:rsidP="00BB7A44">
      <w:pPr>
        <w:pStyle w:val="2"/>
        <w:numPr>
          <w:ilvl w:val="1"/>
          <w:numId w:val="69"/>
        </w:numPr>
      </w:pPr>
      <w:bookmarkStart w:id="2077" w:name="_Toc7448066"/>
      <w:r w:rsidRPr="000D5362">
        <w:t>Федеральная служба по надзору в сфере защиты прав потребителей и благополучия человека</w:t>
      </w:r>
      <w:r w:rsidR="00990A6F" w:rsidRPr="00990A6F">
        <w:t xml:space="preserve"> (</w:t>
      </w:r>
      <w:r w:rsidR="00990A6F">
        <w:t>Роспетребнадзор)</w:t>
      </w:r>
      <w:bookmarkEnd w:id="2077"/>
    </w:p>
    <w:p w14:paraId="468FD2D0" w14:textId="77777777" w:rsidR="00B84ADD" w:rsidRDefault="00B84ADD" w:rsidP="00784998">
      <w:pPr>
        <w:spacing w:after="0" w:line="240" w:lineRule="auto"/>
        <w:ind w:firstLine="709"/>
        <w:jc w:val="both"/>
        <w:rPr>
          <w:rFonts w:ascii="Times New Roman" w:hAnsi="Times New Roman" w:cs="Times New Roman"/>
          <w:sz w:val="28"/>
          <w:szCs w:val="28"/>
        </w:rPr>
      </w:pPr>
    </w:p>
    <w:p w14:paraId="150CD7D1"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 xml:space="preserve">Федеральная служба по надзору в сфере защиты прав потребителей и благополучия человека в связи с письмом ФАС России от 08.02.2019 </w:t>
      </w:r>
      <w:r>
        <w:rPr>
          <w:rFonts w:ascii="Times New Roman" w:hAnsi="Times New Roman" w:cs="Times New Roman"/>
          <w:sz w:val="28"/>
          <w:szCs w:val="28"/>
        </w:rPr>
        <w:t xml:space="preserve">                            </w:t>
      </w:r>
      <w:r w:rsidRPr="00784998">
        <w:rPr>
          <w:rFonts w:ascii="Times New Roman" w:hAnsi="Times New Roman" w:cs="Times New Roman"/>
          <w:sz w:val="28"/>
          <w:szCs w:val="28"/>
        </w:rPr>
        <w:t>№ СП/8711/19 направляет информацию для включения в доклад о состоянии конкуренции в Российской Федерации.</w:t>
      </w:r>
    </w:p>
    <w:p w14:paraId="28C0240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Федеральная служба по надзору в сфере защиты прав потребителей и благополучия человека является ответственным исполнителем пунктов 14 и 15 Плана мероприятий («дорожной карты») «Развитие конкуренции в здравоохранении», утвержденного распоряжением Правительства Российской Федерации от 12 января 2018 г. № 9-р (далее - План).</w:t>
      </w:r>
    </w:p>
    <w:p w14:paraId="6E31DAE1"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Во исполнение пункта 14 Плана письмом Р</w:t>
      </w:r>
      <w:r>
        <w:rPr>
          <w:rFonts w:ascii="Times New Roman" w:hAnsi="Times New Roman" w:cs="Times New Roman"/>
          <w:sz w:val="28"/>
          <w:szCs w:val="28"/>
        </w:rPr>
        <w:t xml:space="preserve">оспотребнадзора от 18.02.2019 № </w:t>
      </w:r>
      <w:r w:rsidRPr="00784998">
        <w:rPr>
          <w:rFonts w:ascii="Times New Roman" w:hAnsi="Times New Roman" w:cs="Times New Roman"/>
          <w:sz w:val="28"/>
          <w:szCs w:val="28"/>
        </w:rPr>
        <w:t>01/2318-2019-22 в Евразийскую эк</w:t>
      </w:r>
      <w:r>
        <w:rPr>
          <w:rFonts w:ascii="Times New Roman" w:hAnsi="Times New Roman" w:cs="Times New Roman"/>
          <w:sz w:val="28"/>
          <w:szCs w:val="28"/>
        </w:rPr>
        <w:t xml:space="preserve">ономическую комиссию направлены </w:t>
      </w:r>
      <w:r w:rsidRPr="00784998">
        <w:rPr>
          <w:rFonts w:ascii="Times New Roman" w:hAnsi="Times New Roman" w:cs="Times New Roman"/>
          <w:sz w:val="28"/>
          <w:szCs w:val="28"/>
        </w:rPr>
        <w:t>предложения о внесении изменений в раздел II плана разработки технических регламентов Евразийского экономического союза и внесения изменений в технические регламенты Таможенного союза в части внесения изменений в технический регламент Таможенного союза «Пищевая продукция в части ее маркировки» (ТР ТС 022/2011) в целях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путем введения запрета на использование в названии биологически активных доба</w:t>
      </w:r>
      <w:r>
        <w:rPr>
          <w:rFonts w:ascii="Times New Roman" w:hAnsi="Times New Roman" w:cs="Times New Roman"/>
          <w:sz w:val="28"/>
          <w:szCs w:val="28"/>
        </w:rPr>
        <w:t xml:space="preserve">вок к пище названий </w:t>
      </w:r>
      <w:r w:rsidRPr="00784998">
        <w:rPr>
          <w:rFonts w:ascii="Times New Roman" w:hAnsi="Times New Roman" w:cs="Times New Roman"/>
          <w:sz w:val="28"/>
          <w:szCs w:val="28"/>
        </w:rPr>
        <w:t>одноименных или схожих до степени смешения с наименованиями лекарственных препаратов.</w:t>
      </w:r>
    </w:p>
    <w:p w14:paraId="09A6E38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Дополнительно к предложениям по внесению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 утвержденный Решением Совета Евразийской экономической комиссии от 1 октября 2014 года № 79, подготовлен проект изменений в технический регламент Таможенного союза «Пищевая продукция в части ее маркировки» (ТР ТС 022/2011), касающийся запрета на использование в придуманном названии биологически активных добавок к пище международного непатентованного наименования лекарственного средства и зарегистрированного товарного знака лекарственного средства в случае его использования в качестве торгового наименования лекарственного средства.</w:t>
      </w:r>
    </w:p>
    <w:p w14:paraId="62725F6B" w14:textId="77777777" w:rsid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Указанные изменения согласованы с Минпромторгом России, Минэкономразвития России, Минздравом России, ФАС России.</w:t>
      </w:r>
    </w:p>
    <w:p w14:paraId="58C3755E" w14:textId="77777777" w:rsidR="0048363D" w:rsidRDefault="0048363D" w:rsidP="0048363D">
      <w:pPr>
        <w:spacing w:after="0" w:line="240" w:lineRule="auto"/>
        <w:jc w:val="both"/>
        <w:rPr>
          <w:rFonts w:ascii="Times New Roman" w:hAnsi="Times New Roman" w:cs="Times New Roman"/>
          <w:sz w:val="28"/>
          <w:szCs w:val="28"/>
        </w:rPr>
      </w:pPr>
    </w:p>
    <w:p w14:paraId="5D7A8DC2" w14:textId="5976C34F" w:rsidR="0048363D" w:rsidRDefault="0048363D" w:rsidP="00BB7A44">
      <w:pPr>
        <w:pStyle w:val="2"/>
        <w:numPr>
          <w:ilvl w:val="1"/>
          <w:numId w:val="69"/>
        </w:numPr>
        <w:rPr>
          <w:rStyle w:val="wbformattributevalue"/>
        </w:rPr>
      </w:pPr>
      <w:bookmarkStart w:id="2078" w:name="_Toc7448067"/>
      <w:r w:rsidRPr="001B5530">
        <w:t>Федеральное</w:t>
      </w:r>
      <w:r>
        <w:rPr>
          <w:rStyle w:val="wbformattributevalue"/>
        </w:rPr>
        <w:t xml:space="preserve"> агентство по рыболовству (Росрыболовство)</w:t>
      </w:r>
      <w:bookmarkEnd w:id="2078"/>
    </w:p>
    <w:p w14:paraId="419D39EC" w14:textId="77777777" w:rsidR="0048363D" w:rsidRDefault="0048363D" w:rsidP="0057231E">
      <w:pPr>
        <w:rPr>
          <w:lang w:eastAsia="ru-RU"/>
        </w:rPr>
      </w:pPr>
    </w:p>
    <w:p w14:paraId="47C3E288"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Федеральное агентство по рыболовству во исполнение поручения Правительства Российской Федерации о подготовке ежегодного доклада о состоянии конкуренции в Российской Федерации сообщает.</w:t>
      </w:r>
    </w:p>
    <w:p w14:paraId="40D66667"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С целью обновления рыбопромыслового флота в соответствии с решениями Госсовета по развитию рыбохозяйственного комплекса было принято постановление Правительства Российской Федерации от 29 мая 2017 г. № 648 «О закреплении и предоставлении доли квоты добычи (вылова) водных биологических ресурсов, предоставленной на инвестиционные цели в области рыболовства для осуществления промышленного рыболовства и (или) прибрежного рыболовства», в рамках которого Росрыболовством введен механизм закрепления и предоставления доли квоты добычи (вылова) водных биоресурсов на инвестиционные цели (далее - механизм инвестиционных квот), предусматривающий выделение 20 % долей квот добычи (вылова) отдельных видов водных биоресурсов под строительство судов рыбопромыслового флота и рыбоперерабатывающих предприятий.</w:t>
      </w:r>
    </w:p>
    <w:p w14:paraId="7C2365F1" w14:textId="77777777" w:rsidR="0048363D" w:rsidRPr="0048363D" w:rsidRDefault="0048363D" w:rsidP="0048363D">
      <w:pPr>
        <w:pStyle w:val="26"/>
        <w:shd w:val="clear" w:color="auto" w:fill="auto"/>
        <w:tabs>
          <w:tab w:val="right" w:pos="7172"/>
          <w:tab w:val="right" w:pos="9774"/>
        </w:tabs>
        <w:spacing w:before="0" w:line="240" w:lineRule="auto"/>
        <w:ind w:firstLine="709"/>
        <w:rPr>
          <w:sz w:val="28"/>
          <w:szCs w:val="28"/>
        </w:rPr>
      </w:pPr>
      <w:r w:rsidRPr="0048363D">
        <w:rPr>
          <w:sz w:val="28"/>
          <w:szCs w:val="28"/>
        </w:rPr>
        <w:t>По итогам прошедших двух этапов заявочных кампаний в 2017-2018 годах по распределению долей инвестиционных квот заключены 33 договора на закрепление инвестиционных квот под строительство судов, из которых 9 - для Дальневосточно</w:t>
      </w:r>
      <w:r w:rsidR="0057231E">
        <w:rPr>
          <w:sz w:val="28"/>
          <w:szCs w:val="28"/>
        </w:rPr>
        <w:t>го рыбохозяйственного бассейна;</w:t>
      </w:r>
      <w:r>
        <w:rPr>
          <w:sz w:val="28"/>
          <w:szCs w:val="28"/>
        </w:rPr>
        <w:t xml:space="preserve"> </w:t>
      </w:r>
      <w:r w:rsidRPr="0048363D">
        <w:rPr>
          <w:sz w:val="28"/>
          <w:szCs w:val="28"/>
        </w:rPr>
        <w:t>6</w:t>
      </w:r>
      <w:r w:rsidRPr="0048363D">
        <w:rPr>
          <w:sz w:val="28"/>
          <w:szCs w:val="28"/>
        </w:rPr>
        <w:tab/>
      </w:r>
      <w:r w:rsidR="0057231E">
        <w:rPr>
          <w:sz w:val="28"/>
          <w:szCs w:val="28"/>
        </w:rPr>
        <w:t xml:space="preserve"> </w:t>
      </w:r>
      <w:r w:rsidRPr="0048363D">
        <w:rPr>
          <w:sz w:val="28"/>
          <w:szCs w:val="28"/>
        </w:rPr>
        <w:t>крупнотоннажных</w:t>
      </w:r>
      <w:r w:rsidR="0057231E">
        <w:rPr>
          <w:sz w:val="28"/>
          <w:szCs w:val="28"/>
        </w:rPr>
        <w:t xml:space="preserve"> –</w:t>
      </w:r>
      <w:r w:rsidRPr="0048363D">
        <w:rPr>
          <w:sz w:val="28"/>
          <w:szCs w:val="28"/>
        </w:rPr>
        <w:t>траулеров-процессоров и 3 среднетоннажных траулера-сейнера; и 24 - для Северного рыбохозяйственного бассейна: 14 крупнотоннажных траулеров, 9 среднетоннажных судов, 1 малотоннажное судно. Также заключен 21 договор, предполагающий строительство 8 заводов на Севере для переработки трески и пикши и 13 заводов на Дальнем Востоке. В ближайшее время будет подписан еще один договор, предусматривающий строительство рыбоперерабатывающего завода малой мощности на Дальнем Востоке.</w:t>
      </w:r>
    </w:p>
    <w:p w14:paraId="750AB74C"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Суммарный объем инвестиций по перечисленным объектам - 132 млрд. рублей, из которых 110 млрд. рублей - на строительство судов и 22 млрд. рублей на строительство предприятий.</w:t>
      </w:r>
    </w:p>
    <w:p w14:paraId="3726DC6A"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целях создания благоприятных условий для развития конкуренции в области рыболовства было принято постановление Правительства Российской Федерации от 22 февраля 2018 г. № 185 «О внесении изменений в правила организации и проведения торгов (конкурсов, аукционов) на право заключения договора пользования рыбоводным участком». В правила добавлен новый раздел V «Порядок проведения торгов в форме аукциона в электронной форме».</w:t>
      </w:r>
    </w:p>
    <w:p w14:paraId="68E2A772"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2018 году Росрыболовство провело 48 аукционов в электронной форме на право заключения договора пользования рыбоводными участками в целях осуществления аквакультуры (рыбоводства) в Дальневосточном рыбохозяйственном бассейне. Общая площадь, выставленных на торги рыбоводных участков составила 10 032,67 га.</w:t>
      </w:r>
    </w:p>
    <w:p w14:paraId="5A3EB18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По итогам проведенных аукционов в электронной форме заключены 35 договоров пользования рыбоводными участками в целях осуществления аквакультуры (рыбоводства), общей площадью 7 985,57 га.</w:t>
      </w:r>
    </w:p>
    <w:p w14:paraId="322E7911"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Общая начальная стоимость выставленных на торги рыбоводных участков составила 76 901,1 тыс. руб. Конечная цена, предложенная победителями, составила 216 429,9 тыс. руб. Данные денежные средства были перечислены в федеральный бюджет в полном объеме.</w:t>
      </w:r>
    </w:p>
    <w:p w14:paraId="3BE74AE8" w14:textId="77777777" w:rsidR="0048363D" w:rsidRPr="0048363D" w:rsidRDefault="0048363D" w:rsidP="0048363D">
      <w:pPr>
        <w:widowControl w:val="0"/>
        <w:tabs>
          <w:tab w:val="left" w:pos="2746"/>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Правительство</w:t>
      </w:r>
      <w:r w:rsidRPr="0048363D">
        <w:rPr>
          <w:rFonts w:ascii="Times New Roman" w:eastAsia="Times New Roman" w:hAnsi="Times New Roman" w:cs="Times New Roman"/>
          <w:color w:val="000000"/>
          <w:spacing w:val="-1"/>
          <w:sz w:val="28"/>
          <w:szCs w:val="28"/>
          <w:lang w:eastAsia="ru-RU"/>
        </w:rPr>
        <w:tab/>
        <w:t>Рос</w:t>
      </w:r>
      <w:r>
        <w:rPr>
          <w:rFonts w:ascii="Times New Roman" w:eastAsia="Times New Roman" w:hAnsi="Times New Roman" w:cs="Times New Roman"/>
          <w:color w:val="000000"/>
          <w:spacing w:val="-1"/>
          <w:sz w:val="28"/>
          <w:szCs w:val="28"/>
          <w:lang w:eastAsia="ru-RU"/>
        </w:rPr>
        <w:t xml:space="preserve">сийской Федерации распоряжением </w:t>
      </w:r>
      <w:r w:rsidRPr="0048363D">
        <w:rPr>
          <w:rFonts w:ascii="Times New Roman" w:eastAsia="Times New Roman" w:hAnsi="Times New Roman" w:cs="Times New Roman"/>
          <w:color w:val="000000"/>
          <w:spacing w:val="-1"/>
          <w:sz w:val="28"/>
          <w:szCs w:val="28"/>
          <w:lang w:eastAsia="ru-RU"/>
        </w:rPr>
        <w:t>от 16 августа</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2018 г. № 1697-р утвердило План мероприятий («дорожная карта») по развитию конкуренции в отраслях экономики Российской Федерации и переходу отдельных сфер естественных монополий в состояние конкурентного рынка на 2018-2</w:t>
      </w:r>
      <w:r>
        <w:rPr>
          <w:rFonts w:ascii="Times New Roman" w:eastAsia="Times New Roman" w:hAnsi="Times New Roman" w:cs="Times New Roman"/>
          <w:color w:val="000000"/>
          <w:spacing w:val="-1"/>
          <w:sz w:val="28"/>
          <w:szCs w:val="28"/>
          <w:lang w:eastAsia="ru-RU"/>
        </w:rPr>
        <w:t xml:space="preserve">020 годы, который, в том числе, </w:t>
      </w:r>
      <w:r w:rsidRPr="0048363D">
        <w:rPr>
          <w:rFonts w:ascii="Times New Roman" w:eastAsia="Times New Roman" w:hAnsi="Times New Roman" w:cs="Times New Roman"/>
          <w:color w:val="000000"/>
          <w:spacing w:val="-1"/>
          <w:sz w:val="28"/>
          <w:szCs w:val="28"/>
          <w:lang w:eastAsia="ru-RU"/>
        </w:rPr>
        <w:t>включает</w:t>
      </w:r>
      <w:r>
        <w:rPr>
          <w:rFonts w:ascii="Times New Roman" w:eastAsia="Times New Roman" w:hAnsi="Times New Roman" w:cs="Times New Roman"/>
          <w:color w:val="000000"/>
          <w:spacing w:val="-1"/>
          <w:sz w:val="28"/>
          <w:szCs w:val="28"/>
          <w:lang w:eastAsia="ru-RU"/>
        </w:rPr>
        <w:t xml:space="preserve"> раздел </w:t>
      </w:r>
      <w:r w:rsidRPr="0048363D">
        <w:rPr>
          <w:rFonts w:ascii="Times New Roman" w:eastAsia="Times New Roman" w:hAnsi="Times New Roman" w:cs="Times New Roman"/>
          <w:color w:val="000000"/>
          <w:spacing w:val="-1"/>
          <w:sz w:val="28"/>
          <w:szCs w:val="28"/>
          <w:lang w:eastAsia="ru-RU"/>
        </w:rPr>
        <w:t>XVI</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«Рыбохозяйственный комплекс».</w:t>
      </w:r>
    </w:p>
    <w:p w14:paraId="333175E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Росрыболовство распоряжением от 8 октября 2018 г. № 83-р утвердило план мероприятий по исполнению раздела XVI «Рыбохозяйственный комплекс» (далее - план мероприятий по развитию конкуренции).</w:t>
      </w:r>
    </w:p>
    <w:p w14:paraId="0B860887" w14:textId="77777777" w:rsidR="0048363D" w:rsidRPr="0048363D" w:rsidRDefault="0048363D" w:rsidP="0048363D">
      <w:pPr>
        <w:widowControl w:val="0"/>
        <w:tabs>
          <w:tab w:val="left" w:pos="2746"/>
          <w:tab w:val="right" w:pos="7793"/>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 xml:space="preserve">В рамках плана мероприятий по развитию </w:t>
      </w:r>
      <w:r w:rsidRPr="0048363D">
        <w:rPr>
          <w:rFonts w:ascii="Times New Roman" w:eastAsia="Times New Roman" w:hAnsi="Times New Roman" w:cs="Times New Roman"/>
          <w:color w:val="000000"/>
          <w:spacing w:val="-1"/>
          <w:sz w:val="28"/>
          <w:szCs w:val="28"/>
          <w:lang w:eastAsia="ru-RU"/>
        </w:rPr>
        <w:t>конкуренции</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Росрыболовством совместно с Минсельхозом России подготовлены проекты:</w:t>
      </w:r>
      <w:r>
        <w:rPr>
          <w:rFonts w:ascii="Times New Roman" w:eastAsia="Times New Roman" w:hAnsi="Times New Roman" w:cs="Times New Roman"/>
          <w:color w:val="000000"/>
          <w:spacing w:val="-1"/>
          <w:sz w:val="28"/>
          <w:szCs w:val="28"/>
          <w:lang w:eastAsia="ru-RU"/>
        </w:rPr>
        <w:t xml:space="preserve"> федерального закона «О внесении изменений </w:t>
      </w:r>
      <w:r w:rsidRPr="0048363D">
        <w:rPr>
          <w:rFonts w:ascii="Times New Roman" w:eastAsia="Times New Roman" w:hAnsi="Times New Roman" w:cs="Times New Roman"/>
          <w:color w:val="000000"/>
          <w:spacing w:val="-1"/>
          <w:sz w:val="28"/>
          <w:szCs w:val="28"/>
          <w:lang w:eastAsia="ru-RU"/>
        </w:rPr>
        <w:t>в отдельные</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законодательные акты Российской Федерации в области рыболовства и сохранения водных биологических ресурсов в части проведения аукционов в электронной форме», который проходит согласование в заинтересованных федеральных органах исполнительной власти;</w:t>
      </w:r>
    </w:p>
    <w:p w14:paraId="3001C716" w14:textId="77777777" w:rsidR="0048363D" w:rsidRPr="0048363D" w:rsidRDefault="0048363D" w:rsidP="00BE213D">
      <w:pPr>
        <w:widowControl w:val="0"/>
        <w:numPr>
          <w:ilvl w:val="0"/>
          <w:numId w:val="26"/>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постановления Правительства Российской Федерации «Об утверждении Правил проведения аукционов в электронной форме по продаже права на заключение договора о закреплении доли квот добычи (вылова) водных биологических ресурсов и (или) договора пользования водными биологическими ресурсами»;</w:t>
      </w:r>
    </w:p>
    <w:p w14:paraId="4F3F58A1" w14:textId="77777777" w:rsidR="0048363D" w:rsidRPr="0048363D" w:rsidRDefault="0048363D" w:rsidP="00BE213D">
      <w:pPr>
        <w:widowControl w:val="0"/>
        <w:numPr>
          <w:ilvl w:val="0"/>
          <w:numId w:val="26"/>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федерального закона «О внесении изменений в Федеральный закон «О рыболовстве и сохранении водных биологических ресурсов» в части совершенствования порядка распределения квот добычи (вылова) водных биологических ресурсов» (далее - законопроект).</w:t>
      </w:r>
    </w:p>
    <w:p w14:paraId="4C37F6D3"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Законопроектом предусматривается введение нового вида квот добычи (вылова) водных биологических ресурсов - квоты добычи (вылова) крабов, предоставленной в инвестиционных целях в области рыболовства, для осуществления промышленного и (или) прибрежного рыболовства, которые распределяются между юридическими лицами и индивидуальными  предпринимателями федеральным органом </w:t>
      </w:r>
      <w:r w:rsidR="0057231E">
        <w:rPr>
          <w:rFonts w:ascii="Times New Roman" w:eastAsia="Times New Roman" w:hAnsi="Times New Roman" w:cs="Times New Roman"/>
          <w:color w:val="000000"/>
          <w:spacing w:val="-1"/>
          <w:sz w:val="28"/>
          <w:szCs w:val="28"/>
          <w:lang w:eastAsia="ru-RU"/>
        </w:rPr>
        <w:t xml:space="preserve">исполнительной власти в области </w:t>
      </w:r>
      <w:r w:rsidRPr="0048363D">
        <w:rPr>
          <w:rFonts w:ascii="Times New Roman" w:eastAsia="Times New Roman" w:hAnsi="Times New Roman" w:cs="Times New Roman"/>
          <w:color w:val="000000"/>
          <w:spacing w:val="-1"/>
          <w:sz w:val="28"/>
          <w:szCs w:val="28"/>
          <w:lang w:eastAsia="ru-RU"/>
        </w:rPr>
        <w:t>рыболовства в долевом соотношении по результатам проведения аукциона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(распределение 50 процентов объема кв</w:t>
      </w:r>
      <w:r w:rsidR="0057231E">
        <w:rPr>
          <w:rFonts w:ascii="Times New Roman" w:eastAsia="Times New Roman" w:hAnsi="Times New Roman" w:cs="Times New Roman"/>
          <w:color w:val="000000"/>
          <w:spacing w:val="-1"/>
          <w:sz w:val="28"/>
          <w:szCs w:val="28"/>
          <w:lang w:eastAsia="ru-RU"/>
        </w:rPr>
        <w:t xml:space="preserve">от добычи (вылова) краба, ранее </w:t>
      </w:r>
      <w:r w:rsidRPr="0048363D">
        <w:rPr>
          <w:rFonts w:ascii="Times New Roman" w:eastAsia="Times New Roman" w:hAnsi="Times New Roman" w:cs="Times New Roman"/>
          <w:color w:val="000000"/>
          <w:spacing w:val="-1"/>
          <w:sz w:val="28"/>
          <w:szCs w:val="28"/>
          <w:lang w:eastAsia="ru-RU"/>
        </w:rPr>
        <w:t>распределявшегося по «историческому принципу», в инвестиционных целях).</w:t>
      </w:r>
    </w:p>
    <w:p w14:paraId="1A04CA6E"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Кроме того, Росрыболовство ранее письмом от 27 февраля </w:t>
      </w:r>
      <w:r w:rsidR="0057231E">
        <w:rPr>
          <w:rFonts w:ascii="Times New Roman" w:eastAsia="Times New Roman" w:hAnsi="Times New Roman" w:cs="Times New Roman"/>
          <w:color w:val="000000"/>
          <w:spacing w:val="-1"/>
          <w:sz w:val="28"/>
          <w:szCs w:val="28"/>
          <w:lang w:eastAsia="ru-RU"/>
        </w:rPr>
        <w:t xml:space="preserve">2019 г.                          </w:t>
      </w:r>
      <w:r w:rsidRPr="0048363D">
        <w:rPr>
          <w:rFonts w:ascii="Times New Roman" w:eastAsia="Times New Roman" w:hAnsi="Times New Roman" w:cs="Times New Roman"/>
          <w:color w:val="000000"/>
          <w:spacing w:val="-1"/>
          <w:sz w:val="28"/>
          <w:szCs w:val="28"/>
          <w:lang w:eastAsia="ru-RU"/>
        </w:rPr>
        <w:t>№ 1820-ПС/У09 нап</w:t>
      </w:r>
      <w:r w:rsidR="0057231E">
        <w:rPr>
          <w:rFonts w:ascii="Times New Roman" w:eastAsia="Times New Roman" w:hAnsi="Times New Roman" w:cs="Times New Roman"/>
          <w:color w:val="000000"/>
          <w:spacing w:val="-1"/>
          <w:sz w:val="28"/>
          <w:szCs w:val="28"/>
          <w:lang w:eastAsia="ru-RU"/>
        </w:rPr>
        <w:t xml:space="preserve">равило в ФАС России информацию: </w:t>
      </w:r>
      <w:r w:rsidRPr="0048363D">
        <w:rPr>
          <w:rFonts w:ascii="Times New Roman" w:eastAsia="Times New Roman" w:hAnsi="Times New Roman" w:cs="Times New Roman"/>
          <w:color w:val="000000"/>
          <w:spacing w:val="-1"/>
          <w:sz w:val="28"/>
          <w:szCs w:val="28"/>
          <w:lang w:eastAsia="ru-RU"/>
        </w:rPr>
        <w:t>об утверждении плана меропр</w:t>
      </w:r>
      <w:r w:rsidR="0057231E">
        <w:rPr>
          <w:rFonts w:ascii="Times New Roman" w:eastAsia="Times New Roman" w:hAnsi="Times New Roman" w:cs="Times New Roman"/>
          <w:color w:val="000000"/>
          <w:spacing w:val="-1"/>
          <w:sz w:val="28"/>
          <w:szCs w:val="28"/>
          <w:lang w:eastAsia="ru-RU"/>
        </w:rPr>
        <w:t xml:space="preserve">иятий по развитию конкуренции в рыбохозяйственном комплексе, </w:t>
      </w:r>
      <w:r w:rsidRPr="0048363D">
        <w:rPr>
          <w:rFonts w:ascii="Times New Roman" w:eastAsia="Times New Roman" w:hAnsi="Times New Roman" w:cs="Times New Roman"/>
          <w:color w:val="000000"/>
          <w:spacing w:val="-1"/>
          <w:sz w:val="28"/>
          <w:szCs w:val="28"/>
          <w:lang w:eastAsia="ru-RU"/>
        </w:rPr>
        <w:t>об утверждении переч</w:t>
      </w:r>
      <w:r w:rsidR="0057231E">
        <w:rPr>
          <w:rFonts w:ascii="Times New Roman" w:eastAsia="Times New Roman" w:hAnsi="Times New Roman" w:cs="Times New Roman"/>
          <w:color w:val="000000"/>
          <w:spacing w:val="-1"/>
          <w:sz w:val="28"/>
          <w:szCs w:val="28"/>
          <w:lang w:eastAsia="ru-RU"/>
        </w:rPr>
        <w:t xml:space="preserve">ня показателей, характеризующих </w:t>
      </w:r>
      <w:r w:rsidRPr="0048363D">
        <w:rPr>
          <w:rFonts w:ascii="Times New Roman" w:eastAsia="Times New Roman" w:hAnsi="Times New Roman" w:cs="Times New Roman"/>
          <w:color w:val="000000"/>
          <w:spacing w:val="-1"/>
          <w:sz w:val="28"/>
          <w:szCs w:val="28"/>
          <w:lang w:eastAsia="ru-RU"/>
        </w:rPr>
        <w:t>эффективность закупок товаров, работ, услуг, в том числе подведомственными</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организациями и территориальны</w:t>
      </w:r>
      <w:r w:rsidR="0057231E">
        <w:rPr>
          <w:rFonts w:ascii="Times New Roman" w:eastAsia="Times New Roman" w:hAnsi="Times New Roman" w:cs="Times New Roman"/>
          <w:color w:val="000000"/>
          <w:spacing w:val="-1"/>
          <w:sz w:val="28"/>
          <w:szCs w:val="28"/>
          <w:lang w:eastAsia="ru-RU"/>
        </w:rPr>
        <w:t xml:space="preserve">ми управлениями Росрыболовства, </w:t>
      </w:r>
      <w:r w:rsidRPr="0048363D">
        <w:rPr>
          <w:rFonts w:ascii="Times New Roman" w:eastAsia="Times New Roman" w:hAnsi="Times New Roman" w:cs="Times New Roman"/>
          <w:color w:val="000000"/>
          <w:spacing w:val="-1"/>
          <w:sz w:val="28"/>
          <w:szCs w:val="28"/>
          <w:lang w:eastAsia="ru-RU"/>
        </w:rPr>
        <w:t>о динамике показателей, характ</w:t>
      </w:r>
      <w:r w:rsidR="0057231E">
        <w:rPr>
          <w:rFonts w:ascii="Times New Roman" w:eastAsia="Times New Roman" w:hAnsi="Times New Roman" w:cs="Times New Roman"/>
          <w:color w:val="000000"/>
          <w:spacing w:val="-1"/>
          <w:sz w:val="28"/>
          <w:szCs w:val="28"/>
          <w:lang w:eastAsia="ru-RU"/>
        </w:rPr>
        <w:t xml:space="preserve">еризующих эффективность закупок </w:t>
      </w:r>
      <w:r w:rsidRPr="0048363D">
        <w:rPr>
          <w:rFonts w:ascii="Times New Roman" w:eastAsia="Times New Roman" w:hAnsi="Times New Roman" w:cs="Times New Roman"/>
          <w:color w:val="000000"/>
          <w:spacing w:val="-1"/>
          <w:sz w:val="28"/>
          <w:szCs w:val="28"/>
          <w:lang w:eastAsia="ru-RU"/>
        </w:rPr>
        <w:t>товаров, работ, услуг, осущес</w:t>
      </w:r>
      <w:r w:rsidR="0057231E">
        <w:rPr>
          <w:rFonts w:ascii="Times New Roman" w:eastAsia="Times New Roman" w:hAnsi="Times New Roman" w:cs="Times New Roman"/>
          <w:color w:val="000000"/>
          <w:spacing w:val="-1"/>
          <w:sz w:val="28"/>
          <w:szCs w:val="28"/>
          <w:lang w:eastAsia="ru-RU"/>
        </w:rPr>
        <w:t xml:space="preserve">твленных Росрыболовством, и его </w:t>
      </w:r>
      <w:r w:rsidRPr="0048363D">
        <w:rPr>
          <w:rFonts w:ascii="Times New Roman" w:eastAsia="Times New Roman" w:hAnsi="Times New Roman" w:cs="Times New Roman"/>
          <w:color w:val="000000"/>
          <w:spacing w:val="-1"/>
          <w:sz w:val="28"/>
          <w:szCs w:val="28"/>
          <w:lang w:eastAsia="ru-RU"/>
        </w:rPr>
        <w:t>подведомственными организациями, территориальными управ</w:t>
      </w:r>
      <w:r w:rsidR="0057231E">
        <w:rPr>
          <w:rFonts w:ascii="Times New Roman" w:eastAsia="Times New Roman" w:hAnsi="Times New Roman" w:cs="Times New Roman"/>
          <w:color w:val="000000"/>
          <w:spacing w:val="-1"/>
          <w:sz w:val="28"/>
          <w:szCs w:val="28"/>
          <w:lang w:eastAsia="ru-RU"/>
        </w:rPr>
        <w:t xml:space="preserve">лениями </w:t>
      </w:r>
      <w:r w:rsidRPr="0048363D">
        <w:rPr>
          <w:rFonts w:ascii="Times New Roman" w:eastAsia="Times New Roman" w:hAnsi="Times New Roman" w:cs="Times New Roman"/>
          <w:color w:val="000000"/>
          <w:spacing w:val="-1"/>
          <w:sz w:val="28"/>
          <w:szCs w:val="28"/>
          <w:lang w:eastAsia="ru-RU"/>
        </w:rPr>
        <w:t>за III-IV кварталы 2018 года.</w:t>
      </w:r>
    </w:p>
    <w:p w14:paraId="44D6A644"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Принятыми нормативными правов</w:t>
      </w:r>
      <w:r w:rsidR="0057231E">
        <w:rPr>
          <w:rFonts w:ascii="Times New Roman" w:eastAsia="Times New Roman" w:hAnsi="Times New Roman" w:cs="Times New Roman"/>
          <w:color w:val="000000"/>
          <w:spacing w:val="-1"/>
          <w:sz w:val="28"/>
          <w:szCs w:val="28"/>
          <w:lang w:eastAsia="ru-RU"/>
        </w:rPr>
        <w:t xml:space="preserve">ыми актами и проектами правовых </w:t>
      </w:r>
      <w:r w:rsidRPr="0048363D">
        <w:rPr>
          <w:rFonts w:ascii="Times New Roman" w:eastAsia="Times New Roman" w:hAnsi="Times New Roman" w:cs="Times New Roman"/>
          <w:color w:val="000000"/>
          <w:spacing w:val="-1"/>
          <w:sz w:val="28"/>
          <w:szCs w:val="28"/>
          <w:lang w:eastAsia="ru-RU"/>
        </w:rPr>
        <w:t>актов вводятся экономические рыча</w:t>
      </w:r>
      <w:r w:rsidR="0057231E">
        <w:rPr>
          <w:rFonts w:ascii="Times New Roman" w:eastAsia="Times New Roman" w:hAnsi="Times New Roman" w:cs="Times New Roman"/>
          <w:color w:val="000000"/>
          <w:spacing w:val="-1"/>
          <w:sz w:val="28"/>
          <w:szCs w:val="28"/>
          <w:lang w:eastAsia="ru-RU"/>
        </w:rPr>
        <w:t xml:space="preserve">ги и механизмы, направленные на </w:t>
      </w:r>
      <w:r w:rsidRPr="0048363D">
        <w:rPr>
          <w:rFonts w:ascii="Times New Roman" w:eastAsia="Times New Roman" w:hAnsi="Times New Roman" w:cs="Times New Roman"/>
          <w:color w:val="000000"/>
          <w:spacing w:val="-1"/>
          <w:sz w:val="28"/>
          <w:szCs w:val="28"/>
          <w:lang w:eastAsia="ru-RU"/>
        </w:rPr>
        <w:t>повышение эффективности использования водных биоресурсов, а также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необходимость долгосрочного инвестирования пользователем в свой бизнес с</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целью эффективного освоения предоставленных ему объемов вылова водных</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биоресурсов за счет строительст</w:t>
      </w:r>
      <w:r w:rsidR="0057231E">
        <w:rPr>
          <w:rFonts w:ascii="Times New Roman" w:eastAsia="Times New Roman" w:hAnsi="Times New Roman" w:cs="Times New Roman"/>
          <w:color w:val="000000"/>
          <w:spacing w:val="-1"/>
          <w:sz w:val="28"/>
          <w:szCs w:val="28"/>
          <w:lang w:eastAsia="ru-RU"/>
        </w:rPr>
        <w:t xml:space="preserve">ва судов рыбопромыслового флота </w:t>
      </w:r>
      <w:r w:rsidRPr="0048363D">
        <w:rPr>
          <w:rFonts w:ascii="Times New Roman" w:eastAsia="Times New Roman" w:hAnsi="Times New Roman" w:cs="Times New Roman"/>
          <w:color w:val="000000"/>
          <w:spacing w:val="-1"/>
          <w:sz w:val="28"/>
          <w:szCs w:val="28"/>
          <w:lang w:eastAsia="ru-RU"/>
        </w:rPr>
        <w:t>и предприятий переработки рыбной про</w:t>
      </w:r>
      <w:r w:rsidR="0057231E">
        <w:rPr>
          <w:rFonts w:ascii="Times New Roman" w:eastAsia="Times New Roman" w:hAnsi="Times New Roman" w:cs="Times New Roman"/>
          <w:color w:val="000000"/>
          <w:spacing w:val="-1"/>
          <w:sz w:val="28"/>
          <w:szCs w:val="28"/>
          <w:lang w:eastAsia="ru-RU"/>
        </w:rPr>
        <w:t xml:space="preserve">дукции. Это приведет к созданию </w:t>
      </w:r>
      <w:r w:rsidRPr="0048363D">
        <w:rPr>
          <w:rFonts w:ascii="Times New Roman" w:eastAsia="Times New Roman" w:hAnsi="Times New Roman" w:cs="Times New Roman"/>
          <w:color w:val="000000"/>
          <w:spacing w:val="-1"/>
          <w:sz w:val="28"/>
          <w:szCs w:val="28"/>
          <w:lang w:eastAsia="ru-RU"/>
        </w:rPr>
        <w:t>благоприятных условий для развити</w:t>
      </w:r>
      <w:r w:rsidR="0057231E">
        <w:rPr>
          <w:rFonts w:ascii="Times New Roman" w:eastAsia="Times New Roman" w:hAnsi="Times New Roman" w:cs="Times New Roman"/>
          <w:color w:val="000000"/>
          <w:spacing w:val="-1"/>
          <w:sz w:val="28"/>
          <w:szCs w:val="28"/>
          <w:lang w:eastAsia="ru-RU"/>
        </w:rPr>
        <w:t xml:space="preserve">я рыбохозяйственного комплекса, </w:t>
      </w:r>
      <w:r w:rsidRPr="0048363D">
        <w:rPr>
          <w:rFonts w:ascii="Times New Roman" w:eastAsia="Times New Roman" w:hAnsi="Times New Roman" w:cs="Times New Roman"/>
          <w:color w:val="000000"/>
          <w:spacing w:val="-1"/>
          <w:sz w:val="28"/>
          <w:szCs w:val="28"/>
          <w:lang w:eastAsia="ru-RU"/>
        </w:rPr>
        <w:t>обеспечения конкурентоспособности российской рыбной продукции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внутреннем и внешнем рынках.</w:t>
      </w:r>
    </w:p>
    <w:p w14:paraId="79B56367"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p>
    <w:p w14:paraId="3EB36B6B" w14:textId="77777777" w:rsidR="0048363D" w:rsidRPr="005237FF" w:rsidRDefault="0048363D" w:rsidP="005237FF">
      <w:pPr>
        <w:pStyle w:val="a5"/>
        <w:spacing w:after="0" w:line="240" w:lineRule="auto"/>
        <w:ind w:left="0" w:firstLine="709"/>
        <w:jc w:val="both"/>
        <w:outlineLvl w:val="1"/>
        <w:rPr>
          <w:rFonts w:ascii="Times New Roman" w:hAnsi="Times New Roman" w:cs="Times New Roman"/>
          <w:sz w:val="28"/>
          <w:szCs w:val="28"/>
          <w:lang w:eastAsia="ru-RU"/>
        </w:rPr>
      </w:pPr>
    </w:p>
    <w:p w14:paraId="042CAB3C" w14:textId="729DF184" w:rsidR="0048363D" w:rsidRPr="005237FF" w:rsidRDefault="005237FF" w:rsidP="00BB7A44">
      <w:pPr>
        <w:pStyle w:val="2"/>
        <w:numPr>
          <w:ilvl w:val="1"/>
          <w:numId w:val="69"/>
        </w:numPr>
      </w:pPr>
      <w:bookmarkStart w:id="2079" w:name="_Toc7448068"/>
      <w:r w:rsidRPr="005237FF">
        <w:t>Федеральная таможенная служба</w:t>
      </w:r>
      <w:bookmarkEnd w:id="2079"/>
    </w:p>
    <w:p w14:paraId="40B1DB96" w14:textId="77777777" w:rsidR="0048363D" w:rsidRPr="0048363D" w:rsidRDefault="0048363D" w:rsidP="0048363D">
      <w:pPr>
        <w:rPr>
          <w:lang w:eastAsia="ru-RU"/>
        </w:rPr>
      </w:pPr>
    </w:p>
    <w:p w14:paraId="0241EB94" w14:textId="77777777" w:rsidR="0048363D" w:rsidRPr="0048363D" w:rsidRDefault="0048363D" w:rsidP="0048363D">
      <w:pPr>
        <w:rPr>
          <w:lang w:eastAsia="ru-RU"/>
        </w:rPr>
      </w:pPr>
    </w:p>
    <w:p w14:paraId="35F73753"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Информация о достигнутых результатах</w:t>
      </w:r>
    </w:p>
    <w:p w14:paraId="68124B96"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по снижению административных барьеров для осуществления</w:t>
      </w:r>
    </w:p>
    <w:p w14:paraId="20EAA192"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внешнеэкономической деятельности и создания равных конкурентных</w:t>
      </w:r>
    </w:p>
    <w:p w14:paraId="64451CFA" w14:textId="77777777" w:rsidR="005237FF" w:rsidRDefault="005237FF" w:rsidP="005237FF">
      <w:pPr>
        <w:spacing w:after="0" w:line="228" w:lineRule="auto"/>
        <w:jc w:val="center"/>
        <w:rPr>
          <w:rFonts w:ascii="Times New Roman" w:hAnsi="Times New Roman" w:cs="Times New Roman"/>
          <w:sz w:val="28"/>
          <w:szCs w:val="28"/>
        </w:rPr>
      </w:pPr>
      <w:r w:rsidRPr="00F94439">
        <w:rPr>
          <w:rFonts w:ascii="Times New Roman" w:hAnsi="Times New Roman" w:cs="Times New Roman"/>
          <w:b/>
          <w:sz w:val="28"/>
          <w:szCs w:val="28"/>
        </w:rPr>
        <w:t>условий для ведения бизнеса</w:t>
      </w:r>
    </w:p>
    <w:p w14:paraId="4A7592D6" w14:textId="77777777" w:rsidR="005237FF" w:rsidRPr="00F75919" w:rsidRDefault="005237FF" w:rsidP="005237FF">
      <w:pPr>
        <w:spacing w:after="0" w:line="240" w:lineRule="auto"/>
        <w:jc w:val="center"/>
        <w:rPr>
          <w:rFonts w:ascii="Times New Roman" w:hAnsi="Times New Roman" w:cs="Times New Roman"/>
          <w:sz w:val="16"/>
          <w:szCs w:val="16"/>
        </w:rPr>
      </w:pPr>
    </w:p>
    <w:p w14:paraId="1B8F0AC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ФТС  России на протяжении последних лет реализован комплекс мероприятий по совершенствованию таможенного администрирования, </w:t>
      </w:r>
      <w:r w:rsidRPr="00571486">
        <w:rPr>
          <w:rFonts w:ascii="Times New Roman" w:hAnsi="Times New Roman" w:cs="Times New Roman"/>
          <w:sz w:val="28"/>
          <w:szCs w:val="28"/>
        </w:rPr>
        <w:br/>
        <w:t>в том числе за счет внедрения перспективных информационных таможенных технологий, в результате применения которых обеспечивается содействие созданию благоприятных условий для развития и интенсификации внешнеэкономической деятельности (далее – ВЭД) и минимизации издержек участников ВЭД, повышения качества предоставляемых государственных услуг в области таможенного дела, создания равных конкурентных условий для ведения бизнеса.</w:t>
      </w:r>
    </w:p>
    <w:p w14:paraId="599DA23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Проведенная работа позволила обеспечить в 2018 году сокращение </w:t>
      </w:r>
      <w:r w:rsidRPr="00571486">
        <w:rPr>
          <w:rFonts w:ascii="Times New Roman" w:hAnsi="Times New Roman" w:cs="Times New Roman"/>
          <w:sz w:val="28"/>
          <w:szCs w:val="28"/>
        </w:rPr>
        <w:br/>
        <w:t xml:space="preserve">времени прохождения таможенных операций в отношении товаров, которые </w:t>
      </w:r>
      <w:r w:rsidRPr="00571486">
        <w:rPr>
          <w:rFonts w:ascii="Times New Roman" w:hAnsi="Times New Roman" w:cs="Times New Roman"/>
          <w:sz w:val="28"/>
          <w:szCs w:val="28"/>
        </w:rPr>
        <w:br/>
        <w:t xml:space="preserve">не идентифицированы как рисковые поставки, требующие дополнительной проверки, до 1 часа 21 минуты при импорте (в 2017 году – 1 час 31 минута) </w:t>
      </w:r>
      <w:r w:rsidRPr="00571486">
        <w:rPr>
          <w:rFonts w:ascii="Times New Roman" w:hAnsi="Times New Roman" w:cs="Times New Roman"/>
          <w:sz w:val="28"/>
          <w:szCs w:val="28"/>
        </w:rPr>
        <w:br/>
        <w:t>и до 41 минуты при экспорте (в 2017 году – 46 минут).</w:t>
      </w:r>
    </w:p>
    <w:p w14:paraId="0F646EE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 основным достижениям в области таможенного администрирования </w:t>
      </w:r>
      <w:r w:rsidRPr="00571486">
        <w:rPr>
          <w:rFonts w:ascii="Times New Roman" w:hAnsi="Times New Roman" w:cs="Times New Roman"/>
          <w:sz w:val="28"/>
          <w:szCs w:val="28"/>
        </w:rPr>
        <w:br/>
        <w:t>в 2018 году можно отнести следующие.</w:t>
      </w:r>
    </w:p>
    <w:p w14:paraId="1B0018E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 Развитие института предварительного информирования таможенных органов о товарах, ввозимых на таможенную территорию Евразийского экономического союза (далее – ЕАЭС).</w:t>
      </w:r>
    </w:p>
    <w:p w14:paraId="6DC7D5C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Введение обязательного предварительного информирования таможенных органов о товарах, ввозимых на таможенную территорию ЕАЭС, является ключевым инструментом для минимизации случаев применения дополнительного контроля со стороны таможенных органов.</w:t>
      </w:r>
    </w:p>
    <w:p w14:paraId="2660B27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реализации положений Таможенного кодекса Евразийского экономического союза (далее – ТК ЕАЭС) при непосредственном участии </w:t>
      </w:r>
      <w:r w:rsidRPr="00571486">
        <w:rPr>
          <w:rFonts w:ascii="Times New Roman" w:hAnsi="Times New Roman" w:cs="Times New Roman"/>
          <w:sz w:val="28"/>
          <w:szCs w:val="28"/>
        </w:rPr>
        <w:br/>
        <w:t xml:space="preserve">ФТС России разработаны и в 2018 году приняты решения Коллегии </w:t>
      </w:r>
      <w:r w:rsidRPr="00571486">
        <w:rPr>
          <w:rFonts w:ascii="Times New Roman" w:hAnsi="Times New Roman" w:cs="Times New Roman"/>
          <w:sz w:val="28"/>
          <w:szCs w:val="28"/>
        </w:rPr>
        <w:br/>
        <w:t>Евразийской экономической комиссии об утверждении порядков представления предварительной информации о товарах, предполагаемых к ввозу на таможенную территорию ЕАЭС автомобильным, железнодорожным, авиационным и морским транспортом, о порядке регистрации предварительной информации, о соответствующих структурах и форматах электронных документов. Указанные решения вступят в силу с 1 июля 2019 года.</w:t>
      </w:r>
    </w:p>
    <w:p w14:paraId="66AB7F9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2. Применение технологий автоматической регистрации деклараций на товары и автоматического выпуска товаров.</w:t>
      </w:r>
    </w:p>
    <w:p w14:paraId="5C4A56B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Успешно внедрены и применяются технологии автоматической регистрации деклараций на товары (далее – ДТ) и автоматического выпуска товаров, позволяющие существенно сократить время совершения таможенных операций и исключить влияние человеческого фактора на принятие решения.</w:t>
      </w:r>
    </w:p>
    <w:p w14:paraId="2AEE61C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данная технология применяется на всех таможенных постах, правомочных на совершение таможенных операций, связанных </w:t>
      </w:r>
      <w:r w:rsidRPr="00571486">
        <w:rPr>
          <w:rFonts w:ascii="Times New Roman" w:hAnsi="Times New Roman" w:cs="Times New Roman"/>
          <w:sz w:val="28"/>
          <w:szCs w:val="28"/>
        </w:rPr>
        <w:br/>
        <w:t xml:space="preserve">с регистрацией ДТ. Автоматический выпуск товаров применяется </w:t>
      </w:r>
      <w:r w:rsidRPr="00571486">
        <w:rPr>
          <w:rFonts w:ascii="Times New Roman" w:hAnsi="Times New Roman" w:cs="Times New Roman"/>
          <w:sz w:val="28"/>
          <w:szCs w:val="28"/>
        </w:rPr>
        <w:br/>
        <w:t xml:space="preserve">при декларировании товаров участниками ВЭД низкого уровня риска нарушения таможенного законодательства в соответствии с таможенными процедурами экспорта, выпуска для внутреннего потребления и свободной таможенной зоны. </w:t>
      </w:r>
    </w:p>
    <w:p w14:paraId="162B112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 России планомерно проводит работу по совершенствованию указанной технологии и ее распространению на новые особенности декларирования товаров, что позволило в 2018 году увеличить долю ДТ, выпущенных в автоматическом режиме, и достичь показателей, предусмотренных Комплексной программой развития ФТС  России до 2020 года, утвержденной приказом ФТС России от 27 июня 2017 г. № 1065:</w:t>
      </w:r>
    </w:p>
    <w:p w14:paraId="0D3EB00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зарегистрировано более 1,8 млн. ДТ (почти в 1,9 раза превышает показатель 2017 года – более 960 тыс. ДТ);</w:t>
      </w:r>
    </w:p>
    <w:p w14:paraId="38F4F89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выпущено более 323 тыс. ДТ (в 3,8 раза превышает показатель 2017 года –более 84 тыс. ДТ).</w:t>
      </w:r>
    </w:p>
    <w:p w14:paraId="28F12A6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Среднее время автоматической регистрации ДТ не превышает 3 минут, </w:t>
      </w:r>
      <w:r w:rsidRPr="00571486">
        <w:rPr>
          <w:rFonts w:ascii="Times New Roman" w:hAnsi="Times New Roman" w:cs="Times New Roman"/>
          <w:sz w:val="28"/>
          <w:szCs w:val="28"/>
        </w:rPr>
        <w:br/>
        <w:t>а автоматического выпуска товаров – 5 минут.</w:t>
      </w:r>
    </w:p>
    <w:p w14:paraId="46F43C5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Проведенная работа по расширению практики применения технологий автоматического совершения операций позволила достичь следующих показателей:</w:t>
      </w:r>
    </w:p>
    <w:p w14:paraId="22BC5CD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экспортируемые товары – 82,8%;</w:t>
      </w:r>
    </w:p>
    <w:p w14:paraId="2F420ED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импортируемые товары – 36,2%;</w:t>
      </w:r>
    </w:p>
    <w:p w14:paraId="143F9E6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экспортируемые товары, поданных участниками ВЭД низкого уровня риска, – 46,9%;</w:t>
      </w:r>
    </w:p>
    <w:p w14:paraId="67ABAE0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импортируемые товары, поданных участниками ВЭД низкого уровня риска, – 26,6%.</w:t>
      </w:r>
    </w:p>
    <w:p w14:paraId="404024A0"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3. Обеспечение возможности удаленного выпуска товаров.</w:t>
      </w:r>
    </w:p>
    <w:p w14:paraId="77C9DF0B" w14:textId="77777777" w:rsid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Получила дальнейшее развитие технолог</w:t>
      </w:r>
      <w:r w:rsidR="00571486">
        <w:rPr>
          <w:rFonts w:ascii="Times New Roman" w:hAnsi="Times New Roman" w:cs="Times New Roman"/>
          <w:sz w:val="28"/>
          <w:szCs w:val="28"/>
        </w:rPr>
        <w:t xml:space="preserve">ия удаленного выпуска товаров. </w:t>
      </w:r>
    </w:p>
    <w:p w14:paraId="167EAFC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отношении организаций, чья деятельность характеризуется низким уровнем риска нарушения таможенного законодательства, реализована возможность подачи ДТ в любой таможенный орган вне зависимости от места нахождения товаров.</w:t>
      </w:r>
    </w:p>
    <w:p w14:paraId="152ACFE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 применением технологии удаленного выпуска в 2018 году оформлено </w:t>
      </w:r>
      <w:r w:rsidRPr="00571486">
        <w:rPr>
          <w:rFonts w:ascii="Times New Roman" w:hAnsi="Times New Roman" w:cs="Times New Roman"/>
          <w:sz w:val="28"/>
          <w:szCs w:val="28"/>
        </w:rPr>
        <w:br/>
        <w:t>1,8 млн. ДТ, что составляет 39,2% от общего количества зарегистрированных ДТ (в 2017 году – 1,2 млн. ДТ или 28%).</w:t>
      </w:r>
    </w:p>
    <w:p w14:paraId="2676532B"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4. Развитие технологии электронного транзита.</w:t>
      </w:r>
    </w:p>
    <w:p w14:paraId="24615D5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Мероприятия по внедрению технологии электронного декларирования процедуры таможенного транзита осуществлялись в рамках реализации приказа Минфина России от 30 августа 2016 г. № 144н «Об утверждении порядка использования Единой автоматизированной информационной системы таможенных органов при таможенном контр</w:t>
      </w:r>
      <w:r w:rsidR="00571486">
        <w:rPr>
          <w:rFonts w:ascii="Times New Roman" w:hAnsi="Times New Roman" w:cs="Times New Roman"/>
          <w:sz w:val="28"/>
          <w:szCs w:val="28"/>
        </w:rPr>
        <w:t xml:space="preserve">оле, таможенном декларировании </w:t>
      </w:r>
      <w:r w:rsidRPr="00571486">
        <w:rPr>
          <w:rFonts w:ascii="Times New Roman" w:hAnsi="Times New Roman" w:cs="Times New Roman"/>
          <w:sz w:val="28"/>
          <w:szCs w:val="28"/>
        </w:rPr>
        <w:t>и выпуске (отказе в выпуске) товаров, помещаемых под таможенную процедуру таможенного транзита, в электронной форме».</w:t>
      </w:r>
    </w:p>
    <w:p w14:paraId="46464F0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электронного декларирования процедуры таможенного транзита способствует сокращению времени оформления товаров и упрощению совершения таможенных операций.</w:t>
      </w:r>
    </w:p>
    <w:p w14:paraId="1251E45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Безусловными преимуществами технологии электронного декларирования процедуры транзита являются однократность представления электронных документов (транспортных, перевозочных, коммерческих и иных документов), которые могут использоваться на всех этапах совершения таможенных операций от момента прибытия товаров в пункт пропуска до их выпуска в таможенном органе назначения, а также возможность предварительного декларирования процедуры транзита товаров, то есть до их фактического ввоза на территорию Российской Федерации. Взаимодействие таможенных органов и заинтересованных лиц в электронной форме позволяет обеспечить оперативность и прозрачность таможенных процессов.</w:t>
      </w:r>
    </w:p>
    <w:p w14:paraId="6AB24EB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технологии электронного декларирования позволило оформить за 2018 год порядка 940 тыс. электронных транзитных деклараций, что составляет 98,8% от общего количества оформленных транзитных деклараций  (в 2017 году оформлено 614 тыс. электронных транзитных деклараций, что составило 60,8% от общего количества оформленных транзитных деклараций).</w:t>
      </w:r>
    </w:p>
    <w:p w14:paraId="5582FCF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марта 2017 года обеспечена возможность применения предварительного декларирования процедуры транзита до прибытия товаров в пункты пропуска через государственную границу Российской Федерации (за 30 дней).</w:t>
      </w:r>
    </w:p>
    <w:p w14:paraId="1D2FE0A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таможенными органами оформлено 52 066 предварительных транзитных деклараций, что более чем в 6,5 раза превышает количество оформленных предварительных транзитных деклараций в 2017 году (7 711 предварительных транзитных деклараций).</w:t>
      </w:r>
    </w:p>
    <w:p w14:paraId="50C96A3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2019 году после необходимой доработки программных средств планируется приступить к поэтапной реализации технологии автоматической регистрации транзитных деклараций. При этом тестирование упомянутой технологии будет осуществляться на объектах пилотной зоны.</w:t>
      </w:r>
    </w:p>
    <w:p w14:paraId="59FC7EC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5. Реализация элементов механизма «единого окна» с использованием комплекса программных средств «</w:t>
      </w:r>
      <w:r w:rsidR="00571486">
        <w:rPr>
          <w:rFonts w:ascii="Times New Roman" w:hAnsi="Times New Roman" w:cs="Times New Roman"/>
          <w:b/>
          <w:sz w:val="28"/>
          <w:szCs w:val="28"/>
        </w:rPr>
        <w:t xml:space="preserve">Портал «Морской порт» (далее – </w:t>
      </w:r>
      <w:r w:rsidRPr="00571486">
        <w:rPr>
          <w:rFonts w:ascii="Times New Roman" w:hAnsi="Times New Roman" w:cs="Times New Roman"/>
          <w:b/>
          <w:sz w:val="28"/>
          <w:szCs w:val="28"/>
        </w:rPr>
        <w:t>КПС «Портал «Морской порт»).</w:t>
      </w:r>
    </w:p>
    <w:p w14:paraId="46982D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8 апреля 2016 г. № 704 </w:t>
      </w:r>
      <w:r w:rsidRPr="00571486">
        <w:rPr>
          <w:rFonts w:ascii="Times New Roman" w:hAnsi="Times New Roman" w:cs="Times New Roman"/>
          <w:sz w:val="28"/>
          <w:szCs w:val="28"/>
        </w:rPr>
        <w:br/>
        <w:t xml:space="preserve">«О поэтапном внедрении в таможенных органах комплекса программных средств «Портал взаимодействия государственных контрольных органов </w:t>
      </w:r>
      <w:r w:rsidRPr="00571486">
        <w:rPr>
          <w:rFonts w:ascii="Times New Roman" w:hAnsi="Times New Roman" w:cs="Times New Roman"/>
          <w:sz w:val="28"/>
          <w:szCs w:val="28"/>
        </w:rPr>
        <w:br/>
        <w:t>и заинтересованных лиц в процессе оформления товаров и транспортных средств в морских пунктах пропуска» (с изменениями, внесенными приказом ФТС России от 16 октября 2017 г. № 1651) обеспечено использование КПС «Портал Морской порт» всеми таможенными орга</w:t>
      </w:r>
      <w:r w:rsidR="00571486">
        <w:rPr>
          <w:rFonts w:ascii="Times New Roman" w:hAnsi="Times New Roman" w:cs="Times New Roman"/>
          <w:sz w:val="28"/>
          <w:szCs w:val="28"/>
        </w:rPr>
        <w:t xml:space="preserve">нами, обладающими компетенцией </w:t>
      </w:r>
      <w:r w:rsidRPr="00571486">
        <w:rPr>
          <w:rFonts w:ascii="Times New Roman" w:hAnsi="Times New Roman" w:cs="Times New Roman"/>
          <w:sz w:val="28"/>
          <w:szCs w:val="28"/>
        </w:rPr>
        <w:t>по совершению таможенных операций в отношении товаров и транспортных средств в морских, речных и смешанных пунктах пропуска.</w:t>
      </w:r>
    </w:p>
    <w:p w14:paraId="571C0A3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Издано распоряжение Правительства Российской Федерации от 21 июля 2018 г. № 1506-р «О внесении изменений в распоряжение Правительства Российской Федерации от 19 сентября 2016 г. № 1981-р» в части включения </w:t>
      </w:r>
      <w:r w:rsidRPr="00571486">
        <w:rPr>
          <w:rFonts w:ascii="Times New Roman" w:hAnsi="Times New Roman" w:cs="Times New Roman"/>
          <w:sz w:val="28"/>
          <w:szCs w:val="28"/>
        </w:rPr>
        <w:br/>
        <w:t xml:space="preserve">в него требований об использовании КПС «Портал Морской порт» государственными контрольными органами и администрациями портов </w:t>
      </w:r>
      <w:r w:rsidRPr="00571486">
        <w:rPr>
          <w:rFonts w:ascii="Times New Roman" w:hAnsi="Times New Roman" w:cs="Times New Roman"/>
          <w:sz w:val="28"/>
          <w:szCs w:val="28"/>
        </w:rPr>
        <w:br/>
        <w:t>при осуществлении своих функций, в том числе в речных (озерных) и смешанных пунктах пропуска через государственную границу Российской Федерации.</w:t>
      </w:r>
    </w:p>
    <w:p w14:paraId="69C1338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реализован и применяется во всех таможенных органах, администрирующих морские, речные (озерные) пункты пропуска, механизм коллективного использования пакета документов на водное судно </w:t>
      </w:r>
      <w:r w:rsidRPr="00571486">
        <w:rPr>
          <w:rFonts w:ascii="Times New Roman" w:hAnsi="Times New Roman" w:cs="Times New Roman"/>
          <w:sz w:val="28"/>
          <w:szCs w:val="28"/>
        </w:rPr>
        <w:br/>
        <w:t xml:space="preserve">и перемещаемые им товары, однократно поданного заинтересованным лицом </w:t>
      </w:r>
      <w:r w:rsidRPr="00571486">
        <w:rPr>
          <w:rFonts w:ascii="Times New Roman" w:hAnsi="Times New Roman" w:cs="Times New Roman"/>
          <w:sz w:val="28"/>
          <w:szCs w:val="28"/>
        </w:rPr>
        <w:br/>
        <w:t>в таможенный орган. Пакет документов становится доступным государственным контролирующим органам (ФТС России, Россельхознадзор, Роспотребнадзор, Пограничная служба ФСБ России). Решения государственных органов доводятся в электронной форме до заинтересованных лиц.</w:t>
      </w:r>
    </w:p>
    <w:p w14:paraId="33E1AC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КПС «Портал Морской порт» обеспечивает оформление судозаходов </w:t>
      </w:r>
      <w:r w:rsidRPr="00571486">
        <w:rPr>
          <w:rFonts w:ascii="Times New Roman" w:hAnsi="Times New Roman" w:cs="Times New Roman"/>
          <w:sz w:val="28"/>
          <w:szCs w:val="28"/>
        </w:rPr>
        <w:br/>
        <w:t>в электронном виде без представления документов на бумажных носителях.</w:t>
      </w:r>
    </w:p>
    <w:p w14:paraId="73B43B31"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6. Совершенствование уплаты таможенных платежей, в том числе реализация следующих возможностей.</w:t>
      </w:r>
    </w:p>
    <w:p w14:paraId="644FB5F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в таможенных органах проводится масштабная работа по реализации технологии администрирования денежных средств </w:t>
      </w:r>
      <w:r w:rsidRPr="00571486">
        <w:rPr>
          <w:rFonts w:ascii="Times New Roman" w:hAnsi="Times New Roman" w:cs="Times New Roman"/>
          <w:sz w:val="28"/>
          <w:szCs w:val="28"/>
        </w:rPr>
        <w:br/>
        <w:t xml:space="preserve">с использованием единого ресурса лицевых счетов плательщиков таможенных пошлин, налогов, открытых на уровне ФТС России (далее – ресурс ЕЛС), которая позволяет плательщику использовать уплаченные денежные средства </w:t>
      </w:r>
      <w:r w:rsidRPr="00571486">
        <w:rPr>
          <w:rFonts w:ascii="Times New Roman" w:hAnsi="Times New Roman" w:cs="Times New Roman"/>
          <w:sz w:val="28"/>
          <w:szCs w:val="28"/>
        </w:rPr>
        <w:br/>
        <w:t>при совершении таможенных операций вне зависимости от того, в какой таможенный орган подана ДТ.</w:t>
      </w:r>
    </w:p>
    <w:p w14:paraId="6105C06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Дополнительным преимуществом централизованного учета таможенных и иных платежей, оказывающим влияние на комфортность ведения бизнеса в сфере таможенного регулирования, является исключение необходимости осуществления возврата авансовых платежей для обеспечения возможности использования их в другом таможенном органе.</w:t>
      </w:r>
    </w:p>
    <w:p w14:paraId="34B2A47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Апробация данной технологии начата еще в 2016 году. </w:t>
      </w:r>
    </w:p>
    <w:p w14:paraId="445CC89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 состоянию на 31 декабря 2018 года на уровне ФТС России открыто </w:t>
      </w:r>
      <w:r w:rsidRPr="00571486">
        <w:rPr>
          <w:rFonts w:ascii="Times New Roman" w:hAnsi="Times New Roman" w:cs="Times New Roman"/>
          <w:sz w:val="28"/>
          <w:szCs w:val="28"/>
        </w:rPr>
        <w:br/>
        <w:t>(в соответствии с местом налогового учета) 77 278 ЕЛС.</w:t>
      </w:r>
    </w:p>
    <w:p w14:paraId="368834C1" w14:textId="77777777" w:rsidR="005237FF" w:rsidRPr="00571486" w:rsidRDefault="005237FF" w:rsidP="00571486">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общая сумма денежных средств</w:t>
      </w:r>
      <w:r w:rsidR="00571486">
        <w:rPr>
          <w:rFonts w:ascii="Times New Roman" w:hAnsi="Times New Roman" w:cs="Times New Roman"/>
          <w:sz w:val="28"/>
          <w:szCs w:val="28"/>
        </w:rPr>
        <w:t xml:space="preserve">, уплаченных в счет таможенных </w:t>
      </w:r>
      <w:r w:rsidRPr="00571486">
        <w:rPr>
          <w:rFonts w:ascii="Times New Roman" w:hAnsi="Times New Roman" w:cs="Times New Roman"/>
          <w:sz w:val="28"/>
          <w:szCs w:val="28"/>
        </w:rPr>
        <w:t>и иных платежей юридическими лицами-плательщиками, использующими ресурс ЕЛС, составила 4 577,87 млрд. руб. (74,27% от общей суммы денежных средств, уплаченных плательщиками в отчетный период в счет таможенных и иных платежей).</w:t>
      </w:r>
    </w:p>
    <w:p w14:paraId="225C992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24 августа 2018 г. № 1329 </w:t>
      </w:r>
      <w:r w:rsidRPr="00571486">
        <w:rPr>
          <w:rFonts w:ascii="Times New Roman" w:hAnsi="Times New Roman" w:cs="Times New Roman"/>
          <w:sz w:val="28"/>
          <w:szCs w:val="28"/>
        </w:rPr>
        <w:br/>
        <w:t>«Об апробации администрирования единого ресурса лицевых счетов плательщиков таможенных пошлин, налогов, открытых на уровне ФТС России,</w:t>
      </w:r>
      <w:r w:rsidR="00571486">
        <w:rPr>
          <w:rFonts w:ascii="Times New Roman" w:hAnsi="Times New Roman" w:cs="Times New Roman"/>
          <w:sz w:val="28"/>
          <w:szCs w:val="28"/>
        </w:rPr>
        <w:t xml:space="preserve"> </w:t>
      </w:r>
      <w:r w:rsidRPr="00571486">
        <w:rPr>
          <w:rFonts w:ascii="Times New Roman" w:hAnsi="Times New Roman" w:cs="Times New Roman"/>
          <w:sz w:val="28"/>
          <w:szCs w:val="28"/>
        </w:rPr>
        <w:t xml:space="preserve">с применением комплекса программных средств «Лицевые счета – ЕЛС» всем таможенным представителям открыты лицевые счета в ресурсе ЕЛС и начались мероприятия по поэтапному переводу лицевых счетов участников ВЭД с уровня таможни на уровень ФТС России в зависимости от места налогового учета плательщика таможенных пошлин, налогов. </w:t>
      </w:r>
    </w:p>
    <w:p w14:paraId="556CE44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сентябре-декабре 2018 года успешно осуществлен перевод лицевых счетов юридических лиц на ресурс ЕЛС с учетом места налогового учета плательщика, за исключением плательщиков, состоящих на налоговом учете </w:t>
      </w:r>
      <w:r w:rsidRPr="00571486">
        <w:rPr>
          <w:rFonts w:ascii="Times New Roman" w:hAnsi="Times New Roman" w:cs="Times New Roman"/>
          <w:sz w:val="28"/>
          <w:szCs w:val="28"/>
        </w:rPr>
        <w:br/>
        <w:t>в Москве (ИНН начинается с 77, 97, 99), Санкт-Петербурге (78), в областях Московской (50) и Ленинградской (47). Для указанных юридических лиц масштабный перевод на ресурс ЕЛС был осуществлен 10 и 16 февраля 2019 года.</w:t>
      </w:r>
    </w:p>
    <w:p w14:paraId="4D7E79F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Ранее для данной категории участников ВЭД, изъявивших желание открыть ЕЛС в ресурсе ЕЛС, был предусмотрен заявительный порядок их открытия.</w:t>
      </w:r>
    </w:p>
    <w:p w14:paraId="0818FFF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Также в целях развития коммуникации с участниками ВЭД в электронном виде совершенствуется автоматизированная система «Личный кабинет участника ВЭД» (далее – АС «Личный кабинет участника ВЭД»), который включает в себя также информационный сервис «Лицевой счет».</w:t>
      </w:r>
    </w:p>
    <w:p w14:paraId="421FC8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Данный информационный сервис позволяет плательщику таможенных пошлин, налогов получать информацию о состоянии его лицевого счета в режиме времени, близком к реальному, в том числе об остатках авансовых платежей. Оперативное получение плательщиками данной информации непосредственно перед таможенным декларированием позволяет использовать ее при заполнении ДТ, что минимизирует случаи отказа в выпуске в связи с отсутствием денежных средств.</w:t>
      </w:r>
    </w:p>
    <w:p w14:paraId="5851F0DA"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7. Предоставление государственной услуги ведения реестра таможенных представителей.</w:t>
      </w:r>
    </w:p>
    <w:p w14:paraId="5A91BE7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автоматизированной информационной системе центрального реестра субъектов внешнеэкономической деятельности, входящей в Единую автоматизированную информационную систему таможенных органов (далее –АИС «ЦРСВЭД»), реализована возможность приема и обработки заявлений </w:t>
      </w:r>
      <w:r w:rsidRPr="00571486">
        <w:rPr>
          <w:rFonts w:ascii="Times New Roman" w:hAnsi="Times New Roman" w:cs="Times New Roman"/>
          <w:sz w:val="28"/>
          <w:szCs w:val="28"/>
        </w:rPr>
        <w:br/>
        <w:t xml:space="preserve">на предоставление государственных услуг ведения реестра таможенных представителей, направленных в ФТС  России в электронном виде </w:t>
      </w:r>
      <w:r w:rsidRPr="00571486">
        <w:rPr>
          <w:rFonts w:ascii="Times New Roman" w:hAnsi="Times New Roman" w:cs="Times New Roman"/>
          <w:sz w:val="28"/>
          <w:szCs w:val="28"/>
        </w:rPr>
        <w:br/>
        <w:t>с использованием федеральной государственной информационной системы «Единый портал государственных и муниципальных услуг (функций)» (далее – ЕПГУ).</w:t>
      </w:r>
    </w:p>
    <w:p w14:paraId="24451B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Информация о возможности и преимуществах получения государственной услуги ведения реестра таможенных представителей в электронном виде, а также методические рекомендации по подаче заявлений на получение указанной государственной услуги в электронном виде с использованием ЕПГУ размещены на официальном сайте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Одновременно ФТС России осуществляется информирование таможенных представителей в устной и письменной форме.</w:t>
      </w:r>
    </w:p>
    <w:p w14:paraId="0A42742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в АИС «ЦРСВЭД» через ЕПГУ поступило и обработано </w:t>
      </w:r>
      <w:r w:rsidRPr="00571486">
        <w:rPr>
          <w:rFonts w:ascii="Times New Roman" w:hAnsi="Times New Roman" w:cs="Times New Roman"/>
          <w:sz w:val="28"/>
          <w:szCs w:val="28"/>
        </w:rPr>
        <w:br/>
        <w:t>в электронном виде 167 заявок на предоставление государственной услуги ведения реестра таможенных представителей.</w:t>
      </w:r>
    </w:p>
    <w:p w14:paraId="326F465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Дополнительно сообщаем, что в 2018 году доработан сервис «Личный кабинет таможенного представителя» (далее – Личный кабинет таможенного представителя), в котором отражаются все сведения о таможенном представителе, данный сервис позволяет таким лицам в режиме онлайн осуществлять самоконтроль за соблюдением ими условий включения в реестр.</w:t>
      </w:r>
    </w:p>
    <w:p w14:paraId="71E9BA8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частности, в Личном кабинете таможенного представителя разработан </w:t>
      </w:r>
      <w:r w:rsidRPr="00571486">
        <w:rPr>
          <w:rFonts w:ascii="Times New Roman" w:hAnsi="Times New Roman" w:cs="Times New Roman"/>
          <w:sz w:val="28"/>
          <w:szCs w:val="28"/>
        </w:rPr>
        <w:br/>
        <w:t>и внедрен сервис, позволяющий получать информацию о фактах возникновения задолженности по уплате таможенных пошлин, налогов, а сервис направления отчетности о деятельности таможенного представителя включает в себя напоминание о наступлении периодов подачи такой отчетности.</w:t>
      </w:r>
    </w:p>
    <w:p w14:paraId="2EA618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учетом развития информационных таможенных технологий проводятся поэтапные работы по расширению возможностей Личного кабинета таможенного представителя. В частности, планируется реализовать функции, позволяющие должностным лицам направлять в Личный кабинет таможенного представителя уведомления, письма и иные сообщения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а таможенному представителю – заявления на предоставление государственной услуги.</w:t>
      </w:r>
    </w:p>
    <w:p w14:paraId="35089996"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8. Совершенствование законодательства Российской Федерации </w:t>
      </w:r>
      <w:r w:rsidRPr="00571486">
        <w:rPr>
          <w:rFonts w:ascii="Times New Roman" w:hAnsi="Times New Roman" w:cs="Times New Roman"/>
          <w:b/>
          <w:sz w:val="28"/>
          <w:szCs w:val="28"/>
        </w:rPr>
        <w:br/>
        <w:t xml:space="preserve">в целях организации информационного обмена между банками, иными кредитными организациями и ФТС России по выданным банковским гарантиям и введения возможности выдачи банковских гарантий </w:t>
      </w:r>
      <w:r w:rsidRPr="00571486">
        <w:rPr>
          <w:rFonts w:ascii="Times New Roman" w:hAnsi="Times New Roman" w:cs="Times New Roman"/>
          <w:b/>
          <w:sz w:val="28"/>
          <w:szCs w:val="28"/>
        </w:rPr>
        <w:br/>
        <w:t>в электронном виде с применением электронной цифровой подписи.</w:t>
      </w:r>
    </w:p>
    <w:p w14:paraId="25F8EA7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Совершенствование законодательства Российской Федерации в целях организации информационного обмена между банками и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по выданным банковским гарантиям и ведения возможности выдачи банковских гарантий в электронном виде с применением электронной цифровой подписи.</w:t>
      </w:r>
    </w:p>
    <w:p w14:paraId="594751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Оформление банковских гарантий в виде электронного документа существенно ускоряет процесс их принятия таможенными органами. Электронная банковская гарантия предоставляет участникам ВЭД реальную возможность внести необходимое обеспечение непосредственно при декларировании товаров. </w:t>
      </w:r>
    </w:p>
    <w:p w14:paraId="2012B5F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При этом исключена необходимость личного получения участником ВЭД электронной банковской гарантии в кредитной организации для ее последующего предоставления в таможенный орган. Направление электронных банковских гарантий в таможенные органы осуществляют непосредственно кредитные организации. </w:t>
      </w:r>
    </w:p>
    <w:p w14:paraId="08DBE54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режиме времени, близком к реальному, реализована передача </w:t>
      </w:r>
      <w:r w:rsidRPr="00571486">
        <w:rPr>
          <w:rFonts w:ascii="Times New Roman" w:hAnsi="Times New Roman" w:cs="Times New Roman"/>
          <w:sz w:val="28"/>
          <w:szCs w:val="28"/>
        </w:rPr>
        <w:br/>
        <w:t xml:space="preserve">в АПС «Личный кабинет участника ВЭД» информации о приеме либо об отказе в приеме банковской гарантии. Как правило, от момента поступления </w:t>
      </w:r>
      <w:r w:rsidRPr="00571486">
        <w:rPr>
          <w:rFonts w:ascii="Times New Roman" w:hAnsi="Times New Roman" w:cs="Times New Roman"/>
          <w:sz w:val="28"/>
          <w:szCs w:val="28"/>
        </w:rPr>
        <w:br/>
        <w:t xml:space="preserve">в таможенный орган электронной банковской гарантии до момента загрузки </w:t>
      </w:r>
      <w:r w:rsidRPr="00571486">
        <w:rPr>
          <w:rFonts w:ascii="Times New Roman" w:hAnsi="Times New Roman" w:cs="Times New Roman"/>
          <w:sz w:val="28"/>
          <w:szCs w:val="28"/>
        </w:rPr>
        <w:br/>
        <w:t>в АПС «Личный кабинет участника ВЭД» решения таможенного органа о принятии или непринятии гарантии проходит не более одного часа.</w:t>
      </w:r>
    </w:p>
    <w:p w14:paraId="76F89EA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таможенными органами принято более 17 тыс. электронных банковских гарантий на сумму более 67 млрд. рублей. Выдачу электронных банковских гарантий осуществили 54 кредитных организации.</w:t>
      </w:r>
    </w:p>
    <w:p w14:paraId="3AEA504B"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9. Сокращение перечня документов, представляемых участником ВЭД при таможенном декларировании товаров, и осуществление информационного взаимодействия ФТС</w:t>
      </w:r>
      <w:r w:rsidR="00571486">
        <w:rPr>
          <w:rFonts w:ascii="Times New Roman" w:hAnsi="Times New Roman" w:cs="Times New Roman"/>
          <w:b/>
          <w:sz w:val="28"/>
          <w:szCs w:val="28"/>
        </w:rPr>
        <w:t> </w:t>
      </w:r>
      <w:r w:rsidRPr="00571486">
        <w:rPr>
          <w:rFonts w:ascii="Times New Roman" w:hAnsi="Times New Roman" w:cs="Times New Roman"/>
          <w:b/>
          <w:sz w:val="28"/>
          <w:szCs w:val="28"/>
        </w:rPr>
        <w:t xml:space="preserve">России с федеральными </w:t>
      </w:r>
      <w:r w:rsidRPr="00571486">
        <w:rPr>
          <w:rFonts w:ascii="Times New Roman" w:hAnsi="Times New Roman" w:cs="Times New Roman"/>
          <w:b/>
          <w:sz w:val="28"/>
          <w:szCs w:val="28"/>
        </w:rPr>
        <w:br/>
        <w:t>органами исполнительной власти посредством технологических карт межведомственного взаимодействия (далее – ТКМВ).</w:t>
      </w:r>
    </w:p>
    <w:p w14:paraId="4A1723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ФТС России в целях снижения административных барьеров </w:t>
      </w:r>
      <w:r w:rsidRPr="00571486">
        <w:rPr>
          <w:rFonts w:ascii="Times New Roman" w:hAnsi="Times New Roman" w:cs="Times New Roman"/>
          <w:sz w:val="28"/>
          <w:szCs w:val="28"/>
        </w:rPr>
        <w:br/>
        <w:t>для осуществления ВЭД и создания равных конкурентных условий для ведения бизнеса ведет работу по сокращению перечня документов, представляемых участником ВЭД при таможенном декларировании товаров.</w:t>
      </w:r>
    </w:p>
    <w:p w14:paraId="74CA8E1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ТК ЕАЭС, вступившим в силу с 1 января 2018 года, предусмотрено, </w:t>
      </w:r>
      <w:r w:rsidRPr="00571486">
        <w:rPr>
          <w:rFonts w:ascii="Times New Roman" w:hAnsi="Times New Roman" w:cs="Times New Roman"/>
          <w:sz w:val="28"/>
          <w:szCs w:val="28"/>
        </w:rPr>
        <w:br/>
        <w:t>что документы (сведения), необходимые для совершения таможенных операций, могут не представляться таможенному органу если такие документы (сведения) могут быть получены таможенными органами из информационных систем таможенных или иных государственных органов (организаций).</w:t>
      </w:r>
    </w:p>
    <w:p w14:paraId="19BA1BB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Реализация данной нормы обеспечена ФТС России за счет взаимодействия с федеральными органами исполнительной власти в рамках применения системы межведомственного электронного взаимодействия (далее – СМЭВ), а также по иным каналам связи.</w:t>
      </w:r>
    </w:p>
    <w:p w14:paraId="13C7069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Для обеспечения эффективного администрирования льгот по уплате ввозных таможенных пошлин, налогов в условиях отказа от представления </w:t>
      </w:r>
      <w:r w:rsidRPr="00571486">
        <w:rPr>
          <w:rFonts w:ascii="Times New Roman" w:hAnsi="Times New Roman" w:cs="Times New Roman"/>
          <w:sz w:val="28"/>
          <w:szCs w:val="28"/>
        </w:rPr>
        <w:br/>
        <w:t xml:space="preserve">при декларировании товаров документов, подтверждающих заявленные </w:t>
      </w:r>
      <w:r w:rsidRPr="00571486">
        <w:rPr>
          <w:rFonts w:ascii="Times New Roman" w:hAnsi="Times New Roman" w:cs="Times New Roman"/>
          <w:sz w:val="28"/>
          <w:szCs w:val="28"/>
        </w:rPr>
        <w:br/>
        <w:t>сведения, между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и федеральными органами исполнительной </w:t>
      </w:r>
      <w:r w:rsidRPr="00571486">
        <w:rPr>
          <w:rFonts w:ascii="Times New Roman" w:hAnsi="Times New Roman" w:cs="Times New Roman"/>
          <w:sz w:val="28"/>
          <w:szCs w:val="28"/>
        </w:rPr>
        <w:br/>
        <w:t xml:space="preserve">власти, уполномоченными на выдачу документов, подтверждающих </w:t>
      </w:r>
      <w:r w:rsidRPr="00571486">
        <w:rPr>
          <w:rFonts w:ascii="Times New Roman" w:hAnsi="Times New Roman" w:cs="Times New Roman"/>
          <w:sz w:val="28"/>
          <w:szCs w:val="28"/>
        </w:rPr>
        <w:br/>
        <w:t>право на предоставление льгот (Минкультуры  России, Минтрудом  России, Минэкономразвития России, Минобрнауки России, Минпромторгом России, Минсельхозом России, Росздравнадзором, Роспечатью, Роскосмосом, Рострудом, Росморречфлотом, Правительством Калининградской области) разработано 12 технологических карт межведомственного взаимодействия (</w:t>
      </w:r>
      <w:r w:rsidR="00571486">
        <w:rPr>
          <w:rFonts w:ascii="Times New Roman" w:hAnsi="Times New Roman" w:cs="Times New Roman"/>
          <w:sz w:val="28"/>
          <w:szCs w:val="28"/>
        </w:rPr>
        <w:t xml:space="preserve">далее – ТКМВ). </w:t>
      </w:r>
      <w:r w:rsidRPr="00571486">
        <w:rPr>
          <w:rFonts w:ascii="Times New Roman" w:hAnsi="Times New Roman" w:cs="Times New Roman"/>
          <w:sz w:val="28"/>
          <w:szCs w:val="28"/>
        </w:rPr>
        <w:t>По семи из них достигнут стабильно качественный уровень обмена сведениями.</w:t>
      </w:r>
    </w:p>
    <w:p w14:paraId="55549C0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 стороны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все методологические и технологические мероприятия проведены в полном объеме. Трудности в реализации ТКМВ преимущественно обусловлены технической неготовностью сервисов федеральных органов исполнительной власти.</w:t>
      </w:r>
    </w:p>
    <w:p w14:paraId="29F2BC3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2019 году работа по указанному направлению будет продолжена, </w:t>
      </w:r>
      <w:r w:rsidRPr="00571486">
        <w:rPr>
          <w:rFonts w:ascii="Times New Roman" w:hAnsi="Times New Roman" w:cs="Times New Roman"/>
          <w:sz w:val="28"/>
          <w:szCs w:val="28"/>
        </w:rPr>
        <w:br/>
        <w:t>в том числе при установлении новых видов льгот по уплате таможенных платежей, для подтверждения которых требуется представление документов федеральных органов исполнительной власти, ФТС России будут организованы мероприятия по разработке и утверждению соответствующих проектов ТКМВ.</w:t>
      </w:r>
    </w:p>
    <w:p w14:paraId="602A831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части классификации товаров в соответствии с единой Товарной номенклатурой внешнеэкономической деятельности Евразийского экономического союза</w:t>
      </w:r>
      <w:r w:rsidR="00571486">
        <w:rPr>
          <w:rFonts w:ascii="Times New Roman" w:hAnsi="Times New Roman" w:cs="Times New Roman"/>
          <w:sz w:val="28"/>
          <w:szCs w:val="28"/>
        </w:rPr>
        <w:t xml:space="preserve"> (далее – ТН ВЭД</w:t>
      </w:r>
      <w:r w:rsidRPr="00571486">
        <w:rPr>
          <w:rFonts w:ascii="Times New Roman" w:hAnsi="Times New Roman" w:cs="Times New Roman"/>
          <w:sz w:val="28"/>
          <w:szCs w:val="28"/>
        </w:rPr>
        <w:t> ЕАЭС) и государственной услуги «Принятие предварительных решений по классификации товаров по ТН ВЭД  ЕАЭС» в целях исключения случаев запроса у участников ВЭД документов федеральных органов исполнительной власти ФТС России применяется ТКМВ, содержащая 18 запросов в 10 ведомств: Минздрав России, Минкультуры России, Минпромторг России, Минтранс России, Минэнерго России, Росаккредитация, Росздравнадзор, Роскомнадзор, Россельхознадзор, Росстандарт.</w:t>
      </w:r>
    </w:p>
    <w:p w14:paraId="59F4A4C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Административным регламентом Федеральной таможенной службы и уполномоченных ею таможенных органов </w:t>
      </w:r>
      <w:r w:rsidRPr="00571486">
        <w:rPr>
          <w:rFonts w:ascii="Times New Roman" w:hAnsi="Times New Roman" w:cs="Times New Roman"/>
          <w:sz w:val="28"/>
          <w:szCs w:val="28"/>
        </w:rPr>
        <w:br/>
        <w:t xml:space="preserve">по предоставлению государственной услуги по принятию предварительных решений о классификации </w:t>
      </w:r>
      <w:r w:rsidR="00571486">
        <w:rPr>
          <w:rFonts w:ascii="Times New Roman" w:hAnsi="Times New Roman" w:cs="Times New Roman"/>
          <w:sz w:val="28"/>
          <w:szCs w:val="28"/>
        </w:rPr>
        <w:t>товаров в соответствии с ТН ВЭД</w:t>
      </w:r>
      <w:r w:rsidRPr="00571486">
        <w:rPr>
          <w:rFonts w:ascii="Times New Roman" w:hAnsi="Times New Roman" w:cs="Times New Roman"/>
          <w:sz w:val="28"/>
          <w:szCs w:val="28"/>
        </w:rPr>
        <w:t xml:space="preserve"> ЕАЭС, утвержденным приказом ФТС России от 18 апреля 2012 г. № 760, в 2018 году </w:t>
      </w:r>
      <w:r w:rsidRPr="00571486">
        <w:rPr>
          <w:rFonts w:ascii="Times New Roman" w:hAnsi="Times New Roman" w:cs="Times New Roman"/>
          <w:sz w:val="28"/>
          <w:szCs w:val="28"/>
        </w:rPr>
        <w:br/>
        <w:t xml:space="preserve">в целом по ФТС  России принято 1112 предварительных решений </w:t>
      </w:r>
      <w:r w:rsidRPr="00571486">
        <w:rPr>
          <w:rFonts w:ascii="Times New Roman" w:hAnsi="Times New Roman" w:cs="Times New Roman"/>
          <w:sz w:val="28"/>
          <w:szCs w:val="28"/>
        </w:rPr>
        <w:br/>
        <w:t xml:space="preserve">о классификации товаров, средний срок предоставления государственной услуги составил 32 дня. В том числе посредством ЕПГУ подано 214 заявлений </w:t>
      </w:r>
      <w:r w:rsidRPr="00571486">
        <w:rPr>
          <w:rFonts w:ascii="Times New Roman" w:hAnsi="Times New Roman" w:cs="Times New Roman"/>
          <w:sz w:val="28"/>
          <w:szCs w:val="28"/>
        </w:rPr>
        <w:br/>
        <w:t xml:space="preserve">по предоставлению в электронном виде государственной услуги по принятию предварительных решений о классификации товаров, по которым принято </w:t>
      </w:r>
      <w:r w:rsidRPr="00571486">
        <w:rPr>
          <w:rFonts w:ascii="Times New Roman" w:hAnsi="Times New Roman" w:cs="Times New Roman"/>
          <w:sz w:val="28"/>
          <w:szCs w:val="28"/>
        </w:rPr>
        <w:br/>
        <w:t>92 предварительных решения в форме электронного документа.</w:t>
      </w:r>
    </w:p>
    <w:p w14:paraId="196378A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обеспечена возможность ознакомления участников ВЭД </w:t>
      </w:r>
      <w:r w:rsidRPr="00571486">
        <w:rPr>
          <w:rFonts w:ascii="Times New Roman" w:hAnsi="Times New Roman" w:cs="Times New Roman"/>
          <w:sz w:val="28"/>
          <w:szCs w:val="28"/>
        </w:rPr>
        <w:br/>
        <w:t xml:space="preserve">через АПС «Личный кабинет участника ВЭД» с информацией о наличии </w:t>
      </w:r>
      <w:r w:rsidRPr="00571486">
        <w:rPr>
          <w:rFonts w:ascii="Times New Roman" w:hAnsi="Times New Roman" w:cs="Times New Roman"/>
          <w:sz w:val="28"/>
          <w:szCs w:val="28"/>
        </w:rPr>
        <w:br/>
        <w:t xml:space="preserve">у таможенного органа возможности получить из государственных органов (организаций) сведений о разрешительных документах, необходимых </w:t>
      </w:r>
      <w:r w:rsidRPr="00571486">
        <w:rPr>
          <w:rFonts w:ascii="Times New Roman" w:hAnsi="Times New Roman" w:cs="Times New Roman"/>
          <w:sz w:val="28"/>
          <w:szCs w:val="28"/>
        </w:rPr>
        <w:br/>
        <w:t xml:space="preserve">для совершения таможенных операций. Также участникам ВЭД предоставлена возможность разместить в информационных системах таможенных органов </w:t>
      </w:r>
      <w:r w:rsidRPr="00571486">
        <w:rPr>
          <w:rFonts w:ascii="Times New Roman" w:hAnsi="Times New Roman" w:cs="Times New Roman"/>
          <w:sz w:val="28"/>
          <w:szCs w:val="28"/>
        </w:rPr>
        <w:br/>
        <w:t xml:space="preserve">с использованием АПС «Личный кабинет участника ВЭД» сведения </w:t>
      </w:r>
      <w:r w:rsidRPr="00571486">
        <w:rPr>
          <w:rFonts w:ascii="Times New Roman" w:hAnsi="Times New Roman" w:cs="Times New Roman"/>
          <w:sz w:val="28"/>
          <w:szCs w:val="28"/>
        </w:rPr>
        <w:br/>
        <w:t xml:space="preserve">из разрешительных документов для их последующего использования </w:t>
      </w:r>
      <w:r w:rsidRPr="00571486">
        <w:rPr>
          <w:rFonts w:ascii="Times New Roman" w:hAnsi="Times New Roman" w:cs="Times New Roman"/>
          <w:sz w:val="28"/>
          <w:szCs w:val="28"/>
        </w:rPr>
        <w:br/>
        <w:t>при совершении таможенных операций.</w:t>
      </w:r>
    </w:p>
    <w:p w14:paraId="1818AE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результате проведенной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работы среднее количество документов, представляемых участником ВЭД таможенному органу </w:t>
      </w:r>
      <w:r w:rsidRPr="00571486">
        <w:rPr>
          <w:rFonts w:ascii="Times New Roman" w:hAnsi="Times New Roman" w:cs="Times New Roman"/>
          <w:sz w:val="28"/>
          <w:szCs w:val="28"/>
        </w:rPr>
        <w:br/>
        <w:t>при таможенном декларировании товаров, в 2018 году составило:</w:t>
      </w:r>
    </w:p>
    <w:p w14:paraId="05EF478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один документ при экспорте (2017 год – два документа);</w:t>
      </w:r>
    </w:p>
    <w:p w14:paraId="4797CA0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два документа при импорте (2017 год – три документа).</w:t>
      </w:r>
    </w:p>
    <w:p w14:paraId="252D588A"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10. Таможенный контроль после выпуска товаров.</w:t>
      </w:r>
    </w:p>
    <w:p w14:paraId="57AA67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продолжалась работа по созданию системы прослеживаемости движения товаров, в том числе с использованием инструментов маркирования.</w:t>
      </w:r>
    </w:p>
    <w:p w14:paraId="3F47AFC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Использование системы прослеживаемости позволит объединить в единую логически связанную цепочку все операции с товарами от ввоза до их оборота, предоставить возможность на ранних этапах выявлять незаконные операции </w:t>
      </w:r>
      <w:r w:rsidRPr="00571486">
        <w:rPr>
          <w:rFonts w:ascii="Times New Roman" w:hAnsi="Times New Roman" w:cs="Times New Roman"/>
          <w:sz w:val="28"/>
          <w:szCs w:val="28"/>
        </w:rPr>
        <w:br/>
        <w:t xml:space="preserve">с товаром или схемы уклонения от уплаты налогов и пошлин, исключить потери федерального бюджета от использования этих схем. </w:t>
      </w:r>
    </w:p>
    <w:p w14:paraId="3C305C7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Правовой основой для создания и функционирования системы прослеживаемости товаров в ЕАЭС является проект соглашения о механизме прослеживаемости товаров в рамках ЕАЭС (далее – проект Соглашения), который одобрен распоряжением Совета Евра</w:t>
      </w:r>
      <w:r w:rsidR="00571486">
        <w:rPr>
          <w:rFonts w:ascii="Times New Roman" w:hAnsi="Times New Roman" w:cs="Times New Roman"/>
          <w:sz w:val="28"/>
          <w:szCs w:val="28"/>
        </w:rPr>
        <w:t xml:space="preserve">зийской экономической комиссии </w:t>
      </w:r>
      <w:r w:rsidRPr="00571486">
        <w:rPr>
          <w:rFonts w:ascii="Times New Roman" w:hAnsi="Times New Roman" w:cs="Times New Roman"/>
          <w:sz w:val="28"/>
          <w:szCs w:val="28"/>
        </w:rPr>
        <w:t>от 5 декабря 2018 г. № 38. В настоящее время проект Соглашения проходит процедуру повторного внутригосударственного согласования.</w:t>
      </w:r>
    </w:p>
    <w:p w14:paraId="2657E0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июне 2018 года с учетом предложений ФТС России Минфином России утверждена «дорожная карта» по созданию национальной системы прослеживаемости товаров (приказ Минфина России от 19 июня 2018 г. № 1049).</w:t>
      </w:r>
    </w:p>
    <w:p w14:paraId="144E583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Определен и согласован Минфином России перечень товаров, подпадающих под прослеживаемость.</w:t>
      </w:r>
    </w:p>
    <w:p w14:paraId="1C9B0B6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Согласован ФТС России и ФНС России п</w:t>
      </w:r>
      <w:r w:rsidR="00571486">
        <w:rPr>
          <w:rFonts w:ascii="Times New Roman" w:hAnsi="Times New Roman" w:cs="Times New Roman"/>
          <w:sz w:val="28"/>
          <w:szCs w:val="28"/>
        </w:rPr>
        <w:t xml:space="preserve">еречень сведений, предлагаемых </w:t>
      </w:r>
      <w:r w:rsidRPr="00571486">
        <w:rPr>
          <w:rFonts w:ascii="Times New Roman" w:hAnsi="Times New Roman" w:cs="Times New Roman"/>
          <w:sz w:val="28"/>
          <w:szCs w:val="28"/>
        </w:rPr>
        <w:t>к информационному обмену между ФНС России и ФТС России в рамках создания национальной системы прослеживаемости.</w:t>
      </w:r>
    </w:p>
    <w:p w14:paraId="0311249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На внутриведомственном согласовании находится проект постановления Правительства Российской Федерации «О проведении </w:t>
      </w:r>
      <w:r w:rsidR="00571486">
        <w:rPr>
          <w:rFonts w:ascii="Times New Roman" w:hAnsi="Times New Roman" w:cs="Times New Roman"/>
          <w:sz w:val="28"/>
          <w:szCs w:val="28"/>
        </w:rPr>
        <w:t xml:space="preserve">эксперимента </w:t>
      </w:r>
      <w:r w:rsidRPr="00571486">
        <w:rPr>
          <w:rFonts w:ascii="Times New Roman" w:hAnsi="Times New Roman" w:cs="Times New Roman"/>
          <w:sz w:val="28"/>
          <w:szCs w:val="28"/>
        </w:rPr>
        <w:t>по прослеживаемости отдельных видов товаров, выпущенных на территории Российской Федерации в соответствии с</w:t>
      </w:r>
      <w:r w:rsidR="00571486">
        <w:rPr>
          <w:rFonts w:ascii="Times New Roman" w:hAnsi="Times New Roman" w:cs="Times New Roman"/>
          <w:sz w:val="28"/>
          <w:szCs w:val="28"/>
        </w:rPr>
        <w:t xml:space="preserve"> таможенной процедурой выпуска </w:t>
      </w:r>
      <w:r w:rsidRPr="00571486">
        <w:rPr>
          <w:rFonts w:ascii="Times New Roman" w:hAnsi="Times New Roman" w:cs="Times New Roman"/>
          <w:sz w:val="28"/>
          <w:szCs w:val="28"/>
        </w:rPr>
        <w:t>для внутреннего потребления».</w:t>
      </w:r>
    </w:p>
    <w:p w14:paraId="43B59B3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развития информационно-коммуникационных технологий </w:t>
      </w:r>
      <w:r w:rsidRPr="00571486">
        <w:rPr>
          <w:rFonts w:ascii="Times New Roman" w:hAnsi="Times New Roman" w:cs="Times New Roman"/>
          <w:sz w:val="28"/>
          <w:szCs w:val="28"/>
        </w:rPr>
        <w:br/>
        <w:t>в части таможенного контроля после выпуска товаров проводились следующие мероприятия.</w:t>
      </w:r>
    </w:p>
    <w:p w14:paraId="29101EB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ознакомления проверяемого лица с результатами таможенного контроля издан приказ ФТС  России от 25 октября 2018 г. № 1725 «О внесении изменений в Правила по формированию журнала регистрации и учета результатов форм таможенного контроля, проводимого подразделениями таможенного контроля после выпуска товаров таможенных органов, утвержденные приказом ФТС России от 31 марта 2016 г. № 631», реализующий возможность выгрузки информации о результатах таможенного контроля после выпуска товаров в АПС «Личный кабинет участника ВЭД».</w:t>
      </w:r>
    </w:p>
    <w:p w14:paraId="6A782B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связи со вступлением в силу ТК ЕАЭС и Федерального закона </w:t>
      </w:r>
      <w:r w:rsidRPr="00571486">
        <w:rPr>
          <w:rFonts w:ascii="Times New Roman" w:hAnsi="Times New Roman" w:cs="Times New Roman"/>
          <w:sz w:val="28"/>
          <w:szCs w:val="28"/>
        </w:rPr>
        <w:br/>
        <w:t xml:space="preserve">от 3 августа 2018 г. № 289-ФЗ «О таможенном регулировании в Российской Федерации и о внесении изменений в отдельные законодательные акты Российской Федерации» проводилась работа по реализации функции приема отчетности уполномоченных экономических операторов, лиц, владеющих </w:t>
      </w:r>
      <w:r w:rsidRPr="00571486">
        <w:rPr>
          <w:rFonts w:ascii="Times New Roman" w:hAnsi="Times New Roman" w:cs="Times New Roman"/>
          <w:sz w:val="28"/>
          <w:szCs w:val="28"/>
        </w:rPr>
        <w:br/>
        <w:t xml:space="preserve">и (или) пользующихся условно выпущенными товарами, помещенными </w:t>
      </w:r>
      <w:r w:rsidRPr="00571486">
        <w:rPr>
          <w:rFonts w:ascii="Times New Roman" w:hAnsi="Times New Roman" w:cs="Times New Roman"/>
          <w:sz w:val="28"/>
          <w:szCs w:val="28"/>
        </w:rPr>
        <w:br/>
        <w:t xml:space="preserve">под таможенную процедуру выпуска для внутреннего потребления </w:t>
      </w:r>
      <w:r w:rsidRPr="00571486">
        <w:rPr>
          <w:rFonts w:ascii="Times New Roman" w:hAnsi="Times New Roman" w:cs="Times New Roman"/>
          <w:sz w:val="28"/>
          <w:szCs w:val="28"/>
        </w:rPr>
        <w:br/>
        <w:t xml:space="preserve">с предоставлением льгот по уплате таможенных пошлин, налогов, сопряженных с ограничениями по пользованию и (или) распоряжению этими товарами, в том числе в электронном виде. </w:t>
      </w:r>
    </w:p>
    <w:p w14:paraId="1F24DF3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Автоматизация функций таможенного контроля после выпуска товаров, переход таможенных органов на взаимодействие с бизнесом преимущественно в электронном виде позволит снизить коррупционные риски, сократить временные и финансовые издержки для участников ВЭД.</w:t>
      </w:r>
    </w:p>
    <w:p w14:paraId="6494E712"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11. Развитие АПС «Личный кабинет участника ВЭД».</w:t>
      </w:r>
    </w:p>
    <w:p w14:paraId="3F719B6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повышения качества и комфортности взаимодействия участников ВЭД с таможенными органами продолжена работа по расширению спектра информационных услуг, предоставляемых с помощью АПС «Личный кабинет участника ВЭД».</w:t>
      </w:r>
    </w:p>
    <w:p w14:paraId="046437B5" w14:textId="77777777" w:rsidR="005237FF" w:rsidRPr="00571486" w:rsidRDefault="00571486" w:rsidP="005237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АПС </w:t>
      </w:r>
      <w:r w:rsidR="005237FF" w:rsidRPr="00571486">
        <w:rPr>
          <w:rFonts w:ascii="Times New Roman" w:hAnsi="Times New Roman" w:cs="Times New Roman"/>
          <w:sz w:val="28"/>
          <w:szCs w:val="28"/>
        </w:rPr>
        <w:t xml:space="preserve">«Личный кабинет участника ВЭД» предназначен </w:t>
      </w:r>
      <w:r w:rsidR="005237FF" w:rsidRPr="00571486">
        <w:rPr>
          <w:rFonts w:ascii="Times New Roman" w:hAnsi="Times New Roman" w:cs="Times New Roman"/>
          <w:sz w:val="28"/>
          <w:szCs w:val="28"/>
        </w:rPr>
        <w:br/>
        <w:t>для персонифицированного информационного взаимодействия уч</w:t>
      </w:r>
      <w:r>
        <w:rPr>
          <w:rFonts w:ascii="Times New Roman" w:hAnsi="Times New Roman" w:cs="Times New Roman"/>
          <w:sz w:val="28"/>
          <w:szCs w:val="28"/>
        </w:rPr>
        <w:t xml:space="preserve">астников ВЭД </w:t>
      </w:r>
      <w:r w:rsidR="005237FF" w:rsidRPr="00571486">
        <w:rPr>
          <w:rFonts w:ascii="Times New Roman" w:hAnsi="Times New Roman" w:cs="Times New Roman"/>
          <w:sz w:val="28"/>
          <w:szCs w:val="28"/>
        </w:rPr>
        <w:t xml:space="preserve">с таможенными органами и представляет собой набор бесплатных информационных сервисов, использование которых существенно экономит </w:t>
      </w:r>
      <w:r w:rsidR="005237FF" w:rsidRPr="00571486">
        <w:rPr>
          <w:rFonts w:ascii="Times New Roman" w:hAnsi="Times New Roman" w:cs="Times New Roman"/>
          <w:sz w:val="28"/>
          <w:szCs w:val="28"/>
        </w:rPr>
        <w:br/>
        <w:t>время участника ВЭД, позволяет оптимизировать производственный процесс, отказаться от посреднических услуг и контролировать свой бизнес самостоятельно без лишних затрат и личного присутствия в таможенном органе.</w:t>
      </w:r>
    </w:p>
    <w:p w14:paraId="13B9DA7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в АПС «Личный кабинет участника ВЭД» функционирует 32 информационных сервиса. По состоянию на 31 декабря 2018 года к АПС «Личный кабинет» подключено 202 433 пользователя.</w:t>
      </w:r>
    </w:p>
    <w:p w14:paraId="5BFE0A0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успешно завершен начатый в 2017 году эксперимент </w:t>
      </w:r>
      <w:r w:rsidRPr="00571486">
        <w:rPr>
          <w:rFonts w:ascii="Times New Roman" w:hAnsi="Times New Roman" w:cs="Times New Roman"/>
          <w:sz w:val="28"/>
          <w:szCs w:val="28"/>
        </w:rPr>
        <w:br/>
        <w:t xml:space="preserve">в части электронного взаимодействия правообладателей (их представителей) </w:t>
      </w:r>
      <w:r w:rsidRPr="00571486">
        <w:rPr>
          <w:rFonts w:ascii="Times New Roman" w:hAnsi="Times New Roman" w:cs="Times New Roman"/>
          <w:sz w:val="28"/>
          <w:szCs w:val="28"/>
        </w:rPr>
        <w:br/>
        <w:t>и ФТС России через сеть Интернет с использованием информационного сервиса «Правообладатели» АПС «Личный кабинет участника ВЭД».</w:t>
      </w:r>
    </w:p>
    <w:p w14:paraId="3BD374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ходе эксперимента были отработаны функциональные возможности </w:t>
      </w:r>
      <w:r w:rsidRPr="00571486">
        <w:rPr>
          <w:rFonts w:ascii="Times New Roman" w:hAnsi="Times New Roman" w:cs="Times New Roman"/>
          <w:sz w:val="28"/>
          <w:szCs w:val="28"/>
        </w:rPr>
        <w:br/>
        <w:t>АПС «Личный кабинет участника ВЭД» в части приема заявления о включении объекта интеллектуальной собственности в таможенный реестр.</w:t>
      </w:r>
    </w:p>
    <w:p w14:paraId="3A246BC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А</w:t>
      </w:r>
      <w:r w:rsidR="00BA29CF">
        <w:rPr>
          <w:rFonts w:ascii="Times New Roman" w:hAnsi="Times New Roman" w:cs="Times New Roman"/>
          <w:sz w:val="28"/>
          <w:szCs w:val="28"/>
        </w:rPr>
        <w:t>ПС </w:t>
      </w:r>
      <w:r w:rsidRPr="00571486">
        <w:rPr>
          <w:rFonts w:ascii="Times New Roman" w:hAnsi="Times New Roman" w:cs="Times New Roman"/>
          <w:sz w:val="28"/>
          <w:szCs w:val="28"/>
        </w:rPr>
        <w:t xml:space="preserve">«Личный кабинет участника ВЭД» </w:t>
      </w:r>
      <w:r w:rsidRPr="00571486">
        <w:rPr>
          <w:rFonts w:ascii="Times New Roman" w:hAnsi="Times New Roman" w:cs="Times New Roman"/>
          <w:sz w:val="28"/>
          <w:szCs w:val="28"/>
        </w:rPr>
        <w:br/>
        <w:t>позволяет реализовать следующие возможности взаимодействия ФТС</w:t>
      </w:r>
      <w:r w:rsidR="00BA29CF">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и правообладателей (их представителей):</w:t>
      </w:r>
    </w:p>
    <w:p w14:paraId="22488B0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проверка информации о включении (исключении) объекта интеллектуальной собственности в (из) таможенный(ого) реестр(а);</w:t>
      </w:r>
    </w:p>
    <w:p w14:paraId="5409CF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получение в электронном виде информации о приостановлении таможенным органом срока выпуска товаров, содержащих объекты интеллектуальной собственности, внесенные в таможенный реестр;</w:t>
      </w:r>
    </w:p>
    <w:p w14:paraId="1765753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информирование таможенного органа о получении и просмотре правообладателем (его представителем) уведомления о приостановлении срока выпуска товаров;</w:t>
      </w:r>
    </w:p>
    <w:p w14:paraId="2A4D67B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подача заявления о включении объекта </w:t>
      </w:r>
      <w:r w:rsidR="00571486">
        <w:rPr>
          <w:rFonts w:ascii="Times New Roman" w:hAnsi="Times New Roman" w:cs="Times New Roman"/>
          <w:sz w:val="28"/>
          <w:szCs w:val="28"/>
        </w:rPr>
        <w:t xml:space="preserve">интеллектуальной собственности </w:t>
      </w:r>
      <w:r w:rsidRPr="00571486">
        <w:rPr>
          <w:rFonts w:ascii="Times New Roman" w:hAnsi="Times New Roman" w:cs="Times New Roman"/>
          <w:sz w:val="28"/>
          <w:szCs w:val="28"/>
        </w:rPr>
        <w:t>в таможенный реестр.</w:t>
      </w:r>
    </w:p>
    <w:p w14:paraId="76909093"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12. Работа ФТС России в рамках реформирования контрольной </w:t>
      </w:r>
      <w:r w:rsidRPr="00571486">
        <w:rPr>
          <w:rFonts w:ascii="Times New Roman" w:hAnsi="Times New Roman" w:cs="Times New Roman"/>
          <w:b/>
          <w:sz w:val="28"/>
          <w:szCs w:val="28"/>
        </w:rPr>
        <w:br/>
        <w:t>и надзорной деятельности.</w:t>
      </w:r>
    </w:p>
    <w:p w14:paraId="230740FA" w14:textId="77777777" w:rsidR="005237FF" w:rsidRPr="00571486" w:rsidRDefault="005237FF" w:rsidP="005237FF">
      <w:pPr>
        <w:spacing w:after="0" w:line="240" w:lineRule="auto"/>
        <w:ind w:firstLine="708"/>
        <w:jc w:val="both"/>
        <w:rPr>
          <w:rFonts w:ascii="Times New Roman" w:eastAsia="Times New Roman" w:hAnsi="Times New Roman" w:cs="Times New Roman"/>
          <w:sz w:val="28"/>
          <w:szCs w:val="28"/>
          <w:lang w:eastAsia="ru-RU"/>
        </w:rPr>
      </w:pPr>
      <w:r w:rsidRPr="00571486">
        <w:rPr>
          <w:rFonts w:ascii="Times New Roman" w:eastAsia="Times New Roman" w:hAnsi="Times New Roman" w:cs="Times New Roman"/>
          <w:sz w:val="28"/>
          <w:szCs w:val="28"/>
          <w:lang w:eastAsia="ru-RU"/>
        </w:rPr>
        <w:t xml:space="preserve">Протоколом заседания президиума Совета при Президенте Российской Федерации по стратегическому развитию и приоритетным проектам </w:t>
      </w:r>
      <w:r w:rsidRPr="00571486">
        <w:rPr>
          <w:rFonts w:ascii="Times New Roman" w:eastAsia="Times New Roman" w:hAnsi="Times New Roman" w:cs="Times New Roman"/>
          <w:sz w:val="28"/>
          <w:szCs w:val="28"/>
          <w:lang w:eastAsia="ru-RU"/>
        </w:rPr>
        <w:br/>
        <w:t>от 21 декабря 2016 г. № 12 утвержден паспорт приоритетной программы «Реформа контрольной и надзорной деятельности»</w:t>
      </w:r>
      <w:r w:rsidRPr="00571486">
        <w:rPr>
          <w:rFonts w:ascii="Times New Roman" w:eastAsia="Calibri" w:hAnsi="Times New Roman" w:cs="Times New Roman"/>
          <w:sz w:val="28"/>
          <w:szCs w:val="28"/>
          <w:lang w:eastAsia="ru-RU"/>
        </w:rPr>
        <w:t xml:space="preserve"> (далее – Программа)</w:t>
      </w:r>
      <w:r w:rsidRPr="00571486">
        <w:rPr>
          <w:rFonts w:ascii="Times New Roman" w:eastAsia="Times New Roman" w:hAnsi="Times New Roman" w:cs="Times New Roman"/>
          <w:sz w:val="28"/>
          <w:szCs w:val="28"/>
          <w:lang w:eastAsia="ru-RU"/>
        </w:rPr>
        <w:t>, которая рассчитана на период до 2025 года.</w:t>
      </w:r>
    </w:p>
    <w:p w14:paraId="68548E1C" w14:textId="77777777" w:rsidR="005237FF" w:rsidRPr="00571486" w:rsidRDefault="005237FF" w:rsidP="005237FF">
      <w:pPr>
        <w:autoSpaceDE w:val="0"/>
        <w:autoSpaceDN w:val="0"/>
        <w:spacing w:after="0" w:line="240" w:lineRule="auto"/>
        <w:ind w:firstLine="709"/>
        <w:jc w:val="both"/>
        <w:rPr>
          <w:rFonts w:ascii="Times New Roman" w:eastAsia="Calibri" w:hAnsi="Times New Roman" w:cs="Times New Roman"/>
          <w:sz w:val="28"/>
          <w:szCs w:val="28"/>
          <w:lang w:eastAsia="ru-RU"/>
        </w:rPr>
      </w:pPr>
      <w:r w:rsidRPr="00571486">
        <w:rPr>
          <w:rFonts w:ascii="Times New Roman" w:eastAsia="Calibri" w:hAnsi="Times New Roman" w:cs="Times New Roman"/>
          <w:sz w:val="28"/>
          <w:szCs w:val="28"/>
          <w:lang w:eastAsia="ru-RU"/>
        </w:rPr>
        <w:t>ФТС России участвует в реализации 7 п</w:t>
      </w:r>
      <w:r w:rsidR="00571486">
        <w:rPr>
          <w:rFonts w:ascii="Times New Roman" w:eastAsia="Calibri" w:hAnsi="Times New Roman" w:cs="Times New Roman"/>
          <w:sz w:val="28"/>
          <w:szCs w:val="28"/>
          <w:lang w:eastAsia="ru-RU"/>
        </w:rPr>
        <w:t xml:space="preserve">риоритетных проектов, входящих </w:t>
      </w:r>
      <w:r w:rsidRPr="00571486">
        <w:rPr>
          <w:rFonts w:ascii="Times New Roman" w:eastAsia="Calibri" w:hAnsi="Times New Roman" w:cs="Times New Roman"/>
          <w:sz w:val="28"/>
          <w:szCs w:val="28"/>
          <w:lang w:eastAsia="ru-RU"/>
        </w:rPr>
        <w:t xml:space="preserve">в состав Программы. </w:t>
      </w:r>
    </w:p>
    <w:p w14:paraId="0EDCB977"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В 2018 году для ФТС России установлено 272 контрольных мероприятия. Индикаторами достижения целей Программы определены 13 целевых показателей.</w:t>
      </w:r>
    </w:p>
    <w:p w14:paraId="44C3D648"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11 декабря 2018 года в рамках конференции «Реформа КНД: новый госконтроль на практике» в Аналитическом центре при Правительстве Российской Федерации подведены итоги реализации Программы в 2018 году. </w:t>
      </w:r>
    </w:p>
    <w:p w14:paraId="2800700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итогам реализации Программы ФТС России занимает лидирующую позицию по следующим направлениям:</w:t>
      </w:r>
    </w:p>
    <w:p w14:paraId="33D5CD2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мониторинга рейтинга федерального органа исполнительной власти по проведению профилактических мероприятий в 2018 году, проведенного Аналитическим центром при Правительстве Российской Федерации;</w:t>
      </w:r>
    </w:p>
    <w:p w14:paraId="2C2B1AA5"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расчета показателя «Рост индекса качества администрирования контрольно-надзорных функций» федерального органа исполнительной власти в 2018 году.</w:t>
      </w:r>
    </w:p>
    <w:p w14:paraId="0CA9F38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В ноябре 2018 года ФТС России приняла участие в конкурсе лучших практик контрольно-надзорной деятельности «Контрольная точка». </w:t>
      </w:r>
    </w:p>
    <w:p w14:paraId="6EEF3AE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конкурса ФТС России признана победителем с проектом «Электронное досье» субъекта внешнеэкономической деятельности» и награждена дипломом лауреата I степени конкурса лучших практик КНД.</w:t>
      </w:r>
    </w:p>
    <w:p w14:paraId="6AB2D195" w14:textId="77777777" w:rsidR="0048363D" w:rsidRDefault="005237FF" w:rsidP="005237FF">
      <w:pPr>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Необходимо отметить, что ФТС Росс</w:t>
      </w:r>
      <w:r w:rsidR="00571486">
        <w:rPr>
          <w:rFonts w:ascii="Times New Roman" w:eastAsia="Calibri" w:hAnsi="Times New Roman" w:cs="Times New Roman"/>
          <w:sz w:val="28"/>
          <w:szCs w:val="28"/>
        </w:rPr>
        <w:t xml:space="preserve">ии также получила опыт участия </w:t>
      </w:r>
      <w:r w:rsidRPr="00571486">
        <w:rPr>
          <w:rFonts w:ascii="Times New Roman" w:eastAsia="Calibri" w:hAnsi="Times New Roman" w:cs="Times New Roman"/>
          <w:sz w:val="28"/>
          <w:szCs w:val="28"/>
        </w:rPr>
        <w:t>в проектной деятельности – новой форме организации деятельности, при которой внутриведомственное и внешнее взаимодействие осуществляется с использованием методов проектного управления.</w:t>
      </w:r>
    </w:p>
    <w:p w14:paraId="691F271B" w14:textId="77777777" w:rsidR="005627DA" w:rsidRDefault="005627DA" w:rsidP="005237FF">
      <w:pPr>
        <w:jc w:val="both"/>
        <w:rPr>
          <w:rFonts w:ascii="Times New Roman" w:eastAsia="Calibri" w:hAnsi="Times New Roman" w:cs="Times New Roman"/>
          <w:sz w:val="28"/>
          <w:szCs w:val="28"/>
        </w:rPr>
      </w:pPr>
    </w:p>
    <w:p w14:paraId="6B2C18D0" w14:textId="77777777" w:rsidR="005627DA" w:rsidRDefault="005627DA" w:rsidP="005237FF">
      <w:pPr>
        <w:jc w:val="both"/>
        <w:rPr>
          <w:rFonts w:ascii="Times New Roman" w:eastAsia="Calibri" w:hAnsi="Times New Roman" w:cs="Times New Roman"/>
          <w:sz w:val="28"/>
          <w:szCs w:val="28"/>
        </w:rPr>
      </w:pPr>
    </w:p>
    <w:p w14:paraId="15C0D3E2" w14:textId="589BE281" w:rsidR="005627DA" w:rsidRPr="005627DA" w:rsidRDefault="005627DA" w:rsidP="00BB7A44">
      <w:pPr>
        <w:pStyle w:val="2"/>
        <w:numPr>
          <w:ilvl w:val="1"/>
          <w:numId w:val="69"/>
        </w:numPr>
        <w:rPr>
          <w:rFonts w:eastAsia="Calibri"/>
          <w:lang w:eastAsia="en-US"/>
        </w:rPr>
      </w:pPr>
      <w:bookmarkStart w:id="2080" w:name="_Toc7448069"/>
      <w:r w:rsidRPr="001B5530">
        <w:t>Министерство</w:t>
      </w:r>
      <w:r>
        <w:rPr>
          <w:rFonts w:eastAsia="Calibri"/>
        </w:rPr>
        <w:t xml:space="preserve"> природы и экологии Российской Федерации</w:t>
      </w:r>
      <w:bookmarkEnd w:id="2080"/>
    </w:p>
    <w:p w14:paraId="218D435F" w14:textId="77777777" w:rsidR="0048363D" w:rsidRPr="0048363D" w:rsidRDefault="0048363D" w:rsidP="0048363D">
      <w:pPr>
        <w:rPr>
          <w:lang w:eastAsia="ru-RU"/>
        </w:rPr>
      </w:pPr>
    </w:p>
    <w:p w14:paraId="435E44D1"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lang w:bidi="ru-RU"/>
        </w:rPr>
      </w:pPr>
      <w:r w:rsidRPr="005627DA">
        <w:rPr>
          <w:rFonts w:ascii="Times New Roman" w:eastAsia="Calibri" w:hAnsi="Times New Roman" w:cs="Times New Roman"/>
          <w:sz w:val="28"/>
          <w:szCs w:val="28"/>
          <w:lang w:bidi="ru-RU"/>
        </w:rPr>
        <w:t xml:space="preserve">Минприроды России в соответствии с письмом ФАС России от  </w:t>
      </w:r>
      <w:r>
        <w:rPr>
          <w:rFonts w:ascii="Times New Roman" w:eastAsia="Calibri" w:hAnsi="Times New Roman" w:cs="Times New Roman"/>
          <w:sz w:val="28"/>
          <w:szCs w:val="28"/>
          <w:lang w:bidi="ru-RU"/>
        </w:rPr>
        <w:t xml:space="preserve">08.02.2019 </w:t>
      </w:r>
      <w:r w:rsidRPr="005627DA">
        <w:rPr>
          <w:rFonts w:ascii="Times New Roman" w:eastAsia="Calibri" w:hAnsi="Times New Roman" w:cs="Times New Roman"/>
          <w:sz w:val="28"/>
          <w:szCs w:val="28"/>
          <w:lang w:bidi="ru-RU"/>
        </w:rPr>
        <w:t>№ СП/8711/19 направляет информацию для включения в ежегодный доклад о состоянии конкуренции в Российской Федерации.</w:t>
      </w:r>
    </w:p>
    <w:p w14:paraId="1282CD56" w14:textId="77777777" w:rsidR="005627DA" w:rsidRPr="005627DA" w:rsidRDefault="005627DA" w:rsidP="005627DA">
      <w:pPr>
        <w:spacing w:after="0" w:line="276" w:lineRule="auto"/>
        <w:ind w:firstLine="709"/>
        <w:jc w:val="both"/>
        <w:rPr>
          <w:rFonts w:ascii="Times New Roman" w:eastAsia="Calibri" w:hAnsi="Times New Roman" w:cs="Times New Roman"/>
          <w:b/>
          <w:sz w:val="28"/>
          <w:szCs w:val="28"/>
          <w:lang w:bidi="ru-RU"/>
        </w:rPr>
      </w:pPr>
      <w:r w:rsidRPr="005627DA">
        <w:rPr>
          <w:rFonts w:ascii="Times New Roman" w:eastAsia="Calibri" w:hAnsi="Times New Roman" w:cs="Times New Roman"/>
          <w:sz w:val="28"/>
          <w:szCs w:val="28"/>
          <w:lang w:bidi="ru-RU"/>
        </w:rPr>
        <w:t xml:space="preserve">1. </w:t>
      </w:r>
      <w:r w:rsidRPr="005627DA">
        <w:rPr>
          <w:rFonts w:ascii="Times New Roman" w:eastAsia="Calibri" w:hAnsi="Times New Roman" w:cs="Times New Roman"/>
          <w:b/>
          <w:sz w:val="28"/>
          <w:szCs w:val="28"/>
          <w:lang w:bidi="ru-RU"/>
        </w:rPr>
        <w:t>В части водопользования.</w:t>
      </w:r>
    </w:p>
    <w:p w14:paraId="3F0C13B1" w14:textId="77777777" w:rsidR="005627DA" w:rsidRPr="005627DA" w:rsidRDefault="005627DA" w:rsidP="005627DA">
      <w:pPr>
        <w:spacing w:after="0" w:line="276" w:lineRule="auto"/>
        <w:ind w:firstLine="709"/>
        <w:jc w:val="both"/>
        <w:rPr>
          <w:rFonts w:ascii="Times New Roman" w:eastAsia="Calibri" w:hAnsi="Times New Roman" w:cs="Times New Roman"/>
          <w:i/>
          <w:sz w:val="28"/>
          <w:szCs w:val="28"/>
          <w:lang w:bidi="ru-RU"/>
        </w:rPr>
      </w:pPr>
      <w:r w:rsidRPr="005627DA">
        <w:rPr>
          <w:rFonts w:ascii="Times New Roman" w:eastAsia="Calibri" w:hAnsi="Times New Roman" w:cs="Times New Roman"/>
          <w:i/>
          <w:sz w:val="28"/>
          <w:szCs w:val="28"/>
          <w:lang w:bidi="ru-RU"/>
        </w:rPr>
        <w:t xml:space="preserve">По пункту 3 раздела </w:t>
      </w:r>
      <w:r w:rsidRPr="005627DA">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(далее – «дорожная карта»).</w:t>
      </w:r>
    </w:p>
    <w:p w14:paraId="4D5C30A9" w14:textId="77777777" w:rsidR="005627DA" w:rsidRPr="005627DA" w:rsidRDefault="005627DA" w:rsidP="005627DA">
      <w:pPr>
        <w:widowControl w:val="0"/>
        <w:spacing w:after="0" w:line="276"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Согласно статье 16 Водного кодекса Российской Федерации договор водопользования заключается по результатам аукциона, за исключением случаев, предусмотренны</w:t>
      </w:r>
      <w:hyperlink w:anchor="bookmark0" w:tooltip="Current Document">
        <w:r w:rsidRPr="005627DA">
          <w:rPr>
            <w:rFonts w:ascii="Times New Roman" w:eastAsia="Times New Roman" w:hAnsi="Times New Roman" w:cs="Times New Roman"/>
            <w:color w:val="000000"/>
            <w:spacing w:val="3"/>
            <w:sz w:val="28"/>
            <w:szCs w:val="28"/>
            <w:lang w:eastAsia="ru-RU" w:bidi="ru-RU"/>
          </w:rPr>
          <w:t>х частью 2</w:t>
        </w:r>
      </w:hyperlink>
      <w:r w:rsidRPr="005627DA">
        <w:rPr>
          <w:rFonts w:ascii="Times New Roman" w:eastAsia="Times New Roman" w:hAnsi="Times New Roman" w:cs="Times New Roman"/>
          <w:color w:val="000000"/>
          <w:spacing w:val="3"/>
          <w:sz w:val="28"/>
          <w:szCs w:val="28"/>
          <w:lang w:eastAsia="ru-RU" w:bidi="ru-RU"/>
        </w:rPr>
        <w:t xml:space="preserve"> указанной статьи.</w:t>
      </w:r>
    </w:p>
    <w:p w14:paraId="64C3A88C" w14:textId="77777777" w:rsidR="005627DA" w:rsidRPr="005627DA" w:rsidRDefault="005627DA" w:rsidP="005627DA">
      <w:pPr>
        <w:widowControl w:val="0"/>
        <w:spacing w:after="0" w:line="276"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Приказом Минприроды России от 22.05.2014 № 225 утвержден административный регламент Федерального агентства водных ресурсов по предоставлению государственной услуги по предоставлению водных объектов в пользование на основании договора водопользования, в том числе заключенного по результатам аукциона, по оформлению перехода прав и обязанностей по договорам водопользования (зарегистрирован Минюстом России 03.10.2014, регистрационный № 34242) соответственно.</w:t>
      </w:r>
    </w:p>
    <w:p w14:paraId="4125E4F1" w14:textId="77777777" w:rsidR="005627DA" w:rsidRPr="005627DA" w:rsidRDefault="005627DA" w:rsidP="005627DA">
      <w:pPr>
        <w:widowControl w:val="0"/>
        <w:spacing w:after="0" w:line="276" w:lineRule="auto"/>
        <w:ind w:left="20" w:right="20" w:firstLine="700"/>
        <w:jc w:val="both"/>
        <w:rPr>
          <w:rFonts w:ascii="Times New Roman" w:eastAsia="Times New Roman" w:hAnsi="Times New Roman" w:cs="Times New Roman"/>
          <w:spacing w:val="3"/>
          <w:sz w:val="28"/>
          <w:szCs w:val="28"/>
        </w:rPr>
      </w:pPr>
      <w:bookmarkStart w:id="2081" w:name="bookmark0"/>
      <w:r w:rsidRPr="005627DA">
        <w:rPr>
          <w:rFonts w:ascii="Times New Roman" w:eastAsia="Times New Roman" w:hAnsi="Times New Roman" w:cs="Times New Roman"/>
          <w:color w:val="000000"/>
          <w:spacing w:val="3"/>
          <w:sz w:val="28"/>
          <w:szCs w:val="28"/>
          <w:lang w:eastAsia="ru-RU" w:bidi="ru-RU"/>
        </w:rPr>
        <w:t>В настоящее время ведется работа по приведению административного регламента в соответствие с действующим законодательством.</w:t>
      </w:r>
      <w:bookmarkEnd w:id="2081"/>
    </w:p>
    <w:p w14:paraId="65CCC279" w14:textId="77777777" w:rsidR="005627DA" w:rsidRPr="005627DA" w:rsidRDefault="005627DA" w:rsidP="005627DA">
      <w:pPr>
        <w:widowControl w:val="0"/>
        <w:spacing w:after="0" w:line="276"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4 раздела XV «дорожной карты».</w:t>
      </w:r>
    </w:p>
    <w:p w14:paraId="7B4D7C63" w14:textId="77777777" w:rsidR="005627DA" w:rsidRPr="005627DA" w:rsidRDefault="005627DA" w:rsidP="005627DA">
      <w:pPr>
        <w:widowControl w:val="0"/>
        <w:spacing w:after="0" w:line="276"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С соответствии с приказом Минприроды России от 13.01.2017 № 7 «О нормотворческой деятельности в Министерстве природных ресурсов и экологии Российской Федерации» разработан и внесен в Правительство Российской Федерации проект федерального закона «О внесении изменений в Водный кодекс Российской Федерации» в части совершенствования процедуры проведения аукциона по приобретению права на заключение договора водопользования в целях ограничения возможности участия в аукционе на право заключения договора водопользования недобросовестных участников, не имеющих фактической цели заключить соответствующий договор, путем ведения реестра недобросовестных участников аукционов.</w:t>
      </w:r>
    </w:p>
    <w:p w14:paraId="66A9D966" w14:textId="77777777" w:rsidR="005627DA" w:rsidRPr="005627DA" w:rsidRDefault="005627DA" w:rsidP="005627DA">
      <w:pPr>
        <w:widowControl w:val="0"/>
        <w:spacing w:after="0" w:line="276"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Проект федерального закона № 550725-7 «О внесении изменений в Водный кодекс Российской Федерации в части введения реестра недобросовестных водопользователей» 15.01.2019 принят в первом чтении Государственной Думой Федерального Собрания Российской Федерации.</w:t>
      </w:r>
    </w:p>
    <w:p w14:paraId="1D060C94" w14:textId="77777777" w:rsidR="005627DA" w:rsidRPr="005627DA" w:rsidRDefault="005627DA" w:rsidP="005627DA">
      <w:pPr>
        <w:widowControl w:val="0"/>
        <w:spacing w:after="0" w:line="276"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6 раздела XV «дорожной карты».</w:t>
      </w:r>
    </w:p>
    <w:p w14:paraId="0C1D3A2C" w14:textId="77777777" w:rsidR="005627DA" w:rsidRPr="005627DA" w:rsidRDefault="005627DA" w:rsidP="005627DA">
      <w:pPr>
        <w:widowControl w:val="0"/>
        <w:spacing w:after="0" w:line="276"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соответствии с Федеральным законом от 27 июля 2010 г. № 210-ФЗ «Об организации предоставления государственных и муниципальных услуг» Федеральным агентством водных ресурсов осуществляются функции по оказанию государственных услуг:</w:t>
      </w:r>
    </w:p>
    <w:p w14:paraId="584D6A7F" w14:textId="77777777" w:rsidR="005627DA" w:rsidRPr="005627DA" w:rsidRDefault="005627DA" w:rsidP="00BE213D">
      <w:pPr>
        <w:widowControl w:val="0"/>
        <w:numPr>
          <w:ilvl w:val="0"/>
          <w:numId w:val="27"/>
        </w:numPr>
        <w:spacing w:after="0" w:line="276"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утверждение нормативов допустимых сбросов веществ и микроорганизмов в водные объекты для водопользователей;</w:t>
      </w:r>
    </w:p>
    <w:p w14:paraId="2CFB730A" w14:textId="77777777" w:rsidR="005627DA" w:rsidRPr="005627DA" w:rsidRDefault="005627DA" w:rsidP="00BE213D">
      <w:pPr>
        <w:widowControl w:val="0"/>
        <w:numPr>
          <w:ilvl w:val="0"/>
          <w:numId w:val="27"/>
        </w:numPr>
        <w:spacing w:after="0" w:line="276"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предоставление сведений из государственного водного реестра и копий документов, содержащих сведения, включенные в государственный водный реестр;</w:t>
      </w:r>
    </w:p>
    <w:p w14:paraId="4579057F" w14:textId="77777777" w:rsidR="005627DA" w:rsidRPr="005627DA" w:rsidRDefault="005627DA" w:rsidP="00BE213D">
      <w:pPr>
        <w:widowControl w:val="0"/>
        <w:numPr>
          <w:ilvl w:val="0"/>
          <w:numId w:val="27"/>
        </w:numPr>
        <w:spacing w:after="0" w:line="276"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 xml:space="preserve"> предоставление права пользования водными объектами на основании решения о предоставлении водных объектов в пользование;</w:t>
      </w:r>
    </w:p>
    <w:p w14:paraId="4ED4C230" w14:textId="77777777" w:rsidR="005627DA" w:rsidRPr="005627DA" w:rsidRDefault="005627DA" w:rsidP="00BE213D">
      <w:pPr>
        <w:widowControl w:val="0"/>
        <w:numPr>
          <w:ilvl w:val="0"/>
          <w:numId w:val="27"/>
        </w:numPr>
        <w:spacing w:after="0" w:line="276"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предоставление права пользования водными объектами на основании договора водопользования;</w:t>
      </w:r>
    </w:p>
    <w:p w14:paraId="532A783D" w14:textId="77777777" w:rsidR="005627DA" w:rsidRPr="005627DA" w:rsidRDefault="005627DA" w:rsidP="00BE213D">
      <w:pPr>
        <w:widowControl w:val="0"/>
        <w:numPr>
          <w:ilvl w:val="0"/>
          <w:numId w:val="27"/>
        </w:numPr>
        <w:spacing w:after="0" w:line="276"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выдача разрешения на создание на создание искусственного земельного участка на водном объекте, который находится в федеральной собственности, полностью расположен на территориях соответствующих субъектов Российской Федерации и использование водных ресурсов которого осуществляется для обеспечения питьевого и хозяйственно-бытового водоснабжения двух и более субъектов Российской Федерации, либо на водном объекте (его части), который находится в федеральной собственности и не расположен на территориях субъектов Российской Федерации, за исключением случая создания искусственного земельного участка на водном объекте в границах морского порта.</w:t>
      </w:r>
    </w:p>
    <w:p w14:paraId="1F539CF8" w14:textId="77777777" w:rsidR="005627DA" w:rsidRPr="005627DA" w:rsidRDefault="005627DA" w:rsidP="005627DA">
      <w:pPr>
        <w:widowControl w:val="0"/>
        <w:spacing w:after="0" w:line="276"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По данным функциям утверждены соответствующие административные регламенты, которые в полном объеме устраняют барьеры, препятствующие эффективному и конкурентному доступу участников в сфере природопользования.</w:t>
      </w:r>
    </w:p>
    <w:p w14:paraId="65B9A3A4" w14:textId="77777777" w:rsidR="005627DA" w:rsidRPr="005627DA" w:rsidRDefault="005627DA" w:rsidP="005627DA">
      <w:pPr>
        <w:widowControl w:val="0"/>
        <w:spacing w:after="0" w:line="276" w:lineRule="auto"/>
        <w:ind w:left="20" w:right="40" w:firstLine="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 xml:space="preserve">По подпункту «б» пункта Национального плана развития конкуренции в Российской Федерации на 2018-2020 годы, утвержденного Указом Президента Российской Федерации от 21.12.2017 № 618 (далее </w:t>
      </w:r>
      <w:r w:rsidRPr="005627DA">
        <w:rPr>
          <w:rFonts w:ascii="Times New Roman" w:eastAsia="Times New Roman" w:hAnsi="Times New Roman" w:cs="Times New Roman"/>
          <w:i/>
          <w:spacing w:val="3"/>
          <w:sz w:val="28"/>
          <w:szCs w:val="28"/>
          <w:lang w:bidi="ru-RU"/>
        </w:rPr>
        <w:t>–</w:t>
      </w:r>
      <w:r w:rsidRPr="005627DA">
        <w:rPr>
          <w:rFonts w:ascii="Times New Roman" w:eastAsia="Times New Roman" w:hAnsi="Times New Roman" w:cs="Times New Roman"/>
          <w:i/>
          <w:color w:val="000000"/>
          <w:spacing w:val="3"/>
          <w:sz w:val="28"/>
          <w:szCs w:val="28"/>
          <w:lang w:eastAsia="ru-RU" w:bidi="ru-RU"/>
        </w:rPr>
        <w:t xml:space="preserve"> Национальный план).</w:t>
      </w:r>
    </w:p>
    <w:p w14:paraId="1DC7CAB5" w14:textId="77777777" w:rsidR="005627DA" w:rsidRPr="005627DA" w:rsidRDefault="005627DA" w:rsidP="005627DA">
      <w:pPr>
        <w:widowControl w:val="0"/>
        <w:spacing w:after="0" w:line="276"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результате проведенной Росводресурсами работы, направленной на минимизацию нарушений в составлении закупочной документации, проведении закупочных процедур конкурентным способом, размещении информации о заказе в виде, который не ограничивает доступ к процедурам, возможности поиска и копирования фрагментов текста средствами веб - обозревателя, в 2018 году снизилось количество нарушений антимонопольного законодательства по сравнению с 2017 годом.</w:t>
      </w:r>
    </w:p>
    <w:p w14:paraId="14B84C76" w14:textId="77777777" w:rsidR="005627DA" w:rsidRPr="005627DA" w:rsidRDefault="005627DA" w:rsidP="005627DA">
      <w:pPr>
        <w:widowControl w:val="0"/>
        <w:spacing w:after="0" w:line="276"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 xml:space="preserve"> По подпункту «в» пункта 1 Национального плана.</w:t>
      </w:r>
    </w:p>
    <w:p w14:paraId="7D5A0203" w14:textId="77777777" w:rsidR="005627DA" w:rsidRPr="005627DA" w:rsidRDefault="005627DA" w:rsidP="005627DA">
      <w:pPr>
        <w:widowControl w:val="0"/>
        <w:spacing w:after="0" w:line="276"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рамках государственной поддержки субъектов малого предпринимательства и социально ориентированных некоммерческих организаций Росводресурсами в 2018 году заключено 982 государственных контракта на сумму 0,6 млрд. рублей, что составило более 22% от объема заказов, определенного в соответствии с перечнем, установленным Правительством Российской Федерации.</w:t>
      </w:r>
    </w:p>
    <w:p w14:paraId="010C214F" w14:textId="77777777" w:rsidR="005627DA" w:rsidRPr="005627DA" w:rsidRDefault="005627DA" w:rsidP="005627DA">
      <w:pPr>
        <w:widowControl w:val="0"/>
        <w:tabs>
          <w:tab w:val="left" w:pos="1070"/>
        </w:tabs>
        <w:spacing w:after="0" w:line="276"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абзацам 2-3 подпункта «г» пункта 2 Национального плана.</w:t>
      </w:r>
    </w:p>
    <w:p w14:paraId="49667CAF" w14:textId="77777777" w:rsidR="005627DA" w:rsidRPr="005627DA" w:rsidRDefault="005627DA" w:rsidP="005627DA">
      <w:pPr>
        <w:widowControl w:val="0"/>
        <w:spacing w:after="0" w:line="276"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Осуществление закупок в системе Федерального агентства водных ресурсов, помимо центрального аппарата, осуществляют территориальные органы (14 бассейновых водных управлений) и федеральные государственные бюджетные учреждения, подведомственные Росводресурсам (50 учреждений).</w:t>
      </w:r>
    </w:p>
    <w:p w14:paraId="7BCA2D1F" w14:textId="77777777" w:rsidR="005627DA" w:rsidRPr="005627DA" w:rsidRDefault="005627DA" w:rsidP="005627DA">
      <w:pPr>
        <w:widowControl w:val="0"/>
        <w:tabs>
          <w:tab w:val="left" w:pos="452"/>
        </w:tabs>
        <w:spacing w:after="0" w:line="276"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2018 году центральным аппаратом, территориальными органами и подведомственными организациями Росводресурсов было объявлено свыше 1900 закупочных процедур конкурентным способом определения</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поставщика (подрядчика, исполнителя) на общую сумму 2,8 млрд. рублей.</w:t>
      </w:r>
    </w:p>
    <w:p w14:paraId="16320AFB" w14:textId="77777777" w:rsidR="005627DA" w:rsidRPr="005627DA" w:rsidRDefault="005627DA" w:rsidP="005627DA">
      <w:pPr>
        <w:widowControl w:val="0"/>
        <w:tabs>
          <w:tab w:val="left" w:pos="6270"/>
        </w:tabs>
        <w:spacing w:after="0" w:line="276"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В том числе, объявлено 1 181 электронных аукционов на общую сумму 0,9 млрд. рублей, открытых конкурсов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184 на общую сумму</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 xml:space="preserve">1,2 млрд. рублей и запросов котировок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568 на общую сумму 0,7 млрд. рублей.</w:t>
      </w:r>
    </w:p>
    <w:p w14:paraId="18DBF775" w14:textId="77777777" w:rsidR="005627DA" w:rsidRPr="005627DA" w:rsidRDefault="005627DA" w:rsidP="005627DA">
      <w:pPr>
        <w:widowControl w:val="0"/>
        <w:spacing w:after="0" w:line="276"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У единственного поставщика (исполнителя, подрядчика) размещено 480 закупочных процедур на общую сумму 0,4 млрд. рублей. В первую очередь это заказы у субъектов естественных монополий.</w:t>
      </w:r>
    </w:p>
    <w:p w14:paraId="49B106CA" w14:textId="77777777" w:rsidR="005627DA" w:rsidRPr="005627DA" w:rsidRDefault="005627DA" w:rsidP="005627DA">
      <w:pPr>
        <w:widowControl w:val="0"/>
        <w:spacing w:after="0" w:line="276" w:lineRule="auto"/>
        <w:ind w:left="20" w:right="20" w:firstLine="70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В 2018 году заключено 7 709 закупок товаров, работ и услуг до 100 тысяч рулей на общую сумму 0,15 млрд. рублей.</w:t>
      </w:r>
    </w:p>
    <w:p w14:paraId="275E5192" w14:textId="77777777" w:rsidR="005627DA" w:rsidRPr="005627DA" w:rsidRDefault="005627DA" w:rsidP="005627DA">
      <w:pPr>
        <w:widowControl w:val="0"/>
        <w:spacing w:after="0" w:line="276" w:lineRule="auto"/>
        <w:ind w:left="20" w:right="20" w:firstLine="700"/>
        <w:jc w:val="both"/>
        <w:rPr>
          <w:rFonts w:ascii="Times New Roman" w:eastAsia="Times New Roman" w:hAnsi="Times New Roman" w:cs="Times New Roman"/>
          <w:b/>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2. </w:t>
      </w:r>
      <w:r w:rsidRPr="005627DA">
        <w:rPr>
          <w:rFonts w:ascii="Times New Roman" w:eastAsia="Times New Roman" w:hAnsi="Times New Roman" w:cs="Times New Roman"/>
          <w:b/>
          <w:color w:val="000000"/>
          <w:spacing w:val="3"/>
          <w:sz w:val="28"/>
          <w:szCs w:val="28"/>
          <w:lang w:eastAsia="ru-RU" w:bidi="ru-RU"/>
        </w:rPr>
        <w:t>В части гидрометеорологии:</w:t>
      </w:r>
    </w:p>
    <w:p w14:paraId="686C0DE0" w14:textId="77777777" w:rsidR="005627DA" w:rsidRPr="005627DA" w:rsidRDefault="005627DA" w:rsidP="005627DA">
      <w:pPr>
        <w:widowControl w:val="0"/>
        <w:spacing w:after="0" w:line="276"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подпункту «г» пункта 2 Национального плана.</w:t>
      </w:r>
    </w:p>
    <w:p w14:paraId="145D414A" w14:textId="77777777" w:rsidR="005627DA" w:rsidRPr="005627DA" w:rsidRDefault="005627DA" w:rsidP="005627DA">
      <w:pPr>
        <w:widowControl w:val="0"/>
        <w:tabs>
          <w:tab w:val="left" w:pos="1369"/>
          <w:tab w:val="right" w:pos="9378"/>
        </w:tabs>
        <w:spacing w:after="0" w:line="276" w:lineRule="auto"/>
        <w:ind w:firstLine="709"/>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 xml:space="preserve">В 2018 году центральным аппаратом Росгидромета, территориальными органами и подведомственными учреждениями Росгидромета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было заключено 6864 контрактов и договоров на сумму 3292088,91 тыс. руб. </w:t>
      </w:r>
    </w:p>
    <w:p w14:paraId="589E7179" w14:textId="77777777" w:rsidR="005627DA" w:rsidRPr="005627DA" w:rsidRDefault="005627DA" w:rsidP="005627DA">
      <w:pPr>
        <w:widowControl w:val="0"/>
        <w:spacing w:after="0" w:line="276" w:lineRule="auto"/>
        <w:ind w:left="20" w:right="20" w:firstLine="720"/>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В соответствии с Методикой расчета показателя «Доля конкурентных закупок», характеризующего эффективность закупок товаров, работ, услуг, в том числе федеральными государственными бюджетными учреждениями, подведомственными Росгидромету, утвержденной распоряжением Росгидромета от 12.10.2018 № 212,  показатель «Доля конкурентных закупок» в 2018 году составил 93,9% (&gt;85%), что говорит о высокой эффективности закупок.</w:t>
      </w:r>
    </w:p>
    <w:p w14:paraId="517414A2" w14:textId="77777777" w:rsidR="005627DA" w:rsidRPr="005627DA" w:rsidRDefault="005627DA" w:rsidP="005627DA">
      <w:pPr>
        <w:widowControl w:val="0"/>
        <w:spacing w:after="0" w:line="276" w:lineRule="auto"/>
        <w:ind w:left="20" w:firstLine="689"/>
        <w:jc w:val="both"/>
        <w:rPr>
          <w:rFonts w:ascii="Times New Roman" w:eastAsia="Times New Roman" w:hAnsi="Times New Roman" w:cs="Times New Roman"/>
          <w:b/>
          <w:color w:val="000000"/>
          <w:sz w:val="28"/>
          <w:szCs w:val="28"/>
          <w:lang w:eastAsia="ru-RU" w:bidi="ru-RU"/>
        </w:rPr>
      </w:pPr>
      <w:r w:rsidRPr="005627DA">
        <w:rPr>
          <w:rFonts w:ascii="Times New Roman" w:eastAsia="Times New Roman" w:hAnsi="Times New Roman" w:cs="Times New Roman"/>
          <w:b/>
          <w:color w:val="000000"/>
          <w:sz w:val="28"/>
          <w:szCs w:val="28"/>
          <w:lang w:eastAsia="ru-RU" w:bidi="ru-RU"/>
        </w:rPr>
        <w:t>3. В части недропользования.</w:t>
      </w:r>
    </w:p>
    <w:p w14:paraId="6D487758" w14:textId="77777777" w:rsidR="005627DA" w:rsidRPr="005627DA" w:rsidRDefault="005627DA" w:rsidP="005627DA">
      <w:pPr>
        <w:spacing w:after="0" w:line="276"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реализации мероприятий по развитию конкуренции в области недропользования, не запланированных в «дорожной карте».</w:t>
      </w:r>
    </w:p>
    <w:p w14:paraId="10176BC6"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Предоставление в пользование участков недр с целью разведки и добычи полезных ископаемых на территории Российской Федерации в соответствии с законом Российской Федерации от 21.02.1992 № 2395-1 «О недрах» осуществляется на принципах состязательности и конкуренции.</w:t>
      </w:r>
    </w:p>
    <w:p w14:paraId="6D8E47B2"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проведено 293 аукционов и конкурсов на право пользования недрами для участков недр, содержащих твердые полезные ископаемые, из них состоявшимися признаны 231 (78,8%); проведено 140 аукционов и конкурсов на право пользования недрами для участков недр, содержащих углеводородное сырье, из них состоявшимися признаны 44%.</w:t>
      </w:r>
    </w:p>
    <w:p w14:paraId="06615D6C"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выдана 1351 лицензия (включая лицензии, выданные по факту открытия, по госконтрактам, краткосрочные и т.п.), в том числе 749 лицензий лицензий, выданных по «заявительному» принципу.</w:t>
      </w:r>
    </w:p>
    <w:p w14:paraId="60499F1F"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Выдано 345 лицензий на право пользования недрами в части углеводородного сырья (в том числе 11 – по факту открытия месторождения).</w:t>
      </w:r>
    </w:p>
    <w:p w14:paraId="036A4C85"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В части углеводородного сырья, в соответствии с разделом </w:t>
      </w:r>
      <w:r w:rsidRPr="005627DA">
        <w:rPr>
          <w:rFonts w:ascii="Times New Roman" w:eastAsia="Calibri" w:hAnsi="Times New Roman" w:cs="Times New Roman"/>
          <w:sz w:val="28"/>
          <w:szCs w:val="28"/>
          <w:lang w:val="en-US"/>
        </w:rPr>
        <w:t>IV</w:t>
      </w:r>
      <w:r w:rsidRPr="005627DA">
        <w:rPr>
          <w:rFonts w:ascii="Times New Roman" w:eastAsia="Calibri" w:hAnsi="Times New Roman" w:cs="Times New Roman"/>
          <w:sz w:val="28"/>
          <w:szCs w:val="28"/>
        </w:rPr>
        <w:t xml:space="preserve"> Порядка рассмотрения заявок на получение права пользования недрами для геологического изучения недр (за исключением недр на участках недр федерального значения и участках недр местного значения), утвержденного приказом Минприроды России от 10.11.2016 № 583, выдано 6 лицензий на геологическое изучения, из них 5 лицензий приходятся на Иркутскую область и 1 лицензия – на Камчатский край.</w:t>
      </w:r>
    </w:p>
    <w:p w14:paraId="20063F25"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в ФГКУ «Росгеолэкспертиза» в установленные сроки по выданным лицензиям поступила проектная документация на проведение работ по геологическому изучению недр.</w:t>
      </w:r>
    </w:p>
    <w:p w14:paraId="2AB12417"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Согласно проектным документам на выполнение геологоразведочных работ запланированы инвестиции в объеме 1,989 млрд руб.</w:t>
      </w:r>
    </w:p>
    <w:p w14:paraId="68C2624A" w14:textId="77777777" w:rsidR="005627DA" w:rsidRPr="005627DA" w:rsidRDefault="005627DA" w:rsidP="005627DA">
      <w:pPr>
        <w:spacing w:after="0" w:line="276"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проведения мероприятий по снятию административных барьеров в сфере природопользования.</w:t>
      </w:r>
    </w:p>
    <w:p w14:paraId="0441AC38"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Для привлечения внебюджетных источников финансирования геологоразведочных работ ранних стадий, усиления конкуренции при проведении поисковой стадии геологоразведочных работ и с целью снятия излишних административных барьеров в недропользовании приказом Минприроды России от 27.01.2014 № 37 был внедрен «заявительный» принцип предоставления в пользование участков недр с низкой степенью геологической изученности, обеспечивший значительный (в разы) рост количества заявок на получение права пользования недрами для геологического изучения.</w:t>
      </w:r>
    </w:p>
    <w:p w14:paraId="66789311"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Приказом Минприроды России от 10.11.2016 № 583 «заявительный» принцип получения права пользования участками недр для геологического изучения расширен на углеводородное сырье, в части участков недр, по которым отсутствуют данные по запасам углеводородного сырья и прогнозным ресурсам категории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О</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Л</w:t>
      </w:r>
      <w:r w:rsidRPr="005627DA">
        <w:rPr>
          <w:rFonts w:ascii="Times New Roman" w:eastAsia="Calibri" w:hAnsi="Times New Roman" w:cs="Times New Roman"/>
          <w:sz w:val="28"/>
          <w:szCs w:val="28"/>
        </w:rPr>
        <w:t>, а также в части получения права пользования участками недр в целях геологического изучения нижележащих и вышележащих горизонтов разведываемых и разрабатываемых месторождений полезных ископаемых и их флангов. Кроме того, с принятием приказа Минприроды России от 16.10.2017 № 566 был также упрощен доступ к флангам разведываемых и разрабатываемых месторождений полезных ископаемых.</w:t>
      </w:r>
    </w:p>
    <w:p w14:paraId="3AAEF241"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за время действия «заявительного» принципа поступило 4960 заявок, принято решений о предоставлении права пользования недрами – 2069, выдано лицензий – 1935, в том числе в 2018 году – 749. Рассмотрено 1288 проектов по лицензиям, предоставленным по «заявительному» принципу с общей стоимостью ГРР – 80,2 млрд руб.</w:t>
      </w:r>
    </w:p>
    <w:p w14:paraId="649083D9"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Учитывая более высокую эффективность «заявительного» принципа по сравнению с механизмом предоставления в пользование участков недр по перечням, представляется целесообразным расширить действие «заявительного» принципа на участки недр, содержащие прогнозные ресурсы твердых полезных ископаемых категории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1</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2</w:t>
      </w:r>
      <w:r w:rsidRPr="005627DA">
        <w:rPr>
          <w:rFonts w:ascii="Times New Roman" w:eastAsia="Calibri" w:hAnsi="Times New Roman" w:cs="Times New Roman"/>
          <w:sz w:val="28"/>
          <w:szCs w:val="28"/>
        </w:rPr>
        <w:t>.</w:t>
      </w:r>
    </w:p>
    <w:p w14:paraId="171F0CAD"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целях оценки целесообразности вышеуказанной инициативы предлагается реализовать «пилотный проект» по распространению «заявительного» принципа на такие участки на территории Чукотского автономного округа, поскольку его территория в значительной степени занята объектами с оцененными прогнозными ресурсами рудного и россыпного золота категорий Р</w:t>
      </w:r>
      <w:r w:rsidRPr="005627DA">
        <w:rPr>
          <w:rFonts w:ascii="Times New Roman" w:eastAsia="Calibri" w:hAnsi="Times New Roman" w:cs="Times New Roman"/>
          <w:sz w:val="28"/>
          <w:szCs w:val="28"/>
          <w:vertAlign w:val="subscript"/>
        </w:rPr>
        <w:t>1</w:t>
      </w:r>
      <w:r w:rsidRPr="005627DA">
        <w:rPr>
          <w:rFonts w:ascii="Times New Roman" w:eastAsia="Calibri" w:hAnsi="Times New Roman" w:cs="Times New Roman"/>
          <w:sz w:val="28"/>
          <w:szCs w:val="28"/>
        </w:rPr>
        <w:t xml:space="preserve"> и Р</w:t>
      </w:r>
      <w:r w:rsidRPr="005627DA">
        <w:rPr>
          <w:rFonts w:ascii="Times New Roman" w:eastAsia="Calibri" w:hAnsi="Times New Roman" w:cs="Times New Roman"/>
          <w:sz w:val="28"/>
          <w:szCs w:val="28"/>
          <w:vertAlign w:val="subscript"/>
        </w:rPr>
        <w:t>2</w:t>
      </w:r>
      <w:r w:rsidRPr="005627DA">
        <w:rPr>
          <w:rFonts w:ascii="Times New Roman" w:eastAsia="Calibri" w:hAnsi="Times New Roman" w:cs="Times New Roman"/>
          <w:sz w:val="28"/>
          <w:szCs w:val="28"/>
        </w:rPr>
        <w:t xml:space="preserve"> и перспективна для геологического изучения.</w:t>
      </w:r>
    </w:p>
    <w:p w14:paraId="1D361175"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случае получения положительных результатов реализации данного «пилотного проекта» представляется целесообразным в дальнейшем распространить «заявительный» принцип на участки недр, по которым имеются сведения о наличии прогнозных ресурсов рудного и россыпного золота по категориям Р</w:t>
      </w:r>
      <w:r w:rsidRPr="005627DA">
        <w:rPr>
          <w:rFonts w:ascii="Times New Roman" w:eastAsia="Calibri" w:hAnsi="Times New Roman" w:cs="Times New Roman"/>
          <w:sz w:val="28"/>
          <w:szCs w:val="28"/>
          <w:vertAlign w:val="subscript"/>
        </w:rPr>
        <w:t>1</w:t>
      </w:r>
      <w:r w:rsidRPr="005627DA">
        <w:rPr>
          <w:rFonts w:ascii="Times New Roman" w:eastAsia="Calibri" w:hAnsi="Times New Roman" w:cs="Times New Roman"/>
          <w:sz w:val="28"/>
          <w:szCs w:val="28"/>
        </w:rPr>
        <w:t xml:space="preserve"> и Р</w:t>
      </w:r>
      <w:r w:rsidRPr="005627DA">
        <w:rPr>
          <w:rFonts w:ascii="Times New Roman" w:eastAsia="Calibri" w:hAnsi="Times New Roman" w:cs="Times New Roman"/>
          <w:sz w:val="28"/>
          <w:szCs w:val="28"/>
          <w:vertAlign w:val="subscript"/>
        </w:rPr>
        <w:t>2</w:t>
      </w:r>
      <w:r w:rsidRPr="005627DA">
        <w:rPr>
          <w:rFonts w:ascii="Times New Roman" w:eastAsia="Calibri" w:hAnsi="Times New Roman" w:cs="Times New Roman"/>
          <w:sz w:val="28"/>
          <w:szCs w:val="28"/>
        </w:rPr>
        <w:t xml:space="preserve"> и отсутствуют сведения о запасах полезных ископаемых, на всю территорию Российской Федерации.</w:t>
      </w:r>
    </w:p>
    <w:p w14:paraId="3E48695B"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b/>
          <w:sz w:val="28"/>
          <w:szCs w:val="28"/>
        </w:rPr>
        <w:t xml:space="preserve">4. В части лесопользования </w:t>
      </w:r>
      <w:r w:rsidRPr="005627DA">
        <w:rPr>
          <w:rFonts w:ascii="Times New Roman" w:eastAsia="Calibri" w:hAnsi="Times New Roman" w:cs="Times New Roman"/>
          <w:sz w:val="28"/>
          <w:szCs w:val="28"/>
        </w:rPr>
        <w:t xml:space="preserve">направляем информацию Рослесхоза о реализации </w:t>
      </w:r>
      <w:r w:rsidRPr="005627DA">
        <w:rPr>
          <w:rFonts w:ascii="Times New Roman" w:eastAsia="Calibri" w:hAnsi="Times New Roman" w:cs="Times New Roman"/>
          <w:i/>
          <w:sz w:val="28"/>
          <w:szCs w:val="28"/>
          <w:lang w:bidi="ru-RU"/>
        </w:rPr>
        <w:t xml:space="preserve">раздела </w:t>
      </w:r>
      <w:r w:rsidR="00490032">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«дорожной карты» </w:t>
      </w:r>
      <w:r w:rsidRPr="005627DA">
        <w:rPr>
          <w:rFonts w:ascii="Times New Roman" w:eastAsia="Calibri" w:hAnsi="Times New Roman" w:cs="Times New Roman"/>
          <w:sz w:val="28"/>
          <w:szCs w:val="28"/>
        </w:rPr>
        <w:t>(письмо от 11.02.2019                                      № НК-06-42/1926).</w:t>
      </w:r>
    </w:p>
    <w:p w14:paraId="7AFE9635" w14:textId="77777777" w:rsidR="005627DA" w:rsidRPr="005627DA" w:rsidRDefault="005627DA" w:rsidP="005627DA">
      <w:pPr>
        <w:spacing w:after="0" w:line="276" w:lineRule="auto"/>
        <w:ind w:firstLine="709"/>
        <w:jc w:val="both"/>
        <w:rPr>
          <w:rFonts w:ascii="Times New Roman" w:eastAsia="Calibri" w:hAnsi="Times New Roman" w:cs="Times New Roman"/>
          <w:b/>
          <w:sz w:val="28"/>
          <w:szCs w:val="28"/>
        </w:rPr>
      </w:pPr>
      <w:r w:rsidRPr="005627DA">
        <w:rPr>
          <w:rFonts w:ascii="Times New Roman" w:eastAsia="Calibri" w:hAnsi="Times New Roman" w:cs="Times New Roman"/>
          <w:b/>
          <w:sz w:val="28"/>
          <w:szCs w:val="28"/>
        </w:rPr>
        <w:t>5. В части охотничьего хозяйства:</w:t>
      </w:r>
    </w:p>
    <w:p w14:paraId="13D55A68"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Во исполнение пунктов 1, 2, 4 и 5 подраздела XV раздела II Плана мероприятий («дорожной карты») разработан проект федерального закона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в части совершенствования порядка заключения охотхозяйственных соглашений» (далее – законопроект).</w:t>
      </w:r>
    </w:p>
    <w:p w14:paraId="7AF9F1AA"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связи с имеющимися замечаниями к законопроекту (письма ФАС России от 29 декабря 2018 г. № РП/109220/18 и от 18 января 2019 г. № РП/2983/19) 12 февраля 2019 г. проведено согласительное совещание между Минприроды России и ФАС России, на котором выработана консолидированная позиция по дальнейшей доработке законопроекта (протокол от 6 марта 2019 г. № 03-16/64-пр).</w:t>
      </w:r>
    </w:p>
    <w:p w14:paraId="61B8F533" w14:textId="77777777" w:rsidR="005627DA" w:rsidRPr="005627DA" w:rsidRDefault="005627DA" w:rsidP="005627DA">
      <w:pPr>
        <w:spacing w:after="0" w:line="276"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настоящее время законопроект дорабатывается в соответствии с принятыми на указанном совещании решениями и готовится к направлению на согласование в заинтересованные федеральные органы исполнительной власти.</w:t>
      </w:r>
    </w:p>
    <w:p w14:paraId="0FA39BD8" w14:textId="77777777" w:rsidR="0048363D" w:rsidRPr="0048363D" w:rsidRDefault="0048363D" w:rsidP="0048363D">
      <w:pPr>
        <w:rPr>
          <w:lang w:eastAsia="ru-RU"/>
        </w:rPr>
      </w:pPr>
    </w:p>
    <w:p w14:paraId="129E59AE" w14:textId="0D662516" w:rsidR="0048363D" w:rsidRPr="0048363D" w:rsidRDefault="00246006" w:rsidP="00BB7A44">
      <w:pPr>
        <w:pStyle w:val="2"/>
        <w:numPr>
          <w:ilvl w:val="1"/>
          <w:numId w:val="69"/>
        </w:numPr>
      </w:pPr>
      <w:bookmarkStart w:id="2082" w:name="_Toc7448070"/>
      <w:r>
        <w:t>Федеральное агентство лесного хозяйства (Россельхоз)</w:t>
      </w:r>
      <w:bookmarkEnd w:id="2082"/>
    </w:p>
    <w:p w14:paraId="5FE32221" w14:textId="77777777" w:rsidR="0048363D" w:rsidRDefault="0048363D" w:rsidP="0048363D">
      <w:pPr>
        <w:rPr>
          <w:lang w:eastAsia="ru-RU"/>
        </w:rPr>
      </w:pPr>
    </w:p>
    <w:p w14:paraId="27A1357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 xml:space="preserve">Федеральное агентство лесного хозяйства в соответствии с распоряжением Правительства Российской Федерации от 16.08.2018 </w:t>
      </w:r>
      <w:r w:rsidR="00497F57">
        <w:rPr>
          <w:rFonts w:ascii="Times New Roman" w:eastAsia="Times New Roman" w:hAnsi="Times New Roman" w:cs="Times New Roman"/>
          <w:color w:val="000000"/>
          <w:spacing w:val="3"/>
          <w:sz w:val="28"/>
          <w:szCs w:val="28"/>
          <w:lang w:eastAsia="ru-RU"/>
        </w:rPr>
        <w:t xml:space="preserve">                       </w:t>
      </w:r>
      <w:r w:rsidRPr="00C47B4D">
        <w:rPr>
          <w:rFonts w:ascii="Times New Roman" w:eastAsia="Times New Roman" w:hAnsi="Times New Roman" w:cs="Times New Roman"/>
          <w:color w:val="000000"/>
          <w:spacing w:val="3"/>
          <w:sz w:val="28"/>
          <w:szCs w:val="28"/>
          <w:lang w:eastAsia="ru-RU"/>
        </w:rPr>
        <w:t xml:space="preserve">№ 1697-р направляет информацию о ходе исполнения раздела XV. «Сфера природных ресурсов (недропользование, водопользование, лесное и охотничье хозяйство)» Плана мероприятий («дорожной карты») по развитию конкуренции </w:t>
      </w:r>
      <w:r w:rsidRPr="00C47B4D">
        <w:rPr>
          <w:rFonts w:ascii="Times New Roman" w:eastAsia="Times New Roman" w:hAnsi="Times New Roman" w:cs="Times New Roman"/>
          <w:i/>
          <w:iCs/>
          <w:color w:val="000000"/>
          <w:spacing w:val="1"/>
          <w:sz w:val="28"/>
          <w:szCs w:val="28"/>
          <w:lang w:eastAsia="ru-RU"/>
        </w:rPr>
        <w:t>в</w:t>
      </w:r>
      <w:r w:rsidRPr="00C47B4D">
        <w:rPr>
          <w:rFonts w:ascii="Times New Roman" w:eastAsia="Times New Roman" w:hAnsi="Times New Roman" w:cs="Times New Roman"/>
          <w:color w:val="000000"/>
          <w:spacing w:val="3"/>
          <w:sz w:val="28"/>
          <w:szCs w:val="28"/>
          <w:lang w:eastAsia="ru-RU"/>
        </w:rPr>
        <w:t xml:space="preserve">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6E8DCCA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мероприятий 1 и 2 указанного раздела «дорожной карты» сообщаем, что порядок подготовки, организации и проведения торгов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установлен статьями 78 и 79 Лесного кодекса Российской Федерации (далее - Лесной кодекс).</w:t>
      </w:r>
    </w:p>
    <w:p w14:paraId="50F1377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соответствии с частью 12 статьи 78 и частью 10 статьи 79 Лесного кодекса информация о проведении аукциона на право заключения договора аренды лесного участка, находящегося в государственной или муниципальной собственности, и договора купли-продажи лесных насаждений, включающая извещение о проведении аукциона, документацию об аукционе, протокол о результатах аукциона размещается в информационно-телекоммуникационной сети «Интернет» на официальном сайте торгов Российской Федерации (</w:t>
      </w:r>
      <w:r w:rsidRPr="00C47B4D">
        <w:rPr>
          <w:rFonts w:ascii="Times New Roman" w:eastAsia="Times New Roman" w:hAnsi="Times New Roman" w:cs="Times New Roman"/>
          <w:color w:val="000000"/>
          <w:spacing w:val="3"/>
          <w:sz w:val="28"/>
          <w:szCs w:val="28"/>
          <w:lang w:val="en-US" w:eastAsia="ru-RU"/>
        </w:rPr>
        <w:t>torgi</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gov</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ru</w:t>
      </w:r>
      <w:r w:rsidRPr="00C47B4D">
        <w:rPr>
          <w:rFonts w:ascii="Times New Roman" w:eastAsia="Times New Roman" w:hAnsi="Times New Roman" w:cs="Times New Roman"/>
          <w:color w:val="000000"/>
          <w:spacing w:val="3"/>
          <w:sz w:val="28"/>
          <w:szCs w:val="28"/>
          <w:lang w:eastAsia="ru-RU"/>
        </w:rPr>
        <w:t>).</w:t>
      </w:r>
    </w:p>
    <w:p w14:paraId="50EA134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7 статьи 79 Лесного кодекса определено, что в случае если аукцион признан несостоявшимся по причине подачи только одной заявки на участие в таком аукционе, единственный участник аукциона не позднее чем через двадцать дней после дня проведения аукциона обязан заключить договор аренды лесного участка, находящегося в государственной или муниципальной собственности, или договор купли-продажи лесных насаждений, а орган государственной власти или орган местного самоуправления, принявшие решение о проведении аукциона, не вправе отказаться от заключения с одним из указанных лиц соответствующего договора по начальной цене предмета аукциона.</w:t>
      </w:r>
    </w:p>
    <w:p w14:paraId="3EF210A3"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9 статьи 79 Лесного кодекса установлено, что в случае, если победитель аукциона уклонился от заключения договора аренды лесного участка либо договора купли-продажи лесных насаждений, соответствующий договор подлежит заключению с участником аукциона, который сделал предпоследнее предложение о цене предмета аукциона.</w:t>
      </w:r>
    </w:p>
    <w:p w14:paraId="67751D7F"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Необходимо отметить, что Федеральным законом от 29.12.2017 № 471-ФЗ внесены изменения в статью 80 Лесного кодекса, согласно которым аукцион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проводится в электронной форме, за исключением следующих случаев:</w:t>
      </w:r>
    </w:p>
    <w:p w14:paraId="12F97AA4" w14:textId="77777777" w:rsidR="00C47B4D" w:rsidRPr="00C47B4D" w:rsidRDefault="00C47B4D" w:rsidP="00BE213D">
      <w:pPr>
        <w:widowControl w:val="0"/>
        <w:numPr>
          <w:ilvl w:val="0"/>
          <w:numId w:val="28"/>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крестьянским (фермерским) хозяйствам в целях использования лесов для ведения сельского хозяйства;</w:t>
      </w:r>
    </w:p>
    <w:p w14:paraId="07E28F77" w14:textId="77777777" w:rsidR="00C47B4D" w:rsidRPr="00C47B4D" w:rsidRDefault="00C47B4D" w:rsidP="00BE213D">
      <w:pPr>
        <w:widowControl w:val="0"/>
        <w:numPr>
          <w:ilvl w:val="0"/>
          <w:numId w:val="28"/>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для использования лесов в целях заготовки живицы, заготовки и сбора недревесных лесных ресурсов;</w:t>
      </w:r>
    </w:p>
    <w:p w14:paraId="19A69050" w14:textId="77777777" w:rsidR="00C47B4D" w:rsidRPr="00C47B4D" w:rsidRDefault="00C47B4D" w:rsidP="00BE213D">
      <w:pPr>
        <w:widowControl w:val="0"/>
        <w:numPr>
          <w:ilvl w:val="0"/>
          <w:numId w:val="28"/>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заключение договора купли-продажи лесных насаждений с субъектами малого и среднего предпринимательства.</w:t>
      </w:r>
    </w:p>
    <w:p w14:paraId="25FB1CD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Указанные изменения позволят обеспечить прозрачность процедур организации и проведения лесных торгов и повысить эффективность использования лесных ресурсов.</w:t>
      </w:r>
    </w:p>
    <w:p w14:paraId="2D8F0EEC"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данным, представленным органами государственной власти субъектов Российской Федерации, осуществляющими переданные полномочия в области лесных отношений, в 2018 году проведено 327 аукционов по продаже права на заключение договоров аренды лесных участков и купли-продажи лесных насаждений в электронной форме на электронных площадках («Сбербанк-АСТ», «РТС-Тендер», АО «Российский аукционный дом»), на которых выставлено 2123 лотов, из них предоставлено: единственному участнику аукциона - 1336 лотов; лицу, чье предложение было предшествующим предложению победителя аукциона (в случае отказа победителя аукциона от заключения договора) - 39 лотов.</w:t>
      </w:r>
    </w:p>
    <w:p w14:paraId="643C35E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Вместе с тем Федеральное агентство лесного хозяйства согласовало проект федерального закона «Об электронных торгах в Российской Федерации», представленный Минэкономразвития России (письмо в Минприроды России от 27.09.2019 № НК-06-42/16196).</w:t>
      </w:r>
    </w:p>
    <w:p w14:paraId="74EC7AF0"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4 указанного раздела «дорожной карты» сообщаем, что Федеральным законом от 23.06.2016 № 218-ФЗ предусмотрено ведение реестра недобросовестных арендаторов лесных участков и покупателей лесных насаждений, которое осуществляется Рослесхозом.</w:t>
      </w:r>
    </w:p>
    <w:p w14:paraId="2F3546D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Фактически, внесение информации в указанный реестр исключает возможность доступа недобросовестных лесопользователей к лесным ресурсам в предпринимательских целях - Лесным кодексом предусмотрен запрет на заключение договоров аренды лесных участков и купли-продажи лесных насаждений с гражданами и юридическими лицами информация о которых содержится в реестре.</w:t>
      </w:r>
    </w:p>
    <w:p w14:paraId="29EB9779"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состоянию на 7 декабря 2018 года в реестр недобросовестных арендаторов лесных участков и покупателей лесных насаждений Рослесхозом включена информация в отношении 263 лесопользователей, в том числе 230 юридических лиц и 33 индивидуальных предпринимателей.</w:t>
      </w:r>
    </w:p>
    <w:p w14:paraId="4E1ECFF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Ведение реестра недобросовестных арендаторов лесных участков и покупателей лесных насаждений окажет положительное влияние не только на государственную систему управления лесными ресурсами - путем улучшения исполнительской дисциплины лесопользователей и обеспечения своевременного выполнения договорных обязательств (внесение арендных платежей в полном объеме, качественное выполнение лесохозяйственных мероприятий), но также будет иметь позитивный эффект для добросовестных лесопользователей - будут созданы условия для более эффективного распределения лесных ресурсов и сформированы условия «здоровой конкуренции».</w:t>
      </w:r>
    </w:p>
    <w:p w14:paraId="0F1D8D8E"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5 указанного раздела «дорожной карты» сообщаем, что Федеральным законом от 29.06.2015 № 206-ФЗ внесены изменения в статью 74 Лесного кодекса согласно которым арендаторы находящихся в государственной или муниципальной собственности лесных участков, надлежащим образом исполнившие договоры аренды лесных участков, по истечении сроков действия этих договоров имеют право на заключение новых договоров аренды таких лесных участков без проведения торгов в следующих случаях:</w:t>
      </w:r>
    </w:p>
    <w:p w14:paraId="7BCC2AFE" w14:textId="77777777" w:rsidR="00C47B4D" w:rsidRPr="00C47B4D" w:rsidRDefault="00C47B4D" w:rsidP="00BE213D">
      <w:pPr>
        <w:widowControl w:val="0"/>
        <w:numPr>
          <w:ilvl w:val="0"/>
          <w:numId w:val="29"/>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без проведения торгов;</w:t>
      </w:r>
    </w:p>
    <w:p w14:paraId="629A4B22" w14:textId="77777777" w:rsidR="00C47B4D" w:rsidRPr="00C47B4D" w:rsidRDefault="00C47B4D" w:rsidP="00BE213D">
      <w:pPr>
        <w:widowControl w:val="0"/>
        <w:numPr>
          <w:ilvl w:val="0"/>
          <w:numId w:val="29"/>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по результатам торгов на срок от десяти лет.</w:t>
      </w:r>
    </w:p>
    <w:p w14:paraId="544130B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При этом в соответствии с частью 2 статьи 74 Лесного кодекса гражданин или юридическое лицо, являющиеся арендаторами находящегося в государственной или муниципальной собственности лесного участка, имеют право на заключение договора аренды такого лесного участка на новый срок при наличии совокупности следующих условий:</w:t>
      </w:r>
    </w:p>
    <w:p w14:paraId="63F7B73F" w14:textId="77777777" w:rsidR="00C47B4D" w:rsidRPr="00C47B4D" w:rsidRDefault="00C47B4D" w:rsidP="00BE213D">
      <w:pPr>
        <w:widowControl w:val="0"/>
        <w:numPr>
          <w:ilvl w:val="0"/>
          <w:numId w:val="30"/>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заявление о заключении нового договора аренды такого лесного участка подано этим гражданином или этим юридическим лицом не ранее чем за три месяца и не позднее чем за два месяца до истечения срока действия заключенного ранее договора аренды лесного участка;</w:t>
      </w:r>
    </w:p>
    <w:p w14:paraId="313DDE01" w14:textId="77777777" w:rsidR="00C47B4D" w:rsidRPr="00C47B4D" w:rsidRDefault="00C47B4D" w:rsidP="00BE213D">
      <w:pPr>
        <w:widowControl w:val="0"/>
        <w:numPr>
          <w:ilvl w:val="0"/>
          <w:numId w:val="30"/>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сведений об арендаторе в реестре недобросовестных арендаторов лесных участков и покупателей лесных насаждений;</w:t>
      </w:r>
    </w:p>
    <w:p w14:paraId="2D7A9858" w14:textId="77777777" w:rsidR="00C47B4D" w:rsidRPr="00C47B4D" w:rsidRDefault="00C47B4D" w:rsidP="00BE213D">
      <w:pPr>
        <w:widowControl w:val="0"/>
        <w:numPr>
          <w:ilvl w:val="0"/>
          <w:numId w:val="30"/>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неоднократного нарушения условий заключенного ранее договора аренды такого лесного участка этим гражданином или этим юридическим лицом;</w:t>
      </w:r>
    </w:p>
    <w:p w14:paraId="5333227D" w14:textId="77777777" w:rsidR="00C47B4D" w:rsidRPr="00C47B4D" w:rsidRDefault="00C47B4D" w:rsidP="00BE213D">
      <w:pPr>
        <w:widowControl w:val="0"/>
        <w:numPr>
          <w:ilvl w:val="0"/>
          <w:numId w:val="30"/>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несвоевременного внесения арендной платы за три оплачиваемых периода подряд;</w:t>
      </w:r>
    </w:p>
    <w:p w14:paraId="6BBEE9ED" w14:textId="77777777" w:rsidR="00C47B4D" w:rsidRPr="00C47B4D" w:rsidRDefault="00C47B4D" w:rsidP="00BE213D">
      <w:pPr>
        <w:widowControl w:val="0"/>
        <w:numPr>
          <w:ilvl w:val="0"/>
          <w:numId w:val="30"/>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условия подлежащего заключению договора аренды лесного участка не противоречат лесохозяйственному регламенту лесничества, лесопарка;</w:t>
      </w:r>
    </w:p>
    <w:p w14:paraId="1621251B" w14:textId="77777777" w:rsidR="00C47B4D" w:rsidRPr="00C47B4D" w:rsidRDefault="00C47B4D" w:rsidP="00BE213D">
      <w:pPr>
        <w:widowControl w:val="0"/>
        <w:numPr>
          <w:ilvl w:val="0"/>
          <w:numId w:val="30"/>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лесной участок предоставляется для тех же видов использования лесов, для которых был предоставлен ранее;</w:t>
      </w:r>
    </w:p>
    <w:p w14:paraId="109947F7" w14:textId="77777777" w:rsidR="00C47B4D" w:rsidRPr="00C47B4D" w:rsidRDefault="00C47B4D" w:rsidP="00BE213D">
      <w:pPr>
        <w:pStyle w:val="13"/>
        <w:widowControl w:val="0"/>
        <w:numPr>
          <w:ilvl w:val="0"/>
          <w:numId w:val="30"/>
        </w:numPr>
        <w:shd w:val="clear" w:color="auto" w:fill="auto"/>
        <w:tabs>
          <w:tab w:val="left" w:pos="1005"/>
        </w:tabs>
        <w:spacing w:before="0" w:line="240" w:lineRule="auto"/>
        <w:ind w:firstLine="709"/>
        <w:rPr>
          <w:sz w:val="28"/>
          <w:szCs w:val="28"/>
        </w:rPr>
      </w:pPr>
      <w:r w:rsidRPr="00C47B4D">
        <w:rPr>
          <w:color w:val="000000"/>
          <w:sz w:val="28"/>
          <w:szCs w:val="28"/>
        </w:rPr>
        <w:t>на момент заключения нового договора аренды такого лесного участка имеются предусмотренные частью 3 статьи 73.1 Лесного кодекса Российской Федерации основания для предоставления без проведения торгов лесного участка, договор аренды которого был заключен без проведения торгов.</w:t>
      </w:r>
    </w:p>
    <w:p w14:paraId="636A8953"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 xml:space="preserve">За время реализации механизма заключения договоров аренды лесных участков на новый срок без проведения торгов (с 1 октября 2015 года) с лесопользователями, которые надлежащим образом выполняли договорные обязательства (лесохозяйственные мероприятия, своевременное внесение арендной платы и др.), в уполномоченные органы </w:t>
      </w:r>
      <w:r w:rsidRPr="00C47B4D">
        <w:rPr>
          <w:rStyle w:val="0pt"/>
          <w:sz w:val="28"/>
          <w:szCs w:val="28"/>
        </w:rPr>
        <w:t>на</w:t>
      </w:r>
      <w:r w:rsidRPr="00C47B4D">
        <w:rPr>
          <w:color w:val="000000"/>
          <w:sz w:val="28"/>
          <w:szCs w:val="28"/>
        </w:rPr>
        <w:t xml:space="preserve"> территории 49 субъектов Российской Федерации поступило 4 477 заявлений, при этом заключено на новый срок без торгов - 3 016 договоров (67% заявлений), по остальным заявлениям было отказано по причине невыполнения совокупности условий, указанных в части 2 статьи 74 Лесного кодекса.</w:t>
      </w:r>
    </w:p>
    <w:p w14:paraId="092310A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 мнению Рослесхоза, для объективного и всестороннего рассмотрения заявления, предусмотренного пунктом 1 части 2 статьи 74 Лесного кодекса, органам государственной власти субъектов Российской Федерации в области лесных отношений целесообразно создать соответствующие комиссии, в состав которых будут входить специалисты структурных подразделений, способные дать объективную и профессиональную оценку выполнения конкретного критерия из совокупности условий.</w:t>
      </w:r>
    </w:p>
    <w:p w14:paraId="2142351A"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В части исполнения мероприятия 7 указанного раздела «дорожной карты» сообщаем, что в целях создания прозрачного механизма формирования рыночных цен на рынке лесоматериалов на площадке АО «СПбМТСБ» организованы торги круглым лесом, пиломатериалами, а также древесиной, полученной при проведении работ по охране, защите и воспроизводству лесов в рамках исполнения государственного задания.</w:t>
      </w:r>
    </w:p>
    <w:p w14:paraId="03FBF1E7"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К торгам, которые начались как пилотный проект в Иркутской области, подключились ряд других регионов Российской Федерации - Пермский край, Новгородская область, Кировская область, Удмуртская Республика, Приморский край, Хабаровский край, Республика Бурятия, Томская область, Архангельская область, Амурская область, Республика Башкортостан и Красноярский край, список субъектов постоянно расширяется.</w:t>
      </w:r>
    </w:p>
    <w:p w14:paraId="737BDB0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Показатели Иркутской области и Пермского края по организации биржевой торговли лесоматериалами и древесиной, заготавливаемой при проведении государственными учреждениями работ по охране, защите и воспроизводству лесов в рамках исполнения государственного задания, свидетельствует о повышении эффективности ценообразования, а формирование справедливой рыночной цены увеличивает доходность хозяйственной деятельности государственных учреждений.</w:t>
      </w:r>
    </w:p>
    <w:p w14:paraId="718E402E"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Рослесхоз исходит из того, что биржевая торговля лесоматериалами является инструментом определения прозрачной, оптимальной цены за лесоматериалы. Развитие механизма биржевой торговли лесом в связи с этим возможно рассматривать и как инструмент формирования открытых данных о ценах на необработанные лесоматериалы при подготовке решений о новых подходах к формированию ставок платы залесные ресурсы.</w:t>
      </w:r>
    </w:p>
    <w:p w14:paraId="79411E2B" w14:textId="77777777" w:rsidR="00C47B4D" w:rsidRDefault="00C47B4D" w:rsidP="0048363D">
      <w:pPr>
        <w:rPr>
          <w:lang w:eastAsia="ru-RU"/>
        </w:rPr>
      </w:pPr>
    </w:p>
    <w:p w14:paraId="522F4265" w14:textId="77777777" w:rsidR="00C47B4D" w:rsidRDefault="00C47B4D" w:rsidP="0048363D">
      <w:pPr>
        <w:rPr>
          <w:lang w:eastAsia="ru-RU"/>
        </w:rPr>
      </w:pPr>
    </w:p>
    <w:p w14:paraId="7A12F062" w14:textId="77777777" w:rsidR="001B5530" w:rsidRPr="001B5530" w:rsidRDefault="001B5530" w:rsidP="001B5530">
      <w:pPr>
        <w:rPr>
          <w:lang w:eastAsia="ru-RU"/>
        </w:rPr>
      </w:pPr>
    </w:p>
    <w:p w14:paraId="439CDBAF" w14:textId="1E0B02FF" w:rsidR="0048363D" w:rsidRPr="0048363D" w:rsidRDefault="00C47B4D" w:rsidP="00BB7A44">
      <w:pPr>
        <w:pStyle w:val="2"/>
        <w:numPr>
          <w:ilvl w:val="1"/>
          <w:numId w:val="69"/>
        </w:numPr>
      </w:pPr>
      <w:bookmarkStart w:id="2083" w:name="_Toc7448071"/>
      <w:r>
        <w:rPr>
          <w:rStyle w:val="wbformattributevalue"/>
        </w:rPr>
        <w:t>Министерство строительства и жилищно-коммунального хозяйства Российской Федерации (Минстрой России)</w:t>
      </w:r>
      <w:bookmarkEnd w:id="2083"/>
    </w:p>
    <w:p w14:paraId="73A49A9E" w14:textId="77777777" w:rsidR="0048363D" w:rsidRPr="0048363D" w:rsidRDefault="0048363D" w:rsidP="0048363D">
      <w:pPr>
        <w:rPr>
          <w:lang w:eastAsia="ru-RU"/>
        </w:rPr>
      </w:pPr>
    </w:p>
    <w:p w14:paraId="0CCC9BA2" w14:textId="77777777" w:rsidR="0048363D" w:rsidRPr="0048363D" w:rsidRDefault="0048363D" w:rsidP="0048363D">
      <w:pPr>
        <w:rPr>
          <w:lang w:eastAsia="ru-RU"/>
        </w:rPr>
      </w:pPr>
    </w:p>
    <w:p w14:paraId="207B4FA0" w14:textId="77777777" w:rsidR="00151F46" w:rsidRPr="00151F46" w:rsidRDefault="00151F46" w:rsidP="00151F46">
      <w:pPr>
        <w:widowControl w:val="0"/>
        <w:spacing w:after="0" w:line="240" w:lineRule="auto"/>
        <w:ind w:right="-453"/>
        <w:jc w:val="center"/>
        <w:rPr>
          <w:rFonts w:ascii="Times New Roman" w:eastAsia="Times New Roman" w:hAnsi="Times New Roman"/>
          <w:b/>
          <w:sz w:val="28"/>
          <w:szCs w:val="28"/>
        </w:rPr>
      </w:pPr>
      <w:r w:rsidRPr="00151F46">
        <w:rPr>
          <w:rFonts w:ascii="Times New Roman" w:eastAsia="Times New Roman" w:hAnsi="Times New Roman"/>
          <w:b/>
          <w:sz w:val="28"/>
          <w:szCs w:val="28"/>
        </w:rPr>
        <w:t>Информация для включения в ежегодный доклад о состоянии конкуренции в Российской Федерации в рамках компетенции Минстроя России</w:t>
      </w:r>
    </w:p>
    <w:p w14:paraId="35AA6253" w14:textId="77777777" w:rsidR="00151F46" w:rsidRPr="00151F46" w:rsidRDefault="00151F46" w:rsidP="00151F46">
      <w:pPr>
        <w:widowControl w:val="0"/>
        <w:spacing w:after="0" w:line="240" w:lineRule="auto"/>
        <w:ind w:right="-453"/>
        <w:jc w:val="both"/>
        <w:rPr>
          <w:rFonts w:ascii="Times New Roman" w:eastAsia="Times New Roman" w:hAnsi="Times New Roman"/>
          <w:sz w:val="28"/>
          <w:szCs w:val="28"/>
        </w:rPr>
      </w:pPr>
    </w:p>
    <w:p w14:paraId="648AE2A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w:t>
      </w:r>
      <w:r w:rsidRPr="00151F46">
        <w:rPr>
          <w:rFonts w:ascii="Times New Roman" w:hAnsi="Times New Roman" w:cs="Times New Roman"/>
          <w:sz w:val="28"/>
          <w:szCs w:val="28"/>
        </w:rPr>
        <w:t> </w:t>
      </w:r>
      <w:r w:rsidRPr="00151F46">
        <w:rPr>
          <w:rFonts w:ascii="Times New Roman" w:eastAsia="Times New Roman" w:hAnsi="Times New Roman" w:cs="Times New Roman"/>
          <w:sz w:val="28"/>
          <w:szCs w:val="28"/>
        </w:rPr>
        <w:t>Строительная отрасль развивается циклично в тесной взаимосвязи с общими тенденциями развития мировой и национальной экономики.</w:t>
      </w:r>
    </w:p>
    <w:p w14:paraId="3F259B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настоящий период существенное сокращение заказов на изыскательские, проектные и строительно-монтажные работы значительно осложнило финансовое положение большинства организаций отрасли.</w:t>
      </w:r>
    </w:p>
    <w:p w14:paraId="20C2A3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Крупный и средний бизнес реже получает статус банкрота,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 правило характерно не только для строительной отрасли. При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крупном и среднем бизнесе доля обанкротившихся компаний больше, чем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малом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микробизнесе, и составляет в среднем для всей отрасли 2,4% и 2,1% соответственно,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время как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в малом и микро- она составляет 1,8% и 0,9% соответственно. </w:t>
      </w:r>
    </w:p>
    <w:p w14:paraId="65FE7BE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состоянию на 2017 год основную массу организаций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строительной отрасли составляют опытные компании с возрастом более 7 лет. Среди организаций-банкротов большинство имеет возраст более 5 лет. Однако утверждение, что возраст определяет вероятность банкротства, неверно, поскольку строительная отрасль состоит в основном из компаний со стажем более 7 лет. Количество дефолтов в каждой возрастной категории (1 – 3 года и т.д.) примерно одинаковое и составляет 0,2–0,25% от общего числа компаний в группе.</w:t>
      </w:r>
    </w:p>
    <w:p w14:paraId="6EE47E6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Многие предприятия строительной отрасли России применяют устаревшие технологии, в связи с чем происходит отставание индустрии от общемирового уровня. Для перехода на инновационный путь развития строительной отрасли требуется контролировать технологический уровень строительных организаций и предприятий, а также стимулировать внедрение передовых технологий на всех этапах жизненного цикла строительного объекта.</w:t>
      </w:r>
    </w:p>
    <w:p w14:paraId="4ED2DAD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в области технического регулирования существует множество проблем, негативно влияющих на внедрение инноваций в отрасль. К таким проблемам можно отнести:</w:t>
      </w:r>
    </w:p>
    <w:p w14:paraId="0A2229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несовершенство действующей законодательной основы для развития системы технического нормирования и регулирования в строительной отрасли в условиях глобальной экономики, в том числе в рамках ЕАЭС;</w:t>
      </w:r>
    </w:p>
    <w:p w14:paraId="5B961AA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отсутствие согласованных механизмов обеспечения координации и межведомственного взаимодействия федеральных органов исполнительной власти в сфере нормативного и технического регулирования, оценки соответствия, контроля и надзора в строительной отрасли;</w:t>
      </w:r>
    </w:p>
    <w:p w14:paraId="28884E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недостаточное наличие технических норм, обеспечивающих внедрение современных технологий на всех стадиях жизненного цикла объекта (изысканий, проектирования, эксплуатации, реконструкции и ликвидации);</w:t>
      </w:r>
    </w:p>
    <w:p w14:paraId="1044172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снижение технического уровня разрабатываемых нормативных технических документов вследствие снижения объемов научно-исследовательских работ, лежащих в основе разрабатываемых документов;</w:t>
      </w:r>
    </w:p>
    <w:p w14:paraId="1F38A5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применение предписывающих методов технического нормирования, и оценки соответствия, ведущее к снижению технического уровня отрасли по сравнению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развитыми зарубежными странами.</w:t>
      </w:r>
    </w:p>
    <w:p w14:paraId="5B41895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федерального проекта «Цифровое государственное управление», входящего в состав национального проекта «Цифровая экономика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Минстроем России запланировано создание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введение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эксплуатацию к 2021 году информационной платформы «Цифровое строительство» (далее – Платформа), обеспечивающей управление жизненным циклом объектов капитального строительства с использованием технологий информационного моделирования. Платформа будет обладать широким функционалом,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числе обеспечивать взаимодействие участников строительной отрасли, поддерживать обмен информацией, включая электронный документооборот,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осуществлять централизованное предоставление сервисов, как справочных, так и по предоставлению контрольно-надзорных процедур, процедур выдачи разрешительной документации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электронном виде. Обеспечивать сбор, анализ, использование, хранение информации об объекте капитального строительства на протяжении всего его жизненного цикла.</w:t>
      </w:r>
    </w:p>
    <w:p w14:paraId="7C3F13E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Платформа будет иметь модульную структуру, предусматривающую возможность развития, добавления новых функциональных модулей. В том числе, в настоящее время предусматриваются следующие функциональные модули:</w:t>
      </w:r>
    </w:p>
    <w:p w14:paraId="1AEAF5A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Классификационная система строительной информации;</w:t>
      </w:r>
    </w:p>
    <w:p w14:paraId="42DE1F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«Фонд цифровых нормативно-технических документов в строительстве;</w:t>
      </w:r>
    </w:p>
    <w:p w14:paraId="5E6ED8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BIM-компонентов;</w:t>
      </w:r>
    </w:p>
    <w:p w14:paraId="5D7818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«Автоматизированная экспертиза проектной документации;</w:t>
      </w:r>
    </w:p>
    <w:p w14:paraId="6360666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экономически эффективной проектной документации повторного использования, выполненной с применением технологии информационного моделирования».</w:t>
      </w:r>
    </w:p>
    <w:p w14:paraId="044478E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Платформа будет предусматривать взаимодействие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уже существующими информационными системами Минстроя России, информационными системами других федеральных органов исполнительной власти, а также со сторонними информационными платформами.</w:t>
      </w:r>
    </w:p>
    <w:p w14:paraId="51DDD07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формирования и ведения Платформы является создание единой информационной среды для взаимодействия участников строительной отрасли,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получения ими достоверной информации,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централизованного оказания электронных услуг.</w:t>
      </w:r>
    </w:p>
    <w:p w14:paraId="45941E3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изложенное, работу по переходу на единую государственную цифровую платформу в строительстве, обеспечивающую взаимодействие органов власти, органов местного самоуправления и организаций в цифровом виде по всему циклу процессов в сфере градостроительных отношений целесообразно вести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национального проекта «Цифровая экономика Российской Федерации».</w:t>
      </w:r>
    </w:p>
    <w:p w14:paraId="5E57A61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Во исполнение пункта 11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 августа 2018 г. № 1697-р (далее – дорожная карта), Минстроем России проведен мониторинг использования типового программного обеспечения при ведении органами местного самоуправления информационных систем обеспечения градостроительной деятельности.</w:t>
      </w:r>
    </w:p>
    <w:p w14:paraId="638B2A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информации, представленной органами государственной власти субъектов Российской Федерации, на территории 58 субъектов Российской Федерации ведение информационных систем обеспечения градостроительной деятельности осуществляется без использования типового программного обеспечения. </w:t>
      </w:r>
    </w:p>
    <w:p w14:paraId="6CE682C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Частично ведение информационных систем обеспечения градостроительной деятельности с использованием типового программного обеспечения применяется на территории 11 субъектов Российской Федерации.</w:t>
      </w:r>
    </w:p>
    <w:p w14:paraId="6234634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двух субъектов Российской Федерации – Тюменской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Московской областей – ведение информационных систем обеспечения градостроительной деятельности производится с использованием типового программного обеспечения.</w:t>
      </w:r>
    </w:p>
    <w:p w14:paraId="0ED0E02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города федерального значения Севастополя и муниципальных образований Республики Крым проводится работа по созданию и внедрению информационной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E32FCD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Город федерального значения Москва использует информационную систему обеспечения градостроительной деятельности города Москвы. Город федерального значения Санкт-Петербург использует разработанный программный комплекс «Информационная система обеспечения градостроительной деятельности в Санкт</w:t>
      </w:r>
      <w:r w:rsidRPr="00151F46">
        <w:rPr>
          <w:rFonts w:ascii="Times New Roman" w:eastAsia="Times New Roman" w:hAnsi="Times New Roman" w:cs="Times New Roman"/>
          <w:sz w:val="28"/>
          <w:szCs w:val="28"/>
        </w:rPr>
        <w:noBreakHyphen/>
        <w:t>Петербурге»,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который оформлены исключительные права Санкт</w:t>
      </w:r>
      <w:r w:rsidRPr="00151F46">
        <w:rPr>
          <w:rFonts w:ascii="Times New Roman" w:eastAsia="Times New Roman" w:hAnsi="Times New Roman" w:cs="Times New Roman"/>
          <w:sz w:val="28"/>
          <w:szCs w:val="28"/>
        </w:rPr>
        <w:noBreakHyphen/>
        <w:t>Петербурга.</w:t>
      </w:r>
    </w:p>
    <w:p w14:paraId="051AE6C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Также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территории 18 субъектов Российской Федерации используются информационные системы обеспечения градостроительной деятельности иных разработчиков,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ООО «ГрадИнформБюро», ООО «Архисофт», ООО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«ОГИЦ», ГАУ ТО «Центр информационных технологий», «Геокад плюс», «ИнГео».</w:t>
      </w:r>
    </w:p>
    <w:p w14:paraId="741420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целях реализации норм Федерального закона от 3 августа 2018 г. № 342-ФЗ «О внесении изменений в Градостроительный кодекс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отдельные законодательные акты Российской Федерации»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России подготовлен проект постановления Правительства Российской Федерации, устанавливающий порядок ведения государственных информационных систем обеспечения градостроительной деятельности; требования к технологиям, программным, лингвистическим, правовым, организационным и техническим средствам обеспечения ведения указанных автоматизированных государственных информационных систем обеспечения градостроительной деятельности. </w:t>
      </w:r>
    </w:p>
    <w:p w14:paraId="4341277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Указанным проектом постановления Правительства Российской Федерации предусматривается установить требование к информационно-технологическому взаимодействию государственных информационных систем обеспечения градостроительной деятельности с иными информационными системами посредством обмена в системе межведомственного электронного взаимодействия структурированной информацией, необходимой для осуществления градостроительной деятельности и предоставления заинтересованным лицам, а также позволит получать актуальную статистическую информацию о деятельности органов государственной власти субъектов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органов местного самоуправления в сфере градостроительной деятельности и оказывать услуги в электронном виде.</w:t>
      </w:r>
    </w:p>
    <w:p w14:paraId="3594507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В целях выполнения мероприятия, предусмотренного пунктом 12 подраздела V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а также в соответствии с поручением Заместителя Председателя Правительства Российской Федерации В.Л. Мутко от 21 сентября 2018 г. № ВМ-П9-6420 Минстрой России совместно с Минкомсвязи России рассмотрел вопрос дальнейшего развития информационных систем обеспечения градостроительной деятельности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учетом задач национального проекта «Жилье и городская среда».</w:t>
      </w:r>
    </w:p>
    <w:p w14:paraId="15DF69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что целью формирования и ведения информационной платформы «Цифровое строительство»,  создание которой будет осуществляться в рамках федерального проекта «Цифровое государственное управление», входящего в состав национального проекта «Цифровая экономика Российской Федерации» и введение в эксплуатацию которой запланировано Минстроем России к 2021 году, является создание единой информационной среды для взаимодействия участников строительной отрасли, для получения ими достоверной информации, для централизованного оказания электронных услуг, Минстроем России предложена в рамках создания информационной платформы «Цифровое строительство» разработка федеральной государственной информационной системы градостроительной деятельности.</w:t>
      </w:r>
    </w:p>
    <w:p w14:paraId="36ED9A4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Указанное предложение поддержано Минкомсвязи России и ФАС России.</w:t>
      </w:r>
    </w:p>
    <w:p w14:paraId="54438E5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Минстрой России в целях выполнения мероприятия, предусмотренного пунктом 13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разработал проект федерального закона «О внесении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Градостроительный кодекс Российской Федерации и Федеральный закон «Об организации предоставления государственных и муниципальных услуг» (в части стандартизации государственных и муниципальных услуг)».</w:t>
      </w:r>
    </w:p>
    <w:p w14:paraId="3EB7D06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Реализация положений указанного законопроекта позволит:</w:t>
      </w:r>
    </w:p>
    <w:p w14:paraId="2CC2FF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 создать единые для всей территории Российской Федерации условия прохождения заявителями процедур, необходимых для предоставления государственных и муниципальных услуг, предусмотренных нормативными правовыми актами Российской Федерации, в том числе прохождения застройщиками процедур, включенных в исчерпывающие перечни;</w:t>
      </w:r>
    </w:p>
    <w:p w14:paraId="4FDDE80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существенно сократить количество случаев неправомерного истребования от заявителей, в том числе застройщиков, дополнительных документов, предоставления отказов в принятии документов на рассмотрение и отказов в предоставлении государственных и муниципальных услуг;</w:t>
      </w:r>
    </w:p>
    <w:p w14:paraId="0F1BE16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облегчить контроль за качеством оказания услуг,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предусмотренных исчерпывающими перечнями, органами государственной власти и органами местного самоуправления, а также принимаемых ими правовых актов;</w:t>
      </w:r>
    </w:p>
    <w:p w14:paraId="3BA2625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ускорить прохождение процедур, необходимых для получения разрешения на строительство;</w:t>
      </w:r>
    </w:p>
    <w:p w14:paraId="5FA27E9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создать законодательные условия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последующего перевода государственных и муниципальных услуг в электронный вид на основе единых форматов (единых форм запросов о предоставлении соответствующей услуги, форм документов, являющихся результатом их предоставления).</w:t>
      </w:r>
    </w:p>
    <w:p w14:paraId="77E027E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Указанный проект федерального закона дорабатывается Минстроем России с учетом замечаний, представленных в заключении Института законодательства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сравнительного правоведения при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Правительстве Российской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Федерации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14</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февраля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01</w:t>
      </w:r>
      <w:r w:rsidRPr="00151F46">
        <w:rPr>
          <w:rFonts w:ascii="Times New Roman" w:hAnsi="Times New Roman" w:cs="Times New Roman"/>
          <w:sz w:val="28"/>
          <w:szCs w:val="28"/>
        </w:rPr>
        <w:noBreakHyphen/>
        <w:t>12/141.</w:t>
      </w:r>
    </w:p>
    <w:p w14:paraId="6D686F3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6. Минстроем России в 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7 подраздела </w:t>
      </w:r>
      <w:r w:rsidRPr="00151F46">
        <w:rPr>
          <w:rFonts w:ascii="Times New Roman" w:eastAsia="Times New Roman" w:hAnsi="Times New Roman" w:cs="Times New Roman"/>
          <w:sz w:val="28"/>
          <w:szCs w:val="28"/>
          <w:lang w:val="en-US"/>
        </w:rPr>
        <w:t>VI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подготовлен проект постановления Правительства Российской Федерации «Об определении случаев, для которых не требуется выдача разрешения на строительство».</w:t>
      </w:r>
    </w:p>
    <w:p w14:paraId="5A803D3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перечни объектов, для которых не требуется получение разрешения на строительство, устанавливаются исключительно нормативными правовыми актами субъектов Российской Федерации, в результате чего единообразие в регулировании данного вопроса отсутствует, что создает дополнительные трудности при реализации инфраструктурных проектов.</w:t>
      </w:r>
    </w:p>
    <w:p w14:paraId="04B960E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Изменения, предусмотренные указанным проектом постановления Российской Федерации, позволят создать благоприятные условия для развития сети связи как одной из базовых составляющих информационного общества, обеспечить условия для реализации социально-значимых задач.</w:t>
      </w:r>
    </w:p>
    <w:p w14:paraId="56C6D2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7. В целях исключения ограничений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конкуренции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рынке строительных ресурсов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регулярной основе проводится анализ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классификатора строительных ресурсов (далее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 Классификатор) на предмет упоминания товарных знаков и фирменных наименований строительных ресурсов (пункт 4 подраздела V раздела II дорожной карты). </w:t>
      </w:r>
    </w:p>
    <w:p w14:paraId="248A84F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Классификатор сформирован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марта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 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597/пр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частью</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10 статьи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8.3 Градостроительного кодекса Российской Федерации (далее – Градостроительный кодекс).</w:t>
      </w:r>
    </w:p>
    <w:p w14:paraId="711BA67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положениями постановления Правительства Российской Федерации от 23 декабря 2016 г. № 1452 «О мониторинге цен строительных ресурсов» (далее – постановление № 1452) информация, содержащаяся в Классификаторе, является основой для осуществления мониторинга цен строительных ресурсов.</w:t>
      </w:r>
    </w:p>
    <w:p w14:paraId="4CCECA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результатам мониторинга Минстрой России в соответствии с частью 5 статьи 8.3 Градостроительного кодекса определяет сметные цены строительных ресурсов, которые в соответствии с частью 1 статьи 8.3 Градостроительного кодекса обязательны к применению при определении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а также при определении сметной стоимости капитального ремонта многоквартирного дома (общего имущества в многоквартирном доме), осуществляемого полностью или частично за счет средств регионального оператора, товарищества собственников жилья, жилищного, жилищно-строительного кооператива или иного специализированного потребительского кооператива либо средств собственников помещений в многоквартирном доме.</w:t>
      </w:r>
    </w:p>
    <w:p w14:paraId="342B0B7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Закупки, осуществляемые лицами, поименованными в части 1 статьи 8.3 Градостроительного кодекса, регулируются законодательством Российской Федерации о закупках товаров, работ, услуг, в том числе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Федеральным законом от 18 июля 2011 г. № 223-ФЗ «О закупках товаров, работ, услуг отдельными видами юридических лиц», Положением о привлечении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утвержденным постановлением Правительства Российской Федерации от 1 июля 2016 г. № 615.</w:t>
      </w:r>
    </w:p>
    <w:p w14:paraId="72631EB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Проектная документация, разработанная и утвержденная в соответствии с законодательством Российской Федерации, является основанием для определения заказчиком начальной максимальной цены контракта (договора) на строительство, реконструкцию, капитальный ремонт объектов капитального строительства.</w:t>
      </w:r>
    </w:p>
    <w:p w14:paraId="5F9ED1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Таким образом, включение в Классификатор конкретных наименований и товарных знаков строительных ресурсов неизбежно приведет к нарушению принципа обеспечения конкуренции между участниками закупок и к ограничению конкуренции на рынках соответствующих строительных материалов, изделий и конструкций.</w:t>
      </w:r>
    </w:p>
    <w:p w14:paraId="6ADC3A3E"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В настоящее время Классификатор включает 109 971 позиций строительных ресурсов. </w:t>
      </w:r>
    </w:p>
    <w:p w14:paraId="1DB33D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включении в Классификатор новых строительных ресурсов не допускается наличие товарных знаков и фирменных наименований строительных ресурсов.</w:t>
      </w:r>
    </w:p>
    <w:p w14:paraId="005BB2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результатам проведенного Минстроем России и ФАУ «Главгосэкспертиза России» анализа Классификатора на предмет упоминания товарных и фирменных наименований строительных ресурсов в целях исключения ограничений для конкуренции на рынке строительных ресурсов выявлено 7 511 позиций строительных ресурсов. </w:t>
      </w:r>
    </w:p>
    <w:p w14:paraId="58D7AB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 них в 2018 году переименованы (исключены фирменные наименования и товарные знаки) 7 405 позиций строительных ресурсов, остальные позиции строительных ресурсов планируется переработать в 2019 году.</w:t>
      </w:r>
    </w:p>
    <w:p w14:paraId="64E897E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Соответствующие изменения и дополнения внесены в Классификатор приказами Минстроя России от 29 сентября 2017 г. № 1400/пр, от 10 января 2018 г. № 8/пр, от 29 марта 2018 г. № 172/пр, от 14 июня 2018 г. № 344/пр, от 18 июня 2018 г. № 352/пр, от 3 июля 2018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385/пр, от 8 августа 2018 г. № 509/пр, от 22 ноября 2018 г. № 740/пр, от 30 ноября 2018 г. № 755/пр и 29 января 2019 г. № 57/пр.</w:t>
      </w:r>
    </w:p>
    <w:p w14:paraId="4A18224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Порядком утверждения сметных нормативов, утвержденным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13</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апреля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710/пр, сметные нормативы разрабатываются Инициаторами на основе использования современных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инновационных технологий, материалов,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Такие разработки не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предполагают указаний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конкретные наименования строительных ресурсов. </w:t>
      </w:r>
    </w:p>
    <w:p w14:paraId="1AE7E1D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включены сведения 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нормативах, некоторые из</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которых содержат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ресурсной части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товарных знаков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фирменных наименований. </w:t>
      </w:r>
    </w:p>
    <w:p w14:paraId="4CCF21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Это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обусловлено тем, что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сметные нормативы, ранее включенные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содержащие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своем составе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наименовании торговых марок, разрабатывались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1984</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1991</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базе производственных норм (ЕНиР, ВНиР) 1967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1968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Выявление и последующая актуализация таких сметных нормативов (изменение наименования, единицы измерения сметного норматива; состава и видов затрат, а также видов и показателей расхода материалов, времени работы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входящих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состав сметного норматива) запланирована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 2022 гг.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требует значительных временных, трудовых затрат,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дополнительных расходов федерального бюджета.</w:t>
      </w:r>
    </w:p>
    <w:p w14:paraId="4155B63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реализации Плана утверждения (актуализации, пересмотра) сметных нормативов на 2018 год, утвержденного приказом Минстроя России от 20 марта 2018 г. № 152/пр, запланирована актуализация 622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нормативов, содержащих фирменные наименования и товарные знаки,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 гг.</w:t>
      </w:r>
    </w:p>
    <w:p w14:paraId="103B9D5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Минстроем России разработан проект федерального закона «О внесении изменений в Кодекс Российской Федерации об административных правонарушениях в части установления мер ответственности за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при мониторинге цен строительных ресурсов» (далее – законопроект)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 пунктом 4 раздела II протокола Всероссийского селекторного совещания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участием Заместителя Председателя Правительства Российской Федерации Д.Н. Козака от 24 ноября 2017 г. № ДК-П13-309пр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8 подраздела V раздела II дорожной карты, основной задачей которого является установление административной ответственности за 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юридическими лицами, осуществляющими деятельность по производству на территории Российской Федерации или деятельность по ввозу в Российскую Федерацию строительных материалов, изделий, конструкций, оборудования, машин и механизмов, применяемых при строительстве, реконструкции, капитальном ремонте объектов капитального строительства, выполнении работ по сохранению объектов культурного наследия, на которые законодательством о градостроительной деятельности возложена обязанность предоставления такой информации (далее – юридическое лица).</w:t>
      </w:r>
    </w:p>
    <w:p w14:paraId="5A0FF22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Принятие законопроекта позволит дополнительно простимулировать юридических лиц предоставлять своевременно информацию об отпускных ценах строительных ресурсов, что позволит определить достоверную сметную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w:t>
      </w:r>
    </w:p>
    <w:p w14:paraId="30C9194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9. В целях получения достоверной и точной информации о стоимости строительных ресурсов в реальном времени Минстроем России осуществляется переход к автоматизированному сбору и анализу информации о стоимости строительных ресурсов с использованием федеральной государственной информационной системы ценообразования в строительстве (далее – ФГИС ЦС) (пункт 9 подраздела V раздела II дорожной карты). </w:t>
      </w:r>
    </w:p>
    <w:p w14:paraId="2DDACC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Согласно части 1 статьи 57.2 Градостроительного кодекса ФГИС ЦС является государственной информационной системой, функционирующей на основе программных, технических средств и информационных технологий, обеспечивающих сбор, обработку, хранение, размещение и использование информации, необходимой для определения сметной стоимости строительства.</w:t>
      </w:r>
    </w:p>
    <w:p w14:paraId="3DD3B93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создания ФГИС ЦС является информационная поддержка процесса и порядка определения сметной стоимости строительства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w:t>
      </w:r>
    </w:p>
    <w:p w14:paraId="7E7625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приказом Минстроя России от 22 сентября 2017 г. № 1248/пр «О вводе в эксплуатацию федеральной государственной информационной системы ценообразования в строительстве» ФГИС ЦС введена в эксплуатацию.</w:t>
      </w:r>
    </w:p>
    <w:p w14:paraId="15956F7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Частями 5 и 9 статьи 8.3 Градостроительного кодекса установлено, что сметные цены строительных ресурсов определяются по результатам мониторинга цен строительных ресурсов являются общедоступной информацией и размещаются в ФГИС ЦС.</w:t>
      </w:r>
    </w:p>
    <w:p w14:paraId="20E0CB4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Мониторинг цен строительных ресурсов осуществляется на основе информации, содержащейся в Классификаторе.</w:t>
      </w:r>
    </w:p>
    <w:p w14:paraId="6AE2D6A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Сведения об отпускных ценах (ценах реализации) строительных ресурсов, включенных в Классификатор, представляются юридическими лицами, включенными в перечень юридических лиц, которые обязаны предоставлять информацию, необходимую для формирования сметных цен строительных ресурсов (далее – перечень юридических лиц).</w:t>
      </w:r>
    </w:p>
    <w:p w14:paraId="1B51B48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Перечень юридических лиц, размещенный во ФГИС ЦС, по состоянию на 11 марта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включает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себя 15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629 юридических лиц.</w:t>
      </w:r>
    </w:p>
    <w:p w14:paraId="2887CC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этом Минстроем России подготовлен проект постановления Правительства Российской Федерации, предусматривающий внесение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постановление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1452 в части уточнения срока перехода 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полноценному применению ресурсного метода определения сметной стоимости строительства, реконструкции, капитального ремонта объектов капитального строительства, а именно, размещение в ФГИС ЦС строительных ресурсов, определенных Минстроем России по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результатам мониторинга цен строительных ресурсов, предлагается перенести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25 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на 25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w:t>
      </w:r>
    </w:p>
    <w:p w14:paraId="7CCE76A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eastAsia="Times New Roman" w:hAnsi="Times New Roman" w:cs="Times New Roman"/>
          <w:sz w:val="28"/>
          <w:szCs w:val="28"/>
        </w:rPr>
        <w:t>10. </w:t>
      </w:r>
      <w:r w:rsidRPr="00151F46">
        <w:rPr>
          <w:rFonts w:ascii="Times New Roman" w:hAnsi="Times New Roman" w:cs="Times New Roman"/>
          <w:sz w:val="28"/>
          <w:szCs w:val="28"/>
        </w:rPr>
        <w:t>Пунктом 7 Перечня отраслей (сфер) экономики (видов деятельности) и ожидаемых результатов развития конкуренции, прилагаемого к Национальному плану развития конкуренции в Российской Федерации на 2018 – 2020 годы, утвержденному указом Президента Российской Федерации от 21 декабря 2017 г. № 618 (далее – Национальный план), предусмотрено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субъектах Российской Федерации, где</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на момент утверждения Национального плана уже достигнуты показатели первого или последующих годов):</w:t>
      </w:r>
    </w:p>
    <w:p w14:paraId="17AB69A5"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теплоснабжение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 2020 году;</w:t>
      </w:r>
    </w:p>
    <w:p w14:paraId="2600AB9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02C3B91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водоотведение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29A07D2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Минстроем России в целях получения объективных данных о доле полезного отпуска ресурсов муниципальными и государственными унитарными предприятиями (далее – МУП и ГУП) был направлен запрос от 22 августа 2018 г. № 35623-ВЯ/04 в субъекты Российской Федерации.</w:t>
      </w:r>
    </w:p>
    <w:p w14:paraId="0CEDF3D3"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Информация о доле полезного отпуска ресурсов представлена 69 субъектами Российской Федерации. Не представлены данные 14 регионами: Псковская область, Республика Дагестан, Кабардино-Балкарская Республика, Республика Калмыкия, Ставропольский край, Республика Башкортостан, Республика Тыва, Республика Хакасия, Омская область, Амурская область, Магаданская область, Еврейский Автономный округ, Чукотский Автономный округ, Республика Крым.</w:t>
      </w:r>
    </w:p>
    <w:p w14:paraId="1FAFA80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По результатам проведенного анализа установлено, что требования Национального плана на 2019 г. (доля полезного отпуска ресурсов МУП и ГУП снижена до 20 %) выполнены: в сфере водоснабжения – 24 субъектами, в сфере водоотведения – 25 субъектами, сфере теплоснабжения – 45 субъектами.</w:t>
      </w:r>
    </w:p>
    <w:p w14:paraId="30CE5EED"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Стоит отметить, что реализацию требований Национального плана (доля полезного отпуска ресурсов МУП и ГУП снижена до 10%) выполнили 9 субъектов Российской Федерации: Алтайский край, Архангельская область, Забайкальский край, Кемеровская область, город федерального значения Москва, Самарская область, Томская область, Тюменская область, Ямало-Ненецкий автономный округ.</w:t>
      </w:r>
    </w:p>
    <w:p w14:paraId="781C750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Отчет по результатам анализа данных, предоставленных субъектами Российской Федерации, направлен в ФАС России письмом от 20 ноября 2018 г. № 46408-АЧ/04.</w:t>
      </w:r>
    </w:p>
    <w:p w14:paraId="76C259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11. Минстрой России в соответствии с пунктом 9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определен ответственным исполнителем по проведению мониторинга изменения доли организаций с государственным и муниципальным участием, осуществляющих деятельность в сферах теплоснабжения, водоснабжения, водоотведения, управления многоквартирными домами, обращения с твердыми коммунальными отходами. В рамках исполнения указанного мероприятия Минстрой России направил результаты мониторинга в ФАС России письмом от 25 декабря 2018 г. № 51765</w:t>
      </w:r>
      <w:r w:rsidRPr="00151F46">
        <w:rPr>
          <w:rFonts w:ascii="Times New Roman" w:eastAsia="Times New Roman" w:hAnsi="Times New Roman" w:cs="Times New Roman"/>
          <w:sz w:val="28"/>
          <w:szCs w:val="28"/>
        </w:rPr>
        <w:noBreakHyphen/>
        <w:t>НС/04.</w:t>
      </w:r>
    </w:p>
    <w:p w14:paraId="18F4042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 рамках исполнения мероприятия, предусмотренного пунктом 10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Минстрой России разработал проект федерального закона «О внесении изменений в статьи 161 и 163 Жилищного кодекса Российской Федерации».</w:t>
      </w:r>
    </w:p>
    <w:p w14:paraId="644FD6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Указанный законопроект предусматривает исключение части 1 статьи 163 Жилищного кодекса Российской Федерации (далее – ЖК РФ), в результате чего управление многоквартирным домом, в котором все помещения находятся в государственной и (или) муниципальной собственности, будет осуществляться в соответствии с частью 2 статьи 163 ЖК РФ на основании договора управления многоквартирным домом, заключенного с управляющей организацией, выбранной по результатам открытого конкурса, который проводится в порядке, установленном Правительством Российской Федерации в соответствии с частью 4 статьи 161 ЖК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 а также позволит обеспечить развитие конкурентной среды на рынке управления многоквартирными домами.</w:t>
      </w:r>
    </w:p>
    <w:p w14:paraId="65F374F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Минстрой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письмом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5</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марта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7662-МЕ/04 направил доработанный 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учетом представленных 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замечаний вышеуказанный законопроект на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согласование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Минэкономразвития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w:t>
      </w:r>
    </w:p>
    <w:p w14:paraId="47DB11E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13. В рамках исполнения мероприятия, предусмотренного пунктом 10 подраздела</w:t>
      </w:r>
      <w:r w:rsidRPr="00151F46">
        <w:rPr>
          <w:rFonts w:ascii="Times New Roman" w:eastAsia="Times New Roman" w:hAnsi="Times New Roman" w:cs="Times New Roman"/>
          <w:sz w:val="28"/>
          <w:szCs w:val="28"/>
          <w:lang w:val="en-US"/>
        </w:rPr>
        <w:t> VIII</w:t>
      </w:r>
      <w:r w:rsidRPr="00151F46">
        <w:rPr>
          <w:rFonts w:ascii="Times New Roman" w:eastAsia="Times New Roman" w:hAnsi="Times New Roman" w:cs="Times New Roman"/>
          <w:sz w:val="28"/>
          <w:szCs w:val="28"/>
        </w:rPr>
        <w:t xml:space="preserve"> раздела</w:t>
      </w:r>
      <w:r w:rsidRPr="00151F46">
        <w:rPr>
          <w:rFonts w:ascii="Times New Roman" w:eastAsia="Times New Roman" w:hAnsi="Times New Roman" w:cs="Times New Roman"/>
          <w:sz w:val="28"/>
          <w:szCs w:val="28"/>
          <w:lang w:val="en-US"/>
        </w:rPr>
        <w:t> II</w:t>
      </w:r>
      <w:r w:rsidRPr="00151F46">
        <w:rPr>
          <w:rFonts w:ascii="Times New Roman" w:eastAsia="Times New Roman" w:hAnsi="Times New Roman" w:cs="Times New Roman"/>
          <w:sz w:val="28"/>
          <w:szCs w:val="28"/>
        </w:rPr>
        <w:t xml:space="preserve"> дорожной карты,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был внесен в Правительство Российской Федерации проект федерального закона «О внесении изменений в отдельные законодательные акты Российской Федерации по вопросу обеспечения бесперебойного тепло-, водоснабжения и водоотведения» (далее – Проект федерального закона), которым предусматриваются запрет на создание государственных или муниципальных предприятий, основанных на праве хозяйственного ведения, государственных и муниципальных учреждения, и изъятие и передача унитарным предприятиям, основанным на праве оперативного управления (казенным учреждениям), имущества указанных организаций, не соответствующих признакам банкротства и полностью погасившим задолженность.</w:t>
      </w:r>
    </w:p>
    <w:p w14:paraId="3A4AB38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Письмом Правительства Российской Федерации от 11 июля 2018 г. № 5227п-П9 Проект закона внесен в Государственную Думу Федерального Собрания Российской Федерации (далее – ГД ФС РФ).</w:t>
      </w:r>
    </w:p>
    <w:p w14:paraId="5ED5BEA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рассмотрен Советом ГД ФС РФ и включен в примерную программу законопроектной работы ГД</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w:t>
      </w:r>
    </w:p>
    <w:p w14:paraId="49009FA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предусматривается возможность введения публичного управления и назначения публичного управляющего теплоснабжающей организацией, теплосетевой организацией, организацией, осуществляющей горячее водоснабжение, холодное водоснабжение и (или) водоотведение (далее – ресурсоснабжающие организации), их обособленными подразделениями в целях ликвидации или устранения угрозы чрезвычайных ситуаций, а также на запрет создания государственных или муниципальных предприятий, основанных на праве хозяйственного ведения, государственных и муниципальных учреждений для осуществления видов деятельности в сферах теплоснабжения, водоснабжения, водоотведения.</w:t>
      </w:r>
    </w:p>
    <w:p w14:paraId="37F9BB5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также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в статье 9.17 Кодекса Российской Федерации об административных правонарушениях дополнительно вводится ответственность за нарушение собственниками или иными законными владельцами источников тепловой энергии, их должностными лицами нормативов запасов топлива, порядка создания и использования запасов топлива.</w:t>
      </w:r>
    </w:p>
    <w:p w14:paraId="02949AC7" w14:textId="77777777" w:rsid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в Кодекс Российской Федерации об административных правонарушениях вводится статья, предусматривающая административную ответственность за непредоставление или ненадлежащее предоставление собственниками или иными законными владельцами источников тепловой энергии, их должностными лицами информации о фактическом запасе топлива и его соответствии нормативным запасам топлива, утвержденным уполномоченным органом.</w:t>
      </w:r>
    </w:p>
    <w:p w14:paraId="1A02712D" w14:textId="77777777" w:rsidR="00FB5879" w:rsidRDefault="00FB5879" w:rsidP="00151F46">
      <w:pPr>
        <w:widowControl w:val="0"/>
        <w:spacing w:after="0" w:line="240" w:lineRule="auto"/>
        <w:ind w:firstLine="709"/>
        <w:jc w:val="both"/>
        <w:rPr>
          <w:rFonts w:ascii="Times New Roman" w:eastAsia="Times New Roman" w:hAnsi="Times New Roman" w:cs="Times New Roman"/>
          <w:sz w:val="28"/>
          <w:szCs w:val="28"/>
        </w:rPr>
      </w:pPr>
    </w:p>
    <w:p w14:paraId="6ABC9D9E" w14:textId="4ED74CE3" w:rsidR="00FB5879" w:rsidRPr="00FB5879" w:rsidRDefault="00FB5879" w:rsidP="00BB7A44">
      <w:pPr>
        <w:pStyle w:val="2"/>
        <w:numPr>
          <w:ilvl w:val="1"/>
          <w:numId w:val="69"/>
        </w:numPr>
      </w:pPr>
      <w:bookmarkStart w:id="2084" w:name="_Toc7448072"/>
      <w:r>
        <w:t>Министерство энергетики Российской Федерации</w:t>
      </w:r>
      <w:bookmarkEnd w:id="2084"/>
    </w:p>
    <w:p w14:paraId="60F7B82C"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Доклад</w:t>
      </w:r>
    </w:p>
    <w:p w14:paraId="1A6160E7"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о состоянии конкуренции в энергетике Российской Федерации</w:t>
      </w:r>
    </w:p>
    <w:p w14:paraId="24CF4D7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3FDCB0D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107A032D" w14:textId="77777777" w:rsidR="00FB5879" w:rsidRPr="00FB5879" w:rsidRDefault="00FB5879" w:rsidP="00F6030C">
      <w:pPr>
        <w:numPr>
          <w:ilvl w:val="0"/>
          <w:numId w:val="33"/>
        </w:numPr>
        <w:tabs>
          <w:tab w:val="left" w:pos="426"/>
          <w:tab w:val="left" w:pos="993"/>
        </w:tabs>
        <w:spacing w:after="240" w:line="276" w:lineRule="auto"/>
        <w:ind w:firstLine="567"/>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Общая оценка состояния конкуренции</w:t>
      </w:r>
    </w:p>
    <w:p w14:paraId="33D8969C"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1716C088"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Оптовый и розничные рынки электрической энергии и мощности характеризуются сочетанием естественно-монопольных сфер деятельности, где конкуренция отсутствует (услуги по передаче электрической энергии, оперативно-диспетчерскому управлению, услуги организаций коммерческой инфраструктуры оптового рынка) и областями, в которых после проведенного реформирования электроэнергетики внедрена либерализованная модель ценообразования и действуют независимые конкурирующие участники (производство и сбыт электрической энергии).</w:t>
      </w:r>
      <w:r w:rsidRPr="00FB5879">
        <w:rPr>
          <w:rFonts w:ascii="Times New Roman" w:eastAsia="Times New Roman" w:hAnsi="Times New Roman" w:cs="Times New Roman"/>
          <w:sz w:val="24"/>
          <w:szCs w:val="24"/>
          <w:lang w:eastAsia="ru-RU"/>
        </w:rPr>
        <w:t xml:space="preserve"> </w:t>
      </w:r>
      <w:r w:rsidRPr="00FB5879">
        <w:rPr>
          <w:rFonts w:ascii="Times New Roman" w:eastAsia="Times New Roman" w:hAnsi="Times New Roman" w:cs="Times New Roman"/>
          <w:sz w:val="28"/>
          <w:szCs w:val="28"/>
          <w:lang w:eastAsia="ru-RU"/>
        </w:rPr>
        <w:t>Вместе с тем, конкуренция в указанных областях в известной степени ограничена рядом факторов, обусловленных как объективными особенностями организации ЕЭС России, так и некоторыми недостатками, проявившимися в ходе реализации целевой модели российского энергорынка.</w:t>
      </w:r>
    </w:p>
    <w:p w14:paraId="5EE4DD6C"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На оптовом рынке электрической энергии, по данным реестра Ассоциации НП «Совет рынка», в настоящее время представлены: поставщики электрической энергии - производители электрической энергии, мощность генерирующего оборудования которых превышает 25 МВт (118 </w:t>
      </w:r>
      <w:r>
        <w:rPr>
          <w:rFonts w:ascii="Times New Roman" w:eastAsia="Times New Roman" w:hAnsi="Times New Roman" w:cs="Times New Roman"/>
          <w:sz w:val="28"/>
          <w:szCs w:val="28"/>
          <w:lang w:eastAsia="ru-RU"/>
        </w:rPr>
        <w:t xml:space="preserve">участников), </w:t>
      </w:r>
      <w:r w:rsidRPr="00FB5879">
        <w:rPr>
          <w:rFonts w:ascii="Times New Roman" w:eastAsia="Times New Roman" w:hAnsi="Times New Roman" w:cs="Times New Roman"/>
          <w:sz w:val="28"/>
          <w:szCs w:val="28"/>
          <w:lang w:eastAsia="ru-RU"/>
        </w:rPr>
        <w:t xml:space="preserve">крупные конечные потребители электрической энергии (26 участников), гарантирующие поставщики электрической энергии (95 участников) и территориальные сетевые организации, временно осуществляющие функции гарантирующего поставщика (9 участников), энергосбытовые организации (129 участников), а также организация, осуществляющая экспортно-импортную деятельность (ПАО «ИНТЕР РАО) и организации коммерческой и технологической инфраструктуры рынка (ПАО «ФСК ЕЭС, АО «АТС», Ассоциация НП «Совет рынка», АО «СО ЕЭС»).  </w:t>
      </w:r>
    </w:p>
    <w:p w14:paraId="0D0F6509"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объемы электрической энергии на оптовом рынке продаются в рамках свободного ценообразования, принципы которого заложены в Правилах оптового рынка электрической энергии, утвержденные постановлением Правительства Российской Федерации от 27.12.2010 № 1172. Исключением являются объемы поставки электрической энергии и мощности по регулируемым договорам, которые заключаются только в отношении объемов электроэнергии и мощности, предназначенных для поставок населению и приравненным к населению группам потребителей, а также гарантирующим поставщикам на территории отдельных частей оптового рынка, для которых Правительством Российской Федерации установлены особенности ценообразования (с поэтапным снижением соответствующих объемов до 2027 г.).</w:t>
      </w:r>
    </w:p>
    <w:p w14:paraId="22A3B3D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Таким образом, можно сделать вывод об относительно конкурентном характере указанного рынка. </w:t>
      </w:r>
    </w:p>
    <w:p w14:paraId="7D37AB20"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конкурентное ценообразование зачастую подвергается искажениям за счет применения нерыночных механизмов, связанных с надбавками к цене на мощность генерирующих объектов, например, таких как надбавка для целей финансирования строительства объектов по производству электрической энергии на основе обработки твердых бытовых отходов.</w:t>
      </w:r>
    </w:p>
    <w:p w14:paraId="5BACF14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оперируют гарантирующие поставщики (95 субъектов), территориальные сетевые организации (свыше 1600 организаций), число которых в результате применения к ним Критериев отнесения владельцев объектов электросетевого хозяйства к территориальным сетевым организациям, утвержденных постановлением Правительства Российской Федерации от 28.02.2015 № 184, периодически сокращается с учетом необходимости обеспечения надежного электроснабжения потребителей),  независимые энергосбытовые организации (несколько сотен организаций), а также потребители электрической энергии.</w:t>
      </w:r>
    </w:p>
    <w:p w14:paraId="14B0CDA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также не применяется прямое установление цен (тарифов) на электрическую энергию, поставляемую потребителям, не относящимся к категории населения и приравненным к ним лицам.</w:t>
      </w:r>
    </w:p>
    <w:p w14:paraId="5DCDE3C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Сохраняется государственное регулирование тарифов в отношении территорий или видов услуг, где в силу объективных причин ограничена или отсутствует конкуренция: в неценовых зонах рынка, в территориально изолированных электроэнергетических системах, в отношении услуг субъектов естественных монополий, а также установление предельных ценовых уровней по субъектам Российской Федерации.</w:t>
      </w:r>
    </w:p>
    <w:p w14:paraId="3EA8CD12"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При этом уровни нерегулируемых цен на электрическую энергию и мощность, формирующиеся на оптовом рынке, впоследствии транслируются потребителям в качестве составляющей конечной цены электрической энергии и в этом отношении служат индикаторами для системы ценообразования. </w:t>
      </w:r>
    </w:p>
    <w:p w14:paraId="6CCFFBB6" w14:textId="77777777" w:rsidR="00FB5879" w:rsidRPr="00FB5879" w:rsidRDefault="00FB5879" w:rsidP="00FB5879">
      <w:pPr>
        <w:spacing w:after="24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положения функционирования розничных рынков электрической энергии определены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01F85C99"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0050737"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По итогам 2018 года добыча нефти и газового конденсата в России составила 555,9 млн тонн, что на 1,7% выше уровня 2017 года.</w:t>
      </w:r>
    </w:p>
    <w:p w14:paraId="4BF29436"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 xml:space="preserve">Основная доля всей национальной нефтедобычи в размере 85,2% пришлась на организации, входящие в структуру </w:t>
      </w:r>
      <w:r w:rsidRPr="00FB5879">
        <w:rPr>
          <w:rFonts w:ascii="Times New Roman" w:eastAsia="Times New Roman" w:hAnsi="Times New Roman" w:cs="Times New Roman"/>
          <w:bCs/>
          <w:sz w:val="28"/>
          <w:szCs w:val="28"/>
          <w:lang w:eastAsia="ru-RU"/>
        </w:rPr>
        <w:t>одиннадцати</w:t>
      </w:r>
      <w:r w:rsidRPr="00FB5879">
        <w:rPr>
          <w:rFonts w:ascii="Times New Roman" w:eastAsia="Times New Roman" w:hAnsi="Times New Roman" w:cs="Times New Roman"/>
          <w:sz w:val="28"/>
          <w:szCs w:val="28"/>
          <w:lang w:eastAsia="ru-RU"/>
        </w:rPr>
        <w:t xml:space="preserve"> вертикально-интегрированных нефтяных компаний (далее - ВИНК)</w:t>
      </w:r>
      <w:r w:rsidRPr="00FB5879">
        <w:rPr>
          <w:rFonts w:ascii="Times New Roman" w:eastAsia="Times New Roman" w:hAnsi="Times New Roman" w:cs="Times New Roman"/>
          <w:bCs/>
          <w:sz w:val="28"/>
          <w:lang w:eastAsia="ru-RU"/>
        </w:rPr>
        <w:t>, 11,4% – на независимые добывающие компании и 3,4% – на операторов соглашений о разделе продукции соответственно.</w:t>
      </w:r>
    </w:p>
    <w:p w14:paraId="342CB42F"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Объем переработки нефти за указанный период составил 286,9 млн тонн, из которого доля организаций, входящих в структуру ВИНК, составила 79,6%, доля независимых НПЗ – 20,4% соответственно.</w:t>
      </w:r>
    </w:p>
    <w:p w14:paraId="32093D6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Необходимо отметить, что сложившийся в результате последовательной государственной политики производственный потенциал и структура добычи, переработки и транспортировки нефти и нефтепродуктов на базе крупных конкурентоспособных нефтяных компаний с государственным участием в целом надежно обеспечивает глобальные интересы России на мировых энергетических рынках и потребности внутреннего спроса, о чем свидетельствует устойчивость нефтяного комплекса страны в период нестабильности на мировых рынках углеводородов.</w:t>
      </w:r>
    </w:p>
    <w:p w14:paraId="27845E99"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Вместе с тем совершенствование рыночных отношений и развитие конкуренции, в том числе между ВИНК, содержат потенциал повышения конкурентоспособности и эффективности функционирования отрасли.</w:t>
      </w:r>
    </w:p>
    <w:p w14:paraId="1C2DDB71"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Несмотря на значимое влияние крупнейших ВИНК и недостаточную прозрачность взаимоотношений на рынке, цены на нефть и нефтепродукты формируются в результате определяющего влияния рыночных факторов (мировые цены, баланс внутреннего спроса и предложения) и мер таможенно-тарифного и налогового регулирования. Отдельные факты нарушения антимонопольного законодательства доминирующими компаниями не меняют фундаментальной картины рыночного ценообразования, как в оптовом, так и в розничном сегментах.</w:t>
      </w:r>
    </w:p>
    <w:p w14:paraId="264838F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Таким образом, общая оценка состояния конкуренции в нефтяной отрасли ¬ недостаточно развитая конкуренция.</w:t>
      </w:r>
    </w:p>
    <w:p w14:paraId="3BBD6CEA" w14:textId="77777777" w:rsidR="00FB5879" w:rsidRPr="00FB5879" w:rsidRDefault="00FB5879" w:rsidP="00FB5879">
      <w:pPr>
        <w:spacing w:before="240"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6D080E0B" w14:textId="77777777" w:rsidR="00FB5879" w:rsidRPr="00FB5879" w:rsidRDefault="00FB5879" w:rsidP="00FB587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B5879">
        <w:rPr>
          <w:rFonts w:ascii="Times New Roman" w:eastAsia="Times New Roman" w:hAnsi="Times New Roman" w:cs="Times New Roman"/>
          <w:sz w:val="28"/>
          <w:szCs w:val="24"/>
          <w:lang w:eastAsia="ru-RU"/>
        </w:rPr>
        <w:t>В 2018 году суммарный объем добычи газа в России составил 725,4 млрд куб. метров, что выше уровня 2017 года на 34,3 млрд куб. метров.</w:t>
      </w:r>
    </w:p>
    <w:p w14:paraId="690FAF4F"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Достигнутые результаты по добыче газа позволили обеспечить газом потребности внутреннего рынка и выполнить обязательства по межправительственным соглашениям и заключенным контрактам на поставку природного газа в зарубежные страны. Ввод новых магистральных газопроводов и отводов обеспечил бесперебойную надежную поставку газа потребителям всех уровней. </w:t>
      </w:r>
    </w:p>
    <w:p w14:paraId="19C55885"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 итогам 2018 года доля ПАО «Газпром» в общем объеме добычи газа составила 66,1%, доля ВИНК – 21,8%, доля прочих производителей – 8,2% и доля операторов соглашений о разделе продукции – 3,9%.</w:t>
      </w:r>
    </w:p>
    <w:p w14:paraId="42E1B298"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связи с прогнозируемым увеличением доли природного газа в топливно-энергетическом балансе России, а также доли независимых производителей газа, приоритетное значение для газовой отрасли приобретает проблема развития конкуренции на внутреннем рынке.</w:t>
      </w:r>
    </w:p>
    <w:p w14:paraId="678D479C"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Наряду с тем, что внутренняя экономическая политика в отношении газовой отрасли характеризуется постепенным снижением доли ПАО «Газпром» в газоснабжении экономики страны, 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Компании принадлежит газотранспортная система, система диспетчерского управления объемами добычи, переработки газа и его потоками, система подземных хранилищ газа, что позволяет ей выступать в качестве гаранта надежности газоснабжения потребителей Российской Федерации и осуществлять координацию производственно-технологических и коммерческих процессов, обеспечивая работу с потребителями в рамках «одного окна».</w:t>
      </w:r>
    </w:p>
    <w:p w14:paraId="32011612"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Независимые производители, являющиеся собственниками региональных систем газоснабжения, осуществляют свою деятельность в локальных системах газоснабжения, обслуживающих районы, не связанные с ЕСГ, а остальные не имеют собственных газотранспортных систем и используют на основе договоров свободные мощности магистральных газопроводов, принадлежащих ПАО «Газпром».</w:t>
      </w:r>
    </w:p>
    <w:p w14:paraId="6EB887AE"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Таким образом, общая оценка состояния конкуренции в газовой отрасли ¬ недостаточно развитая конкуренция.</w:t>
      </w:r>
    </w:p>
    <w:p w14:paraId="383A0191"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45AEC1F"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sz w:val="28"/>
          <w:szCs w:val="28"/>
          <w:lang w:eastAsia="ru-RU"/>
        </w:rPr>
        <w:t xml:space="preserve">В Российской Федерации угольная промышленность единственная отрасль в топливно-энергетическом комплексе полностью рыночная с частными компаниями – хозяйствующими субъектами. </w:t>
      </w:r>
      <w:r w:rsidRPr="00FB5879">
        <w:rPr>
          <w:rFonts w:ascii="Times New Roman" w:eastAsia="Times New Roman" w:hAnsi="Times New Roman" w:cs="Times New Roman"/>
          <w:bCs/>
          <w:sz w:val="28"/>
          <w:szCs w:val="28"/>
          <w:lang w:eastAsia="ru-RU"/>
        </w:rPr>
        <w:t>Конкурентные преимущества угольной отрасли заключаются в наличии огромных запасов угля (второе место в мире).</w:t>
      </w:r>
      <w:r w:rsidRPr="00FB5879">
        <w:rPr>
          <w:rFonts w:ascii="Times New Roman" w:eastAsia="Times New Roman" w:hAnsi="Times New Roman" w:cs="Times New Roman"/>
          <w:sz w:val="28"/>
          <w:szCs w:val="28"/>
          <w:lang w:eastAsia="ru-RU"/>
        </w:rPr>
        <w:t xml:space="preserve"> При этом российский уголь имеет качественные показатели, характеризующиеся высокой калорийностью, низким содержанием серы, азота и золы</w:t>
      </w:r>
      <w:r w:rsidRPr="00FB5879">
        <w:rPr>
          <w:rFonts w:ascii="Times New Roman" w:eastAsia="Times New Roman" w:hAnsi="Times New Roman" w:cs="Times New Roman"/>
          <w:bCs/>
          <w:sz w:val="28"/>
          <w:szCs w:val="28"/>
          <w:lang w:eastAsia="ru-RU"/>
        </w:rPr>
        <w:t xml:space="preserve">. </w:t>
      </w:r>
    </w:p>
    <w:p w14:paraId="4F212FF0"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объем добычи угля достиг 439,3 млн тонн угля (+ 6,8%                                   к 2017 году) – установлен национальный рекорд. На обогатительных фабриках и установках переработано 202,5 млн тонн угля (+ 4,6% к 2017 году). При этом объем поставки на внутренний рынок увеличился относительно 2017 года на 6,9% и составил 180,7 млн тонн. Указанные обстоятельства способствовали обеспечению устойчивого энерго- и теплоснабжения предприятий промышленности, жилищно-коммунального хозяйства и населения, а также энергетической безопасности страны.</w:t>
      </w:r>
    </w:p>
    <w:p w14:paraId="4738D963"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На экспорт в 2018 году поставлено 210,3 млн тонн российского угля, что на 10,6% больше чем в 2017 году (объем поставок в западном направлени</w:t>
      </w:r>
      <w:r>
        <w:rPr>
          <w:rFonts w:ascii="Times New Roman" w:eastAsia="Times New Roman" w:hAnsi="Times New Roman" w:cs="Times New Roman"/>
          <w:bCs/>
          <w:sz w:val="28"/>
          <w:szCs w:val="28"/>
          <w:lang w:eastAsia="ru-RU"/>
        </w:rPr>
        <w:t>и вырос на 13,8%, а в восточном</w:t>
      </w:r>
      <w:r w:rsidRPr="00FB5879">
        <w:rPr>
          <w:rFonts w:ascii="Times New Roman" w:eastAsia="Times New Roman" w:hAnsi="Times New Roman" w:cs="Times New Roman"/>
          <w:bCs/>
          <w:sz w:val="28"/>
          <w:szCs w:val="28"/>
          <w:lang w:eastAsia="ru-RU"/>
        </w:rPr>
        <w:t xml:space="preserve"> – на 7%). </w:t>
      </w:r>
      <w:r w:rsidRPr="00FB5879">
        <w:rPr>
          <w:rFonts w:ascii="Times New Roman" w:eastAsia="Times New Roman" w:hAnsi="Times New Roman" w:cs="Times New Roman"/>
          <w:sz w:val="28"/>
          <w:szCs w:val="28"/>
          <w:lang w:eastAsia="ru-RU"/>
        </w:rPr>
        <w:t>Широкий ассортимент угля и продукции его переработки, а также надежность поставок потребителям, обеспечили Российской Федерации возможность занять третью позицию</w:t>
      </w:r>
      <w:r w:rsidRPr="00FB5879">
        <w:rPr>
          <w:rFonts w:ascii="Times New Roman" w:eastAsia="Times New Roman" w:hAnsi="Times New Roman" w:cs="Times New Roman"/>
          <w:bCs/>
          <w:sz w:val="28"/>
          <w:szCs w:val="28"/>
          <w:lang w:eastAsia="ru-RU"/>
        </w:rPr>
        <w:t xml:space="preserve"> на мировом рынке угля среди стран его экспортеров</w:t>
      </w:r>
      <w:r w:rsidRPr="00FB5879">
        <w:rPr>
          <w:rFonts w:ascii="Times New Roman" w:eastAsia="Times New Roman" w:hAnsi="Times New Roman" w:cs="Times New Roman"/>
          <w:sz w:val="28"/>
          <w:szCs w:val="28"/>
          <w:lang w:eastAsia="ru-RU"/>
        </w:rPr>
        <w:t xml:space="preserve"> (14%). Согласно оценкам экспертов, устойчивый рост спроса на российский уголь, прежде всего на рынке стран АТР, продолжится до 2025-2030 годов.</w:t>
      </w:r>
    </w:p>
    <w:p w14:paraId="6AF88494"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Несмотря на то, что в 2018 году угольная промышленность функционировала в условиях продолжающихся антироссийских санкций, валютные поступления от экспорта российского угля по итогам 2018 года превысили 17 млрд долл. США (+ 21,4% к уровню 2017 года).</w:t>
      </w:r>
    </w:p>
    <w:p w14:paraId="5B0304E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Развитию конкуренции в угольной отрасли способствовала реализация комплекса мер межведомственного характера, вовлеченность в решение актуальных вопросов заинтересованных федеральных органов исполнительной власти, прежде всего Минприроды России, Минтранса России, Минфина России, Минпромторга России, Минтруда России, МЧС России, ФАС России, Ростехнадзора, администраций угледобывающих регионов, угольных компаний и ОАО «РЖД». Содействие в повышении уровня конкуренции в угольной отрасли оказали принятые решения по обеспечению безопасности и охраны труда, а также реализация мероприятий, направленных на сокращение негативного воздействия на окружающую среду.  </w:t>
      </w:r>
    </w:p>
    <w:p w14:paraId="1DDFAB0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p>
    <w:p w14:paraId="28B0B2E3" w14:textId="77777777" w:rsidR="00FB5879" w:rsidRPr="00FB5879" w:rsidRDefault="00FB5879" w:rsidP="00F6030C">
      <w:pPr>
        <w:numPr>
          <w:ilvl w:val="0"/>
          <w:numId w:val="33"/>
        </w:numPr>
        <w:tabs>
          <w:tab w:val="left" w:pos="567"/>
          <w:tab w:val="left" w:pos="1134"/>
        </w:tabs>
        <w:spacing w:after="240" w:line="240" w:lineRule="auto"/>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Основные проблемы, препятствующие развитию конкуренции</w:t>
      </w:r>
    </w:p>
    <w:p w14:paraId="1DCB80AA"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2313B733"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одной из актуальных проблем функционирования модели розничных рынков электрической энергии является недостаточно высокий уровень развития конкурентных отношений на указанных рынках, обусловленный значительным уровнем доминирования гарантирующих поставщиков и высокими барьерами входа для значительного количества мелких и средних потребителей на оптовый рынок электрической энергии мощности, а также невыгодными условиями для заключения прямых двусторонних договоров поставки электрической энергии с производителями и независимыми сбытовыми компаниями. Кроме того, эффективным конкурентным отношениям препятствует недостаточное развитие  современных цифровых технологий в сфере учета электрической энергии и низкий уровень платежной дисциплины на розничных рынках.</w:t>
      </w:r>
    </w:p>
    <w:p w14:paraId="4667F745"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1D85E07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числе основных проблем, препятствующих развитию конкуренции в нефтяной отрасли, можно отметить:</w:t>
      </w:r>
    </w:p>
    <w:p w14:paraId="340028BE"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1.</w:t>
      </w:r>
      <w:r w:rsidRPr="00FB5879">
        <w:rPr>
          <w:rFonts w:ascii="Times New Roman" w:eastAsia="Times New Roman" w:hAnsi="Times New Roman" w:cs="Times New Roman"/>
          <w:bCs/>
          <w:sz w:val="28"/>
          <w:szCs w:val="28"/>
          <w:lang w:eastAsia="ru-RU"/>
        </w:rPr>
        <w:tab/>
        <w:t xml:space="preserve">Высокие барьеры входа в отрасль, обусловленные высокими капитальными затратами, что </w:t>
      </w:r>
      <w:r w:rsidRPr="00FB5879">
        <w:rPr>
          <w:rFonts w:ascii="Times New Roman" w:eastAsia="Times New Roman" w:hAnsi="Times New Roman" w:cs="Times New Roman"/>
          <w:sz w:val="28"/>
          <w:szCs w:val="28"/>
          <w:lang w:eastAsia="ru-RU"/>
        </w:rPr>
        <w:t>усложняет доступ новых участников на рынки.</w:t>
      </w:r>
    </w:p>
    <w:p w14:paraId="0527C4C3" w14:textId="77777777" w:rsidR="00FB5879" w:rsidRPr="00FB5879" w:rsidRDefault="00FB5879" w:rsidP="00FB5879">
      <w:pPr>
        <w:tabs>
          <w:tab w:val="left" w:pos="1134"/>
          <w:tab w:val="left" w:pos="1418"/>
        </w:tabs>
        <w:spacing w:after="20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2.</w:t>
      </w:r>
      <w:r w:rsidRPr="00FB5879">
        <w:rPr>
          <w:rFonts w:ascii="Times New Roman" w:eastAsia="Times New Roman" w:hAnsi="Times New Roman" w:cs="Times New Roman"/>
          <w:bCs/>
          <w:sz w:val="28"/>
          <w:szCs w:val="28"/>
          <w:lang w:eastAsia="ru-RU"/>
        </w:rPr>
        <w:tab/>
        <w:t xml:space="preserve">Значительная доля </w:t>
      </w:r>
      <w:r w:rsidRPr="00FB5879">
        <w:rPr>
          <w:rFonts w:ascii="Times New Roman" w:eastAsia="Times New Roman" w:hAnsi="Times New Roman" w:cs="Times New Roman"/>
          <w:sz w:val="28"/>
          <w:szCs w:val="28"/>
          <w:lang w:eastAsia="ru-RU"/>
        </w:rPr>
        <w:t>налоговой составляющей в конечной цене реализуемых нефти и нефтепродуктов.</w:t>
      </w:r>
    </w:p>
    <w:p w14:paraId="61B4281B"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77387A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можно выделить следующие основные проблемы в сфере конкуренции в газовой отрасли.</w:t>
      </w:r>
      <w:r w:rsidRPr="00FB5879">
        <w:rPr>
          <w:rFonts w:ascii="Calibri" w:eastAsia="Times New Roman" w:hAnsi="Calibri" w:cs="Times New Roman"/>
          <w:sz w:val="28"/>
          <w:szCs w:val="28"/>
          <w:lang w:eastAsia="ru-RU"/>
        </w:rPr>
        <w:t xml:space="preserve"> </w:t>
      </w:r>
    </w:p>
    <w:p w14:paraId="0627BE1B"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w:t>
      </w:r>
      <w:r w:rsidRPr="00FB5879">
        <w:rPr>
          <w:rFonts w:ascii="Times New Roman" w:eastAsia="Times New Roman" w:hAnsi="Times New Roman" w:cs="Times New Roman"/>
          <w:sz w:val="28"/>
          <w:szCs w:val="28"/>
          <w:lang w:eastAsia="ru-RU"/>
        </w:rPr>
        <w:tab/>
        <w:t>Ограничения по расстоянию транспортировки газа независимыми производителями.</w:t>
      </w:r>
    </w:p>
    <w:p w14:paraId="3DB4BA45"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Тарифы на услуги по транспортировке газа по магистральным газопроводам для независимых производителей газа приводят к ограничениям по расстояниям транспортировки газа, на которых сохраняется положительная рентабельность. </w:t>
      </w:r>
    </w:p>
    <w:p w14:paraId="595AC633"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2.</w:t>
      </w:r>
      <w:r w:rsidRPr="00FB5879">
        <w:rPr>
          <w:rFonts w:ascii="Times New Roman" w:eastAsia="Times New Roman" w:hAnsi="Times New Roman" w:cs="Times New Roman"/>
          <w:sz w:val="28"/>
          <w:szCs w:val="28"/>
          <w:lang w:eastAsia="ru-RU"/>
        </w:rPr>
        <w:tab/>
        <w:t>Проблема доступа независимых производителей газа к единой системе газоснабжения.</w:t>
      </w:r>
    </w:p>
    <w:p w14:paraId="0A728A44"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672F1038"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iCs/>
          <w:sz w:val="28"/>
          <w:szCs w:val="28"/>
          <w:lang w:eastAsia="ar-SA"/>
        </w:rPr>
        <w:t>Основными ограничениями развития угольных предприятий, а, следовательно, развития конкуренции в угольной отрасли, являются:</w:t>
      </w:r>
    </w:p>
    <w:p w14:paraId="138E130E" w14:textId="77777777" w:rsidR="00FB5879" w:rsidRPr="00FB5879" w:rsidRDefault="00FB5879" w:rsidP="00F6030C">
      <w:pPr>
        <w:numPr>
          <w:ilvl w:val="0"/>
          <w:numId w:val="34"/>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Снижение конкурентоспособности угольной продукции в условиях опережающего роста цен на ГСМ, тарифов на электроэнергию и услуги                                    ОАО «РЖД», социальных выплат, а также нарастающего дефицита финансовых и кредитных ресурсов.</w:t>
      </w:r>
    </w:p>
    <w:p w14:paraId="4C7DCA57" w14:textId="77777777" w:rsidR="00FB5879" w:rsidRPr="00FB5879" w:rsidRDefault="00FB5879" w:rsidP="00F6030C">
      <w:pPr>
        <w:numPr>
          <w:ilvl w:val="0"/>
          <w:numId w:val="34"/>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Сокращение внутреннего спроса на энергетический уголь, обусловленное расширением области использования газа в электроэнергетике и коммунально-бытовом секторе, в том числе в Восточной Сибири и на Дальнем Востоке (только при более чем двукратном повышении цен на газ возможно возобновление интереса инвесторов к угольной генерации).</w:t>
      </w:r>
    </w:p>
    <w:p w14:paraId="10C845AC" w14:textId="77777777" w:rsidR="00FB5879" w:rsidRPr="00FB5879" w:rsidRDefault="00FB5879" w:rsidP="00F6030C">
      <w:pPr>
        <w:numPr>
          <w:ilvl w:val="0"/>
          <w:numId w:val="34"/>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Высокие логистические издержки (доля транспортных затрат в конечной цене угля у потребителя по отдельным направлениям достигает более 60 процентов).</w:t>
      </w:r>
    </w:p>
    <w:p w14:paraId="6E2597B2" w14:textId="77777777" w:rsidR="00FB5879" w:rsidRPr="00FB5879" w:rsidRDefault="00FB5879" w:rsidP="00F6030C">
      <w:pPr>
        <w:numPr>
          <w:ilvl w:val="0"/>
          <w:numId w:val="34"/>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 Неразвитость железнодорожной инфраструктуры и дефицит мощности в морских портах в новых районах добычи угля, в том числе наличие «узких мест» в транспортной инфраструктуре в традиционных районах угледобычи.</w:t>
      </w:r>
    </w:p>
    <w:p w14:paraId="33397B0E" w14:textId="77777777" w:rsidR="00FB5879" w:rsidRPr="00FB5879" w:rsidRDefault="00FB5879" w:rsidP="00F6030C">
      <w:pPr>
        <w:numPr>
          <w:ilvl w:val="0"/>
          <w:numId w:val="34"/>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Большая капиталоемкость и длительность разработки новых месторождений, а также изношенность основных фондов угольных шахт и разрезов.</w:t>
      </w:r>
    </w:p>
    <w:p w14:paraId="3F32976F" w14:textId="77777777" w:rsidR="00FB5879" w:rsidRPr="00FB5879" w:rsidRDefault="00FB5879" w:rsidP="00F6030C">
      <w:pPr>
        <w:numPr>
          <w:ilvl w:val="0"/>
          <w:numId w:val="34"/>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Отсутствие экономических (налоговых) стимулов у производителей угля в части повышения качества и выпуска новых видов угольной продукции и глубокой переработки угля.</w:t>
      </w:r>
    </w:p>
    <w:p w14:paraId="12E864E1" w14:textId="77777777" w:rsidR="00FB5879" w:rsidRPr="00FB5879" w:rsidRDefault="00FB5879" w:rsidP="00F6030C">
      <w:pPr>
        <w:numPr>
          <w:ilvl w:val="0"/>
          <w:numId w:val="34"/>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Увеличение банковской ставки в коммерческих банках, что значительно уменьшило доступ к кредитным ресурсам угольным компаниям.</w:t>
      </w:r>
    </w:p>
    <w:p w14:paraId="7872C043"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6546B0D7" w14:textId="77777777" w:rsidR="00FB5879" w:rsidRPr="00FB5879" w:rsidRDefault="00FB5879" w:rsidP="00FB5879">
      <w:pPr>
        <w:tabs>
          <w:tab w:val="left" w:pos="1134"/>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3.</w:t>
      </w:r>
      <w:r w:rsidRPr="00FB5879">
        <w:rPr>
          <w:rFonts w:ascii="Times New Roman" w:eastAsia="Calibri" w:hAnsi="Times New Roman" w:cs="Times New Roman"/>
          <w:b/>
          <w:sz w:val="28"/>
          <w:szCs w:val="28"/>
        </w:rPr>
        <w:tab/>
        <w:t>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Минэнерго России</w:t>
      </w:r>
    </w:p>
    <w:p w14:paraId="63FB1486"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324F5284" w14:textId="77777777" w:rsidR="00FB5879" w:rsidRPr="00FB5879" w:rsidRDefault="00FB5879" w:rsidP="00FB5879">
      <w:pPr>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 части деятельности по производству электрической энергии существуют следующие основные требования (ограничения):</w:t>
      </w:r>
    </w:p>
    <w:p w14:paraId="281D52C5" w14:textId="77777777" w:rsidR="00FB5879" w:rsidRPr="00FB5879" w:rsidRDefault="00FB5879" w:rsidP="00F6030C">
      <w:pPr>
        <w:numPr>
          <w:ilvl w:val="0"/>
          <w:numId w:val="35"/>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реализовывать произведенную электрическую энергию на генерирующем оборудовании свыше 25 МВт установленной мощности только на оптовом рынке (прямое требование Федерального закона от 26 марта 2013 г. № 35-Ф3) и вытекающие из этой обязанности требования к субъектам оптового рынка (Постановление Правительства Российской Федерации от 27 декабря 2010 г. №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в части количественных требований к лицам, претендующим на получение статуса участника оптового рынка);</w:t>
      </w:r>
    </w:p>
    <w:p w14:paraId="07FD079E" w14:textId="77777777" w:rsidR="00FB5879" w:rsidRPr="00FB5879" w:rsidRDefault="00FB5879" w:rsidP="00F6030C">
      <w:pPr>
        <w:numPr>
          <w:ilvl w:val="0"/>
          <w:numId w:val="35"/>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заключения договоров с организациями инфраструктуры, заключение договоров оказания услуг по передаче электрической энергии, технологическому присоединению, ряд регулируемых договоров на оптовом и розничных рынках, например, в объемах поставки электроэнергии для населения и приравненных к нему категорий;</w:t>
      </w:r>
    </w:p>
    <w:p w14:paraId="1119E6C8" w14:textId="77777777" w:rsidR="00FB5879" w:rsidRPr="00FB5879" w:rsidRDefault="00FB5879" w:rsidP="00F6030C">
      <w:pPr>
        <w:numPr>
          <w:ilvl w:val="0"/>
          <w:numId w:val="35"/>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наличие неспецифических видов лицензирования (например, деятельность по эксплуатации взрыво- и пожароопасных производственных объектов).</w:t>
      </w:r>
    </w:p>
    <w:p w14:paraId="29B74AD8" w14:textId="77777777" w:rsidR="00FB5879" w:rsidRPr="00FB5879" w:rsidRDefault="00FB5879" w:rsidP="00FB5879">
      <w:pPr>
        <w:tabs>
          <w:tab w:val="left" w:pos="993"/>
        </w:tabs>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Кроме того, в </w:t>
      </w:r>
      <w:r w:rsidRPr="00FB5879">
        <w:rPr>
          <w:rFonts w:ascii="Times New Roman" w:eastAsia="Times New Roman" w:hAnsi="Times New Roman" w:cs="Times New Roman"/>
          <w:sz w:val="28"/>
          <w:szCs w:val="28"/>
          <w:lang w:eastAsia="ru-RU"/>
        </w:rPr>
        <w:t>соответствии с Федеральны</w:t>
      </w:r>
      <w:r>
        <w:rPr>
          <w:rFonts w:ascii="Times New Roman" w:eastAsia="Times New Roman" w:hAnsi="Times New Roman" w:cs="Times New Roman"/>
          <w:sz w:val="28"/>
          <w:szCs w:val="28"/>
          <w:lang w:eastAsia="ru-RU"/>
        </w:rPr>
        <w:t xml:space="preserve">м законом от 29 декабря 2017 г. </w:t>
      </w:r>
      <w:r w:rsidRPr="00FB5879">
        <w:rPr>
          <w:rFonts w:ascii="Times New Roman" w:eastAsia="Times New Roman" w:hAnsi="Times New Roman" w:cs="Times New Roman"/>
          <w:sz w:val="28"/>
          <w:szCs w:val="28"/>
          <w:lang w:eastAsia="ru-RU"/>
        </w:rPr>
        <w:t>№ 451-ФЗ введено (с середины 2020 г.) лицензирование энергосбытовой де</w:t>
      </w:r>
      <w:r>
        <w:rPr>
          <w:rFonts w:ascii="Times New Roman" w:eastAsia="Times New Roman" w:hAnsi="Times New Roman" w:cs="Times New Roman"/>
          <w:sz w:val="28"/>
          <w:szCs w:val="28"/>
          <w:lang w:eastAsia="ru-RU"/>
        </w:rPr>
        <w:t>ятельности.</w:t>
      </w:r>
    </w:p>
    <w:p w14:paraId="77BEFF2E" w14:textId="77777777" w:rsidR="00FB5879" w:rsidRPr="00FB5879" w:rsidRDefault="00FB5879" w:rsidP="00FB5879">
      <w:pPr>
        <w:spacing w:before="240"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7550892F" w14:textId="77777777" w:rsidR="00FB5879" w:rsidRPr="00FB5879" w:rsidRDefault="00FB5879" w:rsidP="00FB5879">
      <w:pPr>
        <w:tabs>
          <w:tab w:val="num" w:pos="1021"/>
        </w:tabs>
        <w:spacing w:before="240"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ценообразование на российскую нефть Urals строится на основе бенчмарка Brent (по сути, смеси 4-х сортов североморской нефти с небольшим и падающим уровнем добычи) по методологии иностранных котировальных агентств Platts и Argus, к которым возникает много вопросов в плане прозрачности и репрезентативности.</w:t>
      </w:r>
    </w:p>
    <w:p w14:paraId="2DABCB7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Сложившаяся система оценки нефти, основанная на Brent, уже не отражает реальной картины поставок нефти и утратила свою значимость как мерило стоимости для мирового рынка нефти, но при этом продолжает применяться, поскольку альтернатива отсутствует.</w:t>
      </w:r>
    </w:p>
    <w:p w14:paraId="32AA0DD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объем поставок российской нефти Urals на международные рынки вдвое превышает объем поставок нефти Brent, Oman и Dubai, вместе взятых. При этом российские производители нефти не формируют цену экспортной нефти, а «берут» ее с рынка. В этой связи актуальна задача создания бенчмарка российской нефти.</w:t>
      </w:r>
    </w:p>
    <w:p w14:paraId="40E0E67D"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Создание российского нефтяного бенчмарка позволит установить определяемую рынком прямую котировку российской нефти без привязки к иным потокам нефти и устранить ценовые манипуляции, а также даст возможность сократить имеющиеся дисконты Urals к Brent за счет публичности и общедоступности ценовой информации.</w:t>
      </w:r>
    </w:p>
    <w:p w14:paraId="0EF721E7" w14:textId="77777777" w:rsidR="00FB5879" w:rsidRPr="00FB5879" w:rsidRDefault="00FB5879" w:rsidP="00FB5879">
      <w:pPr>
        <w:tabs>
          <w:tab w:val="num" w:pos="1021"/>
        </w:tabs>
        <w:spacing w:after="200" w:line="240" w:lineRule="auto"/>
        <w:ind w:firstLine="709"/>
        <w:jc w:val="both"/>
        <w:rPr>
          <w:rFonts w:ascii="Calibri" w:eastAsia="Times New Roman" w:hAnsi="Calibri" w:cs="Times New Roman"/>
          <w:smallCaps/>
          <w:sz w:val="28"/>
          <w:szCs w:val="28"/>
          <w:lang w:eastAsia="ru-RU"/>
        </w:rPr>
      </w:pPr>
      <w:r w:rsidRPr="00FB5879">
        <w:rPr>
          <w:rFonts w:ascii="Times New Roman" w:eastAsia="Times New Roman" w:hAnsi="Times New Roman" w:cs="Times New Roman"/>
          <w:sz w:val="28"/>
          <w:szCs w:val="28"/>
          <w:lang w:eastAsia="ru-RU"/>
        </w:rPr>
        <w:t>Реализация данной задачи может увеличить выручку от реализации нефти на экспорт на 1–2 долл/барр и, как следствие, повысить доходы федерального бюджета</w:t>
      </w:r>
      <w:r w:rsidRPr="00FB5879">
        <w:rPr>
          <w:rFonts w:ascii="Calibri" w:eastAsia="Times New Roman" w:hAnsi="Calibri" w:cs="Times New Roman"/>
          <w:smallCaps/>
          <w:sz w:val="28"/>
          <w:szCs w:val="28"/>
          <w:lang w:eastAsia="ru-RU"/>
        </w:rPr>
        <w:t>.</w:t>
      </w:r>
    </w:p>
    <w:p w14:paraId="39DC6240"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6B20817"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учетом необходимости развития конкуренции на внутреннем рынке газа приоритетным направлением развития конкуренции на указанном рынке является развитие биржевой торговли газом, в том числе посредством внесения изменений в нормативную правовую базу с целью законодательного обеспечения дальнейшего развития биржевой торговли.</w:t>
      </w:r>
    </w:p>
    <w:p w14:paraId="06ED4834" w14:textId="77777777" w:rsidR="00FB5879" w:rsidRPr="00FB5879" w:rsidRDefault="00FB5879" w:rsidP="00FB5879">
      <w:pPr>
        <w:spacing w:after="200" w:line="240" w:lineRule="auto"/>
        <w:ind w:firstLine="709"/>
        <w:jc w:val="both"/>
        <w:rPr>
          <w:rFonts w:ascii="Times New Roman" w:eastAsia="MS Mincho" w:hAnsi="Times New Roman" w:cs="Times New Roman"/>
          <w:sz w:val="28"/>
          <w:szCs w:val="28"/>
          <w:lang w:eastAsia="ja-JP"/>
        </w:rPr>
      </w:pPr>
      <w:r w:rsidRPr="00FB5879">
        <w:rPr>
          <w:rFonts w:ascii="Times New Roman" w:eastAsia="MS Mincho" w:hAnsi="Times New Roman" w:cs="Times New Roman"/>
          <w:sz w:val="28"/>
          <w:szCs w:val="28"/>
          <w:lang w:eastAsia="ja-JP"/>
        </w:rPr>
        <w:t>В рамках указанного направления в настоящее время ФАС России, Минэнерго России и Минэкономразвития России прорабатывается вопрос совершенствования биржевой торговли газом Российской Федерации и внесения изменений в постановление Правительства Российской Федерации от 16 апреля 2012 г.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57F7B14E"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5459E2F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В результате проведенной реструктуризации угольной отрасли  угледобывающие предприятия являются частными, и осуществляют свою деятельность в условиях рыночной экономики. </w:t>
      </w:r>
    </w:p>
    <w:p w14:paraId="1763F6B8"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Деятельность хозяйствующих субъектов, в том числе угледобывающих предприятий, осуществляется в соответствии с гражданским законодательством, и основана на гражданско-правовых принципах свободы договора, стороны вправе самостоятельно выбирать, и взаимодействовать с заинтересованными контрагентами в условиях конкуренции.</w:t>
      </w:r>
    </w:p>
    <w:p w14:paraId="70FCA90A" w14:textId="77777777" w:rsidR="00FB5879" w:rsidRPr="00FB5879" w:rsidRDefault="00FB5879" w:rsidP="00FB5879">
      <w:pPr>
        <w:spacing w:after="240" w:line="276" w:lineRule="auto"/>
        <w:rPr>
          <w:rFonts w:ascii="Times New Roman" w:eastAsia="Calibri" w:hAnsi="Times New Roman" w:cs="Times New Roman"/>
          <w:b/>
          <w:sz w:val="28"/>
          <w:szCs w:val="28"/>
        </w:rPr>
      </w:pPr>
    </w:p>
    <w:p w14:paraId="27EDC751" w14:textId="77777777" w:rsidR="00FB5879" w:rsidRPr="00FB5879" w:rsidRDefault="00FB5879" w:rsidP="00FB5879">
      <w:pPr>
        <w:tabs>
          <w:tab w:val="left" w:pos="1134"/>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4.</w:t>
      </w:r>
      <w:r w:rsidRPr="00FB5879">
        <w:rPr>
          <w:rFonts w:ascii="Times New Roman" w:eastAsia="Calibri" w:hAnsi="Times New Roman" w:cs="Times New Roman"/>
          <w:b/>
          <w:sz w:val="28"/>
          <w:szCs w:val="28"/>
        </w:rPr>
        <w:tab/>
        <w:t>Задачи по совершенствованию государственной политики по развитию конкуренции и предложения по решению проблем, препятствующих развитию конкуренции (в том числе путем внесения изменений в нормативно-правовые акты)</w:t>
      </w:r>
    </w:p>
    <w:p w14:paraId="68042A71"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02DD1DD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Для формирования конкурентной среды на розничных рынках </w:t>
      </w:r>
      <w:r w:rsidRPr="00FB5879">
        <w:rPr>
          <w:rFonts w:ascii="Times New Roman" w:eastAsia="Times New Roman" w:hAnsi="Times New Roman" w:cs="Times New Roman"/>
          <w:sz w:val="28"/>
          <w:szCs w:val="28"/>
          <w:lang w:eastAsia="ru-RU"/>
        </w:rPr>
        <w:t xml:space="preserve">электрической энергии </w:t>
      </w:r>
      <w:r w:rsidRPr="00FB5879">
        <w:rPr>
          <w:rFonts w:ascii="Times New Roman" w:eastAsia="Calibri" w:hAnsi="Times New Roman" w:cs="Times New Roman"/>
          <w:sz w:val="28"/>
          <w:szCs w:val="28"/>
        </w:rPr>
        <w:t>необходимо:</w:t>
      </w:r>
    </w:p>
    <w:p w14:paraId="77CEDDC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1. Принять меры по развитию современных цифровых технологий в сфере учета электрической энергии (внедрение «интеллектуальных» приборов и систем учета).</w:t>
      </w:r>
    </w:p>
    <w:p w14:paraId="561F143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2. Обеспечить нормативную базу для присоединения к ЕЭС России изолированных энергорайонов, усилить сетевые связи и увеличить объемы перетоков между объединенными энергосистемами, стимулировать развитие альтернативных энергетических решений на базе возобновляемых источников энергии, накопителей энергии, сжиженного природного газа и гибридных технологий.</w:t>
      </w:r>
    </w:p>
    <w:p w14:paraId="0157EC6F"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3. Сократить (по возможности) нерыночные надбавки к цене оптового рынка электрической энергии и мощности.</w:t>
      </w:r>
    </w:p>
    <w:p w14:paraId="25161F5D"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4.Стимулировать заключение долгосрочных двусторонних договоров на розничных рынках, в том числе в изолированных энергорайонах.</w:t>
      </w:r>
    </w:p>
    <w:p w14:paraId="5CBDFFB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0008C98C"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6C28AD6A"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ключевых направлений по повышению эффективности государственной политики по развитию конкуренции в нефтяной отрасли предлагается реализовать следующие мероприятия:</w:t>
      </w:r>
    </w:p>
    <w:p w14:paraId="6F91A62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поставочными фьючерсными контрактами на российскую экспортную нефть;</w:t>
      </w:r>
    </w:p>
    <w:p w14:paraId="419F39B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налоговому и таможенно-тарифному стимулированию внедрения нового оборудования и технологий в нефтегазовой отрасли с целью повышения ее эффективности;</w:t>
      </w:r>
    </w:p>
    <w:p w14:paraId="147734A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международного опыта заключения инвестиционных соглашений в нефтегазовой сфере о привлечении инвестиций и реализации обязательств по добыче углеводородного сырья, и совершенствование действующего законодательства в целях внедрения указанного механизма защиты интересов государства и недропользователей;</w:t>
      </w:r>
    </w:p>
    <w:p w14:paraId="3C2C6D9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освоению нефтяных месторождений и увеличению объемов добычи нефти в Российской Федерации (проведение инвентаризации запасов нефтяных месторождений на предмет достаточности мер государственной поддержки разработки месторождений, стимулирование геологоразведочных работ на суше и континентальном шельфе Российской Федерации, комплексное стимулирование добычи нефти в Западной Сибири, стимулирование добычи нефти в Восточной Сибири и новых регионах добычи, стимулирование добычи нефти на месторождениях, содержащих трудноизвлекаемые запасы нефти (ТРИЗ), в том числе нефтяные оторочки газовых месторождений, внедрение третичных методов увеличения нефтеотдачи пластов, а также стимулирование добычи на малых месторождениях);</w:t>
      </w:r>
    </w:p>
    <w:p w14:paraId="0F763D03"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применения нового налогового режима в нефтяной отрасли, основанного на налоге на дополнительный доход от добычи углеводородного сырья;</w:t>
      </w:r>
    </w:p>
    <w:p w14:paraId="460F642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совместно с ФАС России Порядка определения индикативного тарифа на транспортировку нефти в рамках расчета налога на дополнительный доход от добычи углеводородного сырья.</w:t>
      </w:r>
    </w:p>
    <w:p w14:paraId="5782BBC8"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p>
    <w:p w14:paraId="4D6AD2A7"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16203932"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в газовой отрасли, необходимо отметить:</w:t>
      </w:r>
    </w:p>
    <w:p w14:paraId="6D3EF58C" w14:textId="77777777" w:rsidR="00FB5879" w:rsidRPr="00FB5879" w:rsidRDefault="00FB5879" w:rsidP="00FB5879">
      <w:pPr>
        <w:tabs>
          <w:tab w:val="num" w:pos="1418"/>
        </w:tabs>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продолжение реализации комплексного плана по развитию производства сжиженного природного газа на полуострове Ямал;</w:t>
      </w:r>
    </w:p>
    <w:p w14:paraId="235EF98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«эталонного» тарифа на услуги по транспортировке газа по магистральным газопроводам с учетом обеспечения принципов экономической обоснованности, прозрачной и согласованной всеми участниками газового рынка методологии расчета и единого порядка формирования для всех поставщиков газа</w:t>
      </w:r>
      <w:r w:rsidRPr="00FB5879">
        <w:rPr>
          <w:rFonts w:ascii="Times New Roman" w:eastAsia="Calibri" w:hAnsi="Times New Roman" w:cs="Times New Roman"/>
          <w:sz w:val="28"/>
          <w:szCs w:val="28"/>
          <w:lang w:eastAsia="ru-RU"/>
        </w:rPr>
        <w:t>;</w:t>
      </w:r>
    </w:p>
    <w:p w14:paraId="0D9707F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lang w:eastAsia="ru-RU"/>
        </w:rPr>
        <w:t>устранение имеющихся диспропорций в цено- и тарифообразовании на газ;</w:t>
      </w:r>
    </w:p>
    <w:p w14:paraId="76191505"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w:t>
      </w:r>
      <w:r w:rsidRPr="00FB5879">
        <w:rPr>
          <w:rFonts w:ascii="Times New Roman" w:eastAsia="Calibri" w:hAnsi="Times New Roman" w:cs="Times New Roman"/>
          <w:bCs/>
          <w:sz w:val="28"/>
          <w:szCs w:val="28"/>
          <w:lang w:eastAsia="ru-RU"/>
        </w:rPr>
        <w:t xml:space="preserve">родолжение работы по развитию биржевых торгов на внутреннем рынке газа. </w:t>
      </w:r>
    </w:p>
    <w:p w14:paraId="3B486AE9" w14:textId="77777777" w:rsidR="00FB5879" w:rsidRPr="00FB5879" w:rsidRDefault="00FB5879" w:rsidP="00FB5879">
      <w:pPr>
        <w:spacing w:after="0" w:line="276" w:lineRule="auto"/>
        <w:ind w:firstLine="709"/>
        <w:rPr>
          <w:rFonts w:ascii="Times New Roman" w:eastAsia="Times New Roman" w:hAnsi="Times New Roman" w:cs="Times New Roman"/>
          <w:sz w:val="28"/>
          <w:szCs w:val="28"/>
          <w:lang w:eastAsia="ru-RU"/>
        </w:rPr>
      </w:pPr>
    </w:p>
    <w:p w14:paraId="643A3D7E"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955E43D"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5F21CD5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Преодоление существующих вызовов и рисков эффективного и устойчивого развития угольной промышленности и повышение уровня ее конкурентоспособности планируется обеспечить посредством реализации Программы развития угольной промышленности России на период до 2030 года, утвержденной распоряжением Правительства Российской Федерации от 21.06.2014 № 1099-р (далее – Программа), за счет следующих мероприятий:</w:t>
      </w:r>
    </w:p>
    <w:p w14:paraId="2ECFE3B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проведения актуализации положений и мероприятий Программы с внесением соответствующих изменений в установленном порядке с учетом:</w:t>
      </w:r>
    </w:p>
    <w:p w14:paraId="785EC9A6"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определения существующих тенденций на внутреннем и внешнем рынках угля;</w:t>
      </w:r>
    </w:p>
    <w:p w14:paraId="676AE90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синхронизации реализации мероприятий Программы и мероприятий, предусмотренных стратегическими и программными документами, в части развития транспортной инфраструктуры и морских портов, долгосрочного тарифного регулирования, с внесением при необходимости соответствующих изменений в указанные документы;</w:t>
      </w:r>
    </w:p>
    <w:p w14:paraId="0B7A97F9"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стимулирования внутреннего спроса на уголь и продукции его переработки, в том числе путем развития угольной генерации, а также в сфере жилищно-коммунального хозяйства, с учетом существующей межтопливной конкуренции;</w:t>
      </w:r>
    </w:p>
    <w:p w14:paraId="7924EA8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модернизации и замены оборудования на местных котельных и ТЭЦ на более современное и эффективное, включая перевод с мазута на угольное топливо, повышения экономической эффективности оборудования за счет внедрения новых технологий по сжиганию твердого топлива (угля), обеспечивающих необходимую степень автоматизации и высоких КПД при производстве тепловой энергии и отвечающих современным экологическим требованиям;</w:t>
      </w:r>
    </w:p>
    <w:p w14:paraId="1846D47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обеспечения безопасных условий труда, снижения уровня аварийности и травматизма работников угольных шахт и разрезов;</w:t>
      </w:r>
    </w:p>
    <w:p w14:paraId="705126A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реализации комплекса мер по развитию углехимической промышленности и увеличения объемов производства продуктов углехимии и обогащения; </w:t>
      </w:r>
    </w:p>
    <w:p w14:paraId="7444BD9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поддержания инвестиционного процесса, обеспечивающего развитие угольных компаний;</w:t>
      </w:r>
    </w:p>
    <w:p w14:paraId="0C2948E8"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эффективного управления и диспетчеризации железнодорожными перевозками, не допускающими срывов с подачей и обработкой вагонов с углем и продукцией его переработки;</w:t>
      </w:r>
    </w:p>
    <w:p w14:paraId="26DEAF0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ограничения роста тарифов на электроэнергию, услуги ОАО «РЖД» и стивидоров в морских портах, а также операторов железнодорожных вагонов, исходя из учета баланса интересов субъектов естественных монополий и потребителей, позволяющего угольным предприятиям снизить риски при принятии стратегических решений;</w:t>
      </w:r>
    </w:p>
    <w:p w14:paraId="47EE0CC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совершенствования системы планирования и организации перевозок угля и продукции его переработки, включая расширения практики транспортировки груза по выделенным расписаниям;</w:t>
      </w:r>
    </w:p>
    <w:p w14:paraId="126C97E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расчета и формирования объективных биржевых индикаторов рынка угля и продуктов его переработки путем регистрации внебиржевых сделок с целью создания прозрачных механизмов ценообразования и исключения возможного картельного сговора между производителями и покупателями угля и продуктов его переработки:</w:t>
      </w:r>
    </w:p>
    <w:p w14:paraId="6B0BD3C0"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развития применения биржевых механизмов при реализации угля и продукции его переработки, включая организацию их биржевой торговли.</w:t>
      </w:r>
    </w:p>
    <w:p w14:paraId="3FC7695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p>
    <w:p w14:paraId="6021A498" w14:textId="77777777" w:rsidR="00FB5879" w:rsidRPr="00FB5879" w:rsidRDefault="00FB5879" w:rsidP="00FB5879">
      <w:pPr>
        <w:tabs>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5.1.</w:t>
      </w:r>
      <w:r w:rsidRPr="00FB5879">
        <w:rPr>
          <w:rFonts w:ascii="Times New Roman" w:eastAsia="Calibri" w:hAnsi="Times New Roman" w:cs="Times New Roman"/>
          <w:b/>
          <w:sz w:val="28"/>
          <w:szCs w:val="28"/>
        </w:rPr>
        <w:tab/>
        <w:t>Мероприятия, реализованные Минэнерго России по развитию конкуренции в курируемых отраслях</w:t>
      </w:r>
    </w:p>
    <w:p w14:paraId="05B44193"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6F445C85" w14:textId="77777777" w:rsidR="00FB5879" w:rsidRPr="00FB5879" w:rsidRDefault="00FB5879" w:rsidP="00FB5879">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соответствии с </w:t>
      </w:r>
      <w:r w:rsidRPr="00FB5879">
        <w:rPr>
          <w:rFonts w:ascii="Times New Roman" w:eastAsia="Times New Roman" w:hAnsi="Times New Roman" w:cs="Times New Roman"/>
          <w:sz w:val="28"/>
          <w:szCs w:val="28"/>
          <w:lang w:eastAsia="ru-RU"/>
        </w:rPr>
        <w:t>распоряжением Правительства Российской Федерации от 16 августа 2018 г. №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w:t>
      </w:r>
      <w:r w:rsidRPr="00FB5879">
        <w:rPr>
          <w:rFonts w:ascii="Times New Roman" w:eastAsia="Calibri" w:hAnsi="Times New Roman" w:cs="Times New Roman"/>
          <w:sz w:val="28"/>
          <w:szCs w:val="28"/>
        </w:rPr>
        <w:t>на 2018 - 2020 годы, реализованы следующие мероприятия:</w:t>
      </w:r>
    </w:p>
    <w:p w14:paraId="2C9E5C65" w14:textId="77777777" w:rsidR="00FB5879" w:rsidRPr="00FB5879" w:rsidRDefault="00FB5879" w:rsidP="00FB5879">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приняты решения по увеличению с 4 до 6 лет срока отбора мощности на конкурентном отборе мощности и повышение его эффективности и внедрены конкурентные способы отбора проектов модернизации генерирующих объектов энергетики (постановление Правительства Российской Федерации от 24.01.2019 № 43); </w:t>
      </w:r>
    </w:p>
    <w:p w14:paraId="524B4EC1" w14:textId="77777777" w:rsidR="00FB5879" w:rsidRPr="00FB5879" w:rsidRDefault="00FB5879" w:rsidP="00FB5879">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внесены изменения в акты Правительства Российской Федерации, регулирующие деятельность в области электроэнергетики, в части присоединения технологически изолированных электроэнергетических систем (энергорайонов) к Единой энергетической системе России (Федеральный закон от 29.06.2018 № 172-ФЗ «О внесении изменений в Федеральный закон «Об электроэнергетике» в части регулирования отношений при присоединении электроэнергетической системы к другой электроэнергетической системе» и постановление Правительства Российской Федерации от 08.12.2018 № 1496 «О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 </w:t>
      </w:r>
    </w:p>
    <w:p w14:paraId="2E192791" w14:textId="77777777" w:rsidR="00FB5879" w:rsidRPr="00FB5879" w:rsidRDefault="00FB5879" w:rsidP="00FB5879">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Правительство Российской Федерации письмом от 26.11.2018 </w:t>
      </w:r>
      <w:r w:rsidRPr="00FB5879">
        <w:rPr>
          <w:rFonts w:ascii="Times New Roman" w:eastAsia="Calibri" w:hAnsi="Times New Roman" w:cs="Times New Roman"/>
          <w:sz w:val="28"/>
          <w:szCs w:val="28"/>
        </w:rPr>
        <w:br/>
        <w:t>№ АН-12398/09 представлен доклад во исполнение протокола совещания у Заместителя Председателя Правительства Российской Федерации Д.Н. Козака от 15.10.2018 № ДК-П9-193пр, раздел I, пункты 6 и 7, содержащий предложения о механизмах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w:t>
      </w:r>
    </w:p>
    <w:p w14:paraId="160FBD45" w14:textId="77777777" w:rsidR="00FB5879" w:rsidRPr="00FB5879" w:rsidRDefault="00FB5879" w:rsidP="00FB5879">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течение 2019 года планируется работа по внесению изменений в нормативные правовые акты Российской Федерации, направленных на стимулирование привлечения инвестиций в реализацию проектов строительства и модернизации объектов, в том числе на базе ВИЭ в изолированных энергосистемах.</w:t>
      </w:r>
    </w:p>
    <w:p w14:paraId="74DCC080" w14:textId="77777777" w:rsidR="00FB5879" w:rsidRDefault="00FB5879" w:rsidP="00FB5879">
      <w:pPr>
        <w:spacing w:after="0" w:line="240" w:lineRule="auto"/>
        <w:ind w:firstLine="709"/>
        <w:jc w:val="both"/>
        <w:rPr>
          <w:rFonts w:ascii="Times New Roman" w:eastAsia="Calibri" w:hAnsi="Times New Roman" w:cs="Times New Roman"/>
          <w:b/>
          <w:sz w:val="28"/>
          <w:szCs w:val="28"/>
        </w:rPr>
      </w:pPr>
    </w:p>
    <w:p w14:paraId="53D1F6CB" w14:textId="77777777" w:rsidR="00FB5879" w:rsidRPr="00FB5879" w:rsidRDefault="00FB5879" w:rsidP="00FB5879">
      <w:pPr>
        <w:spacing w:after="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8F5B32C"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соисполнителя по пунктам раздела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 1697-р, письмами от 7 сентября 2018 г. № ПС-9079/05, от 19 сентября 2018 г. № ПС-9640/05, от 24 </w:t>
      </w:r>
      <w:r>
        <w:rPr>
          <w:rFonts w:ascii="Times New Roman" w:eastAsia="Times New Roman" w:hAnsi="Times New Roman" w:cs="Times New Roman"/>
          <w:sz w:val="28"/>
          <w:szCs w:val="28"/>
          <w:lang w:eastAsia="ru-RU"/>
        </w:rPr>
        <w:t xml:space="preserve">октября 2018 г.                           № ПС-11038/05, </w:t>
      </w:r>
      <w:r w:rsidRPr="00FB5879">
        <w:rPr>
          <w:rFonts w:ascii="Times New Roman" w:eastAsia="Times New Roman" w:hAnsi="Times New Roman" w:cs="Times New Roman"/>
          <w:sz w:val="28"/>
          <w:szCs w:val="28"/>
          <w:lang w:eastAsia="ru-RU"/>
        </w:rPr>
        <w:t>17 декабря 2018 г. № ПС-13296/05 направило в ФАС России предложения по реализации следующих мероприятий:</w:t>
      </w:r>
    </w:p>
    <w:p w14:paraId="44E76844"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7C97C4E7"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проекта постановления Правительства Российской Федерации «О внесении изменений в Положение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изменения минимального объема регистрации внебиржевого договора мелкооптовой торговли нефтепродуктами (моторными топливами);</w:t>
      </w:r>
    </w:p>
    <w:p w14:paraId="6569C7B4"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w:t>
      </w:r>
    </w:p>
    <w:p w14:paraId="261F32E9"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торгов поставочными фьючерсными контрактами на российскую экспортную нефть;</w:t>
      </w:r>
    </w:p>
    <w:p w14:paraId="15F0EB6A"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исполнения занимающими доминирующее положение нефтегазовыми компаниями требований приказа ФАС России и Минэнерго России от 12 января 2015 г. № 3/15/3;</w:t>
      </w:r>
    </w:p>
    <w:p w14:paraId="56840205"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14E62B8"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Также Минэнерго России принимало участие в следующих мероприятиях по развитию конкуренции:</w:t>
      </w:r>
    </w:p>
    <w:p w14:paraId="572DEBB5"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координация и разработка пакета нормативных правовых актов, касающихся введения новой системы налогообложения в нефтяной отрасли на основе финансового результата (Федеральные законы от 19 июля 2018 г. № 199-ФЗ «О внесении изменений в части первую и вторую Налогового кодекса Российской Федерации» и № 201-ФЗ «О внесении изменений в статьи 3.1 и 35 Закона Российской Федерации «О таможенном тарифе»);</w:t>
      </w:r>
    </w:p>
    <w:p w14:paraId="17B867CE"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механизма предоставления льготы по вывозной таможенной пошлине на нефть для месторождений в новых регионах;</w:t>
      </w:r>
    </w:p>
    <w:p w14:paraId="187316A4"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и реализация пакета нормативных правовых актов по вопросу завершения большого налогового маневра в нефтегазовой отрасли (Федеральные законы от 3 августа 2018 г. № 301-ФЗ «О внесении изменений в часть вторую Налогового кодекса Российской Федерации» и № 305-ФЗ «О внесении изменений в статью 3.1 Закона Российской Федерации «О таможенном тарифе»);</w:t>
      </w:r>
    </w:p>
    <w:p w14:paraId="12384C0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изменений, направленных на включение в перечень биржевых сделок, которые не учитываются при расчете минимальной величины продаваемых на бирже нефтепродуктов, сделок, заключенных между занимающим доминирующее положение хозяйствующим субъектом с лицами, входящими с таким хозяйствующим субъектом в одну группу лиц (приказ ФАС России и Минэнерго России от 16 января 2018 г. № 48/18/11);</w:t>
      </w:r>
    </w:p>
    <w:p w14:paraId="14C94FBC"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рекомендаций ФАС России и Минэнерго России по реализации на бирже хозяйствующими субъектами, не занимающими доминирующего положения на соответствующих товарных рынках, части производимых объемов нефтепродуктов, а также отдельных категорий товаров, выработанных из нефти и газа.</w:t>
      </w:r>
    </w:p>
    <w:p w14:paraId="0A0492B4"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p>
    <w:p w14:paraId="6C7CA7BA" w14:textId="77777777" w:rsidR="00FB5879" w:rsidRPr="00FB5879" w:rsidRDefault="00FB5879" w:rsidP="00FB5879">
      <w:pPr>
        <w:tabs>
          <w:tab w:val="num" w:pos="1021"/>
        </w:tabs>
        <w:spacing w:after="24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Новая налоговая система в нефтяной отрасли</w:t>
      </w:r>
    </w:p>
    <w:p w14:paraId="053B8E73"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19 июля 2018 г. приняты федеральные законы № 199-ФЗ «О внесении изменений в части первую и вторую Налогового кодекса Российской Федерации» и № 201-ФЗ «О внесении изменений в статьи 3.1</w:t>
      </w:r>
      <w:r w:rsidRPr="00FB5879">
        <w:rPr>
          <w:rFonts w:ascii="Times New Roman" w:eastAsia="Times New Roman" w:hAnsi="Times New Roman" w:cs="Times New Roman"/>
          <w:sz w:val="28"/>
          <w:szCs w:val="28"/>
          <w:vertAlign w:val="superscript"/>
          <w:lang w:eastAsia="ru-RU"/>
        </w:rPr>
        <w:t xml:space="preserve"> </w:t>
      </w:r>
      <w:r w:rsidRPr="00FB5879">
        <w:rPr>
          <w:rFonts w:ascii="Times New Roman" w:eastAsia="Times New Roman" w:hAnsi="Times New Roman" w:cs="Times New Roman"/>
          <w:sz w:val="28"/>
          <w:szCs w:val="28"/>
          <w:lang w:eastAsia="ru-RU"/>
        </w:rPr>
        <w:t>и 35 Закона Российской Федерации «О таможенном тарифе», предусматривающие совершенствование налоговой системы нефтяного сектора посредством введения налога на дополнительный доход от добычи углеводородного сырья (НДД).</w:t>
      </w:r>
    </w:p>
    <w:p w14:paraId="58D47943"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НДД будет распространяться на четыре группы месторождений:</w:t>
      </w:r>
    </w:p>
    <w:p w14:paraId="6A3CF4FA" w14:textId="77777777" w:rsidR="00FB5879" w:rsidRPr="00FB5879" w:rsidRDefault="00FB5879" w:rsidP="00383FA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1) новые месторождения в Восточной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w:t>
      </w:r>
    </w:p>
    <w:p w14:paraId="3F8EFB67" w14:textId="77777777" w:rsidR="00FB5879" w:rsidRPr="00FB5879" w:rsidRDefault="00FB5879" w:rsidP="00F6030C">
      <w:pPr>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месторождения, пользующиеся льготой по экспортной пошлине;</w:t>
      </w:r>
    </w:p>
    <w:p w14:paraId="6B4F7D6D" w14:textId="77777777" w:rsidR="00FB5879" w:rsidRPr="00FB5879" w:rsidRDefault="00FB5879" w:rsidP="00F6030C">
      <w:pPr>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действующие месторождения в Западной Сибири с выработанностью от 1</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до 8</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и суммарным объемом добычи не более 15 млн тонн в год по фактическим заявкам компаний;</w:t>
      </w:r>
    </w:p>
    <w:p w14:paraId="638BA4B9" w14:textId="77777777" w:rsidR="00FB5879" w:rsidRPr="00FB5879" w:rsidRDefault="00FB5879" w:rsidP="00F6030C">
      <w:pPr>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новые месторождения в Западной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 xml:space="preserve"> с совокупными запасами не более 150 млн тонн в год.</w:t>
      </w:r>
    </w:p>
    <w:p w14:paraId="7F3B3D39"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Налоговый режим, основанный на НДД, позволяет перераспределить фискальную нагрузку на недропользователей и перенести основную ее часть на более поздние этапы разработки месторождений, т.е. после начала их промышленной разработки. Применение НДД по проектам позволит увеличивать расходы компаний, вовлекая «краевые» запасы за счет: увеличения объемов бурения, роста числа и сложности операций по работе с фондом скважин (в т.ч. обработка призабойной зоны пласта, зарезка боковых стволов, применение гидроразрыва пласта и др.).</w:t>
      </w:r>
    </w:p>
    <w:p w14:paraId="1EA8A2C1"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всех месторождений предусмотрен добровольный порядок перехода на НДД.</w:t>
      </w:r>
    </w:p>
    <w:p w14:paraId="46788115"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 налоговой базой НДД будет пониматься расчетный денежный поток от операционной и инвестиционной деятельности по разведке и добыче углеводородного сырья на участке недр. Дополнительно НДД будет вычитаться из базы налога на прибыль, в остальном сохранится действующий порядок исчисления налога на прибыль.</w:t>
      </w:r>
    </w:p>
    <w:p w14:paraId="17FCDA99"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обеспечения бюджетной стабильности при переходе на НДД сохранится обязанность компаний уплачивать НДПИ, но в меньшем размере, относительно текущей налоговой системы.</w:t>
      </w:r>
    </w:p>
    <w:p w14:paraId="5A5ADC7F"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Механизм предоставления льгот по вывозной таможенной пошлине на нефть для месторождений в новых регионах</w:t>
      </w:r>
    </w:p>
    <w:p w14:paraId="6AC9E7D3"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2018 году продолжилась реализация механизма предоставления льготы по вывозной таможенной пошлине на нефть для месторождений в новых регионах, введенного постановлением Правительства Российской Федерации от 26 сентября 2013 г. № 846 «О порядке подготовки предложений о применении особых формул расчета ставок вывозных таможенных пошлин на нефть сырую, указанных в подпунктах 2 или 3 пункта 5 статьи 3.1 Закона Российской Федерации «О таможенном тарифе», и проведения мониторинга обоснованности их применения». </w:t>
      </w:r>
    </w:p>
    <w:p w14:paraId="5ECF74E0"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соответствии с решениями Правительства Российской Федерации особые формулы расчета ставок вывозных таможенных пошлин применяются в отношении нефти сырой, добываемой на 15-ти месторождениях. Годовой объем добычи нефти на них в 2018 году составил 21,9 млн тонн нефти.</w:t>
      </w:r>
    </w:p>
    <w:p w14:paraId="57C38C84"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Совокупные планируемые инвестиции в разработку указанных месторождений оцениваются в размере порядка 3,5 трлн рублей в перспективе до 2040-2047 годов, что позволит обеспечить разработку порядка 866 млн тонн нефти.</w:t>
      </w:r>
    </w:p>
    <w:p w14:paraId="03F28750"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указанной меры стимулирования является важнейшим элементом государственной политики по развитию новых нефтегазовых провинций Восточной Сибири и Северного Каспия, а также диверсификации экспортных поставок российской нефти и расширению присутствия России на энергетическом рынке стран Азиатско-Тихоокеанского региона.</w:t>
      </w:r>
    </w:p>
    <w:p w14:paraId="0A3DB5FF" w14:textId="77777777" w:rsid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Действующий механизм является эффективным и обеспечивает постоянный рост добычи нефти в указанном регионе. В 2018 году объем добычи нефти в Восточной Сибири и на Дальнем Востоке увеличился на 7,</w:t>
      </w:r>
      <w:r w:rsidRPr="00FB5879">
        <w:rPr>
          <w:rFonts w:ascii="Times New Roman" w:eastAsia="Times New Roman" w:hAnsi="Times New Roman" w:cs="Times New Roman"/>
          <w:spacing w:val="30"/>
          <w:sz w:val="28"/>
          <w:szCs w:val="28"/>
          <w:lang w:eastAsia="ru-RU"/>
        </w:rPr>
        <w:t>3%</w:t>
      </w:r>
      <w:r w:rsidRPr="00FB5879">
        <w:rPr>
          <w:rFonts w:ascii="Times New Roman" w:eastAsia="Times New Roman" w:hAnsi="Times New Roman" w:cs="Times New Roman"/>
          <w:sz w:val="28"/>
          <w:szCs w:val="28"/>
          <w:lang w:eastAsia="ru-RU"/>
        </w:rPr>
        <w:t xml:space="preserve"> по сравнению с 2017 годом и составил 75 млн тонн.</w:t>
      </w:r>
    </w:p>
    <w:p w14:paraId="7C7BB85F" w14:textId="77777777" w:rsidR="00383FA1" w:rsidRPr="00FB5879" w:rsidRDefault="00383FA1"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315D1251"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Завершение «большого налогового маневра» в нефтяной отрасли</w:t>
      </w:r>
    </w:p>
    <w:p w14:paraId="5A94865D"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3 августа 2018 г. приняты федеральные законы № 305-ФЗ «О внесении изменений в статью 3.1 Закона Российской Федерации «О таможенном тарифе» и № 301-ФЗ «О внесении изменений в часть вторую Налогового кодекса Российской Федерации», направленные на завершение «налогового маневра» в нефтяной отрасли. Документами предусмотрено поэтапное снижение ставок вывозных таможенных пошлин на сырую нефть до их полного обнуления в течение шести лет начиная с 1 января 2019 г. При этом для сохранения стабильного уровня налоговой нагрузки на сектор нефтедобычи снижение пошлин на нефть компенсируется равнозначным увеличением базовой ставки по налогу на добычу полезных ископаемых (НДПИ) с учетом баланса производства и распределения нефти, а также текущей системы льгот для отдельных категорий запасов.</w:t>
      </w:r>
    </w:p>
    <w:p w14:paraId="0EF38EEE"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Экономическая эффективность нефтепереработки сегодня поддерживается за счет «таможенной субсидии», складывающейся из-за разницы в пошлинах на нефть и нефтепродукты, которая снижает стоимость сырья для НПЗ за счет занижения «экспортной альтернативы». Отказ от пошлин и соответственно «таможенной субсидии» приведет к убыточности примерно половины НПЗ в России, либо росту цен на региональных рынках нефтепродуктов. Поэтому в рамках завершения «налогового маневра» предусмотрена компенсация отмены пошлин введением так называемого «отрицательного акциза на нефть», который подобран таким образом, чтобы полностью компенсировать для НПЗ отмену «таможенной субсидии».</w:t>
      </w:r>
    </w:p>
    <w:p w14:paraId="30BEFE94"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декабря 2018 г. № 1725 «О соглашениях о модернизации нефтеперерабатывающих мощностей» определён перечень установок вторичной переработки нефти на НПЗ в России, строительство которых позволяет предприятиям претендовать на получение «отрицательного акциза». Общий планируемый объем инвестиций в рамках программ модернизации НПЗ до 2026 года составит порядка 300 млрд рублей.</w:t>
      </w:r>
    </w:p>
    <w:p w14:paraId="2A393D7F"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Дополнительно в целях обеспечения поддержки территориально удаленных НПЗ, а также для формирования денежного потока для инвестиций в модернизацию указанные федеральные законы предполагают введение коэффициента К</w:t>
      </w:r>
      <w:r w:rsidRPr="00FB5879">
        <w:rPr>
          <w:rFonts w:ascii="Times New Roman" w:eastAsia="Times New Roman" w:hAnsi="Times New Roman" w:cs="Times New Roman"/>
          <w:sz w:val="28"/>
          <w:szCs w:val="28"/>
          <w:vertAlign w:val="subscript"/>
          <w:lang w:eastAsia="ru-RU"/>
        </w:rPr>
        <w:t>рег</w:t>
      </w:r>
      <w:r w:rsidRPr="00FB5879">
        <w:rPr>
          <w:rFonts w:ascii="Times New Roman" w:eastAsia="Times New Roman" w:hAnsi="Times New Roman" w:cs="Times New Roman"/>
          <w:sz w:val="28"/>
          <w:szCs w:val="28"/>
          <w:lang w:eastAsia="ru-RU"/>
        </w:rPr>
        <w:t xml:space="preserve"> (коэффициент, характеризующий региональные особенности рынков продуктов переработки нефтяного сырья), направленного на компенсацию логистического отставания удаленных НПЗ за счет увеличения размера «отрицательного акциза на нефть» для таких заводов. Для предприятий, расположенных на Дальнем Востоке, предусмотрен альтернативный механизм поддержки в виде субсидии для производства темного судового топлива, что также позволит увеличить для таких НПЗ размер «отрицательного акциза на нефть».</w:t>
      </w:r>
    </w:p>
    <w:p w14:paraId="70F900C8" w14:textId="77777777" w:rsidR="00FB5879" w:rsidRDefault="00FB5879"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программы завершения «налогового маневра» как комплексной реформы позволит решить ряд отраслевых и бюджетных задач, в том числе устранить избыточное таможенное субсидирование потребителей ряда стран, получающих российские нефтепродукты без уплаты пошлин, а также создать условия для формирования дополнительных доходов бюджета при постепенном снижении таможенной субсидии для внутренних потребителей. Кроме того, реализация программы позволит создать условия для возврата в сектор нефтедобычи почти 250 млрд рублей в год, что обеспечит новый инвестиционный импульс в данном секторе и смежных отраслях.</w:t>
      </w:r>
    </w:p>
    <w:p w14:paraId="1B9FFC15" w14:textId="77777777" w:rsidR="00383FA1" w:rsidRPr="00FB5879" w:rsidRDefault="00383FA1" w:rsidP="00383FA1">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63967C2E" w14:textId="77777777" w:rsidR="00FB5879" w:rsidRPr="00FB5879" w:rsidRDefault="00FB5879" w:rsidP="00383FA1">
      <w:pPr>
        <w:spacing w:after="0" w:line="240" w:lineRule="auto"/>
        <w:ind w:firstLine="709"/>
        <w:jc w:val="both"/>
        <w:rPr>
          <w:rFonts w:ascii="Times New Roman" w:eastAsia="Calibri" w:hAnsi="Times New Roman" w:cs="Times New Roman"/>
          <w:b/>
          <w:i/>
          <w:sz w:val="28"/>
          <w:szCs w:val="28"/>
        </w:rPr>
      </w:pPr>
      <w:r w:rsidRPr="00FB5879">
        <w:rPr>
          <w:rFonts w:ascii="Times New Roman" w:eastAsia="Calibri" w:hAnsi="Times New Roman" w:cs="Times New Roman"/>
          <w:b/>
          <w:i/>
          <w:sz w:val="28"/>
          <w:szCs w:val="28"/>
        </w:rPr>
        <w:t>Развитие биржевой торговли нефтью и нефтепродуктами</w:t>
      </w:r>
    </w:p>
    <w:p w14:paraId="1F26E6A7" w14:textId="77777777" w:rsidR="00FB5879" w:rsidRPr="00FB5879" w:rsidRDefault="00FB5879" w:rsidP="00383FA1">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В 2018 году на Санкт-Петербургской международной товарно-сырьевой бирже (АО «СПбМТСБ») объем биржевых торгов нефтепродуктами, включая продукты нефтехимии, на внутреннем рынке России составил 20 млн тонн (+6,7% к 2017 году), в том числе объем биржевой реализации автобензина за указанный период составил 8,4 млн тонн (+5,2% к 2017 году), авиакеросина – 1,8 млн тонн (-10,6% к 2017 году), дизельного топлива – 6,7 млн тонн (+11,4% к 2017 году), мазута – 1,8 млн тонн (+4,1% к 2017 году).</w:t>
      </w:r>
    </w:p>
    <w:p w14:paraId="326B4466" w14:textId="77777777" w:rsidR="00FB5879" w:rsidRPr="00FB5879" w:rsidRDefault="00FB5879" w:rsidP="00FB5879">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Уменьшение объемов биржевой реализации авиакеросина по сравнению с 2017 годом обусловлено сложившимся уровнем спроса на указанный товар.</w:t>
      </w:r>
    </w:p>
    <w:p w14:paraId="582BCB94" w14:textId="77777777" w:rsidR="00FB5879" w:rsidRPr="00FB5879" w:rsidRDefault="00FB5879" w:rsidP="00FB5879">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Несмотря на небольшое снижение объема биржевой реализации авиакеросина, требования совместного приказа ФАС России и Минэнерго России об утверждении минимальной величины продаваемого на бирже автобензина в размере 10% от объема производства, дизтоплива – 5%, авиакеросина – 10% и мазута – 2% в целом исполняются занимающими доминирующее положение нефтегазовыми компаниями.</w:t>
      </w:r>
    </w:p>
    <w:p w14:paraId="232DD465" w14:textId="77777777" w:rsidR="00FB5879" w:rsidRPr="00FB5879" w:rsidRDefault="00FB5879" w:rsidP="00FB5879">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По итогам 2018 года объем биржевых торгов нефтью на внутреннем рынке составил 0,2 млн тонн. По итогам 2017 года объем биржевых торгов нефтью на внутреннем рынке составил 0,406 млн тонн.</w:t>
      </w:r>
    </w:p>
    <w:p w14:paraId="3039E230" w14:textId="77777777" w:rsidR="00FB5879" w:rsidRPr="00FB5879" w:rsidRDefault="00FB5879" w:rsidP="00FB5879">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Запуск торгов поставочными фьючерсными контрактами на российскую экспортную нефть «Юралс» на условиях поставки FOB порт Приморск состоялся на Санкт-Петербургской Международной Товарно-сырьевой Бирже (АО «СПбМТСБ») в 2016 году.</w:t>
      </w:r>
    </w:p>
    <w:p w14:paraId="37A70775" w14:textId="77777777" w:rsidR="00FB5879" w:rsidRPr="00FB5879" w:rsidRDefault="00FB5879" w:rsidP="00FB5879">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К настоящему времени объем торгов составил порядка 6 млн баррелей нефти.</w:t>
      </w:r>
    </w:p>
    <w:p w14:paraId="1DD5D9F0" w14:textId="77777777" w:rsidR="00FB5879" w:rsidRPr="00FB5879" w:rsidRDefault="00FB5879" w:rsidP="00FB5879">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Развитие торгов призвано обеспечить формирование нового механизма определения справедливой цены на основе прямой котировки российской нефти. Реализация этой задачи позволит создать прозрачный биржевой механизм определения цены на российскую нефть, ценовой эталон (бенчмарк) на российскую экспортную нефть, и биржевой рынок российской нефти без привязки к ценовым маркерам, опирающимся на публикации зарубежных ценовых агентств и постоянно подвергающимся манипуляциям и искажениям.</w:t>
      </w:r>
    </w:p>
    <w:p w14:paraId="30169C23" w14:textId="77777777" w:rsidR="00FB5879" w:rsidRPr="00FB5879" w:rsidRDefault="00FB5879" w:rsidP="00FB5879">
      <w:pPr>
        <w:spacing w:after="0" w:line="240" w:lineRule="auto"/>
        <w:ind w:firstLine="709"/>
        <w:jc w:val="both"/>
        <w:rPr>
          <w:rFonts w:ascii="Times New Roman" w:eastAsia="Times New Roman" w:hAnsi="Times New Roman" w:cs="Times New Roman"/>
          <w:bCs/>
          <w:iCs/>
          <w:sz w:val="28"/>
          <w:szCs w:val="28"/>
          <w:lang w:eastAsia="ru-RU"/>
        </w:rPr>
      </w:pPr>
    </w:p>
    <w:p w14:paraId="6E70BD49" w14:textId="77777777" w:rsidR="00FB5879" w:rsidRPr="00FB5879" w:rsidRDefault="00FB5879" w:rsidP="00383FA1">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61A79CD" w14:textId="77777777" w:rsidR="00FB5879" w:rsidRPr="00FB5879" w:rsidRDefault="00FB5879" w:rsidP="00383FA1">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ответственного исполнителя по пункту 10 раздела </w:t>
      </w:r>
      <w:r w:rsidRPr="00FB5879">
        <w:rPr>
          <w:rFonts w:ascii="Times New Roman" w:eastAsia="Times New Roman" w:hAnsi="Times New Roman" w:cs="Times New Roman"/>
          <w:sz w:val="28"/>
          <w:szCs w:val="28"/>
          <w:lang w:val="en-US" w:eastAsia="ru-RU"/>
        </w:rPr>
        <w:t>IX</w:t>
      </w:r>
      <w:r w:rsidRPr="00FB5879">
        <w:rPr>
          <w:rFonts w:ascii="Times New Roman" w:eastAsia="Times New Roman" w:hAnsi="Times New Roman" w:cs="Times New Roman"/>
          <w:sz w:val="28"/>
          <w:szCs w:val="28"/>
          <w:lang w:eastAsia="ru-RU"/>
        </w:rPr>
        <w:t xml:space="preserve"> плана мероприятий по развитию конкуренции в сфере газоснабжения, утвержденного распоряжением Правительства Российской Федерации от 16 августа 2018 г. № 1697-р, письмом от 1 октября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АН-10138/05 направило в Правительство Российской Федерации доклад по вопросу подготовки предложений по развитию конкуренции на внутреннем рынке газа, включая либерализацию государственного регулирования цен на газ.</w:t>
      </w:r>
    </w:p>
    <w:p w14:paraId="70BF970B" w14:textId="77777777" w:rsidR="00FB5879" w:rsidRDefault="00FB5879" w:rsidP="00383FA1">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рамках указанного доклада предложено ФАС России, Минэнерго России обеспечить мониторинг системы ценовых индикаторов (цена экспортной альтернативы, биржевые и внебиржевые цены) на внутреннем рынке газа и по результатам указанного мониторинга разработать алгоритм поэтапной отмены перекрестного субсидирования и либерализации государственного регулирования цен на газ с учетом гармонизации подходов к регулированию оптовых цен на газ и тарифов на его транспортировку по магистральным газопроводам.</w:t>
      </w:r>
    </w:p>
    <w:p w14:paraId="01127EA8" w14:textId="77777777" w:rsidR="00383FA1" w:rsidRPr="00FB5879" w:rsidRDefault="00383FA1" w:rsidP="00383FA1">
      <w:pPr>
        <w:spacing w:after="0" w:line="240" w:lineRule="auto"/>
        <w:ind w:firstLine="709"/>
        <w:jc w:val="both"/>
        <w:rPr>
          <w:rFonts w:ascii="Times New Roman" w:eastAsia="Times New Roman" w:hAnsi="Times New Roman" w:cs="Times New Roman"/>
          <w:sz w:val="28"/>
          <w:szCs w:val="28"/>
          <w:lang w:eastAsia="ru-RU"/>
        </w:rPr>
      </w:pPr>
    </w:p>
    <w:p w14:paraId="3D9197AC" w14:textId="77777777" w:rsidR="00FB5879" w:rsidRPr="00FB5879" w:rsidRDefault="00FB5879" w:rsidP="00383FA1">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Либерализация экспорта сжиженного природного газа</w:t>
      </w:r>
    </w:p>
    <w:p w14:paraId="15747482" w14:textId="77777777" w:rsidR="00FB5879" w:rsidRPr="00FB5879" w:rsidRDefault="00FB5879" w:rsidP="00383FA1">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Одной из важнейших стратегических задач развития газовой отрасли является развитие производства и экспорта сжиженного природного газа. В 2014 году, в рамках принятого Федерального закона от 30 ноября 2013 г. </w:t>
      </w:r>
      <w:r w:rsidR="00383FA1">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318-ФЗ о либерализации экспорта СПГ приняты следующие нормативные правовые акты:</w:t>
      </w:r>
    </w:p>
    <w:p w14:paraId="2FA6680F" w14:textId="77777777" w:rsidR="00FB5879" w:rsidRPr="00FB5879" w:rsidRDefault="00FB5879" w:rsidP="00FB5879">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9 августа 2014 года № 785 «Об утверждении Правил предоставления информации об экспорте газа»;</w:t>
      </w:r>
    </w:p>
    <w:p w14:paraId="1DF2D035" w14:textId="77777777" w:rsidR="00FB5879" w:rsidRPr="00FB5879" w:rsidRDefault="00FB5879" w:rsidP="00FB5879">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5 августа 2014 года № 770 о внесении изменений в постановление Правительства Российской Федерации от 9 июня 2005 года № 364 «Об утверждении положений о лицензировании в сфере внешней торговли товарами и о формировании и ведении федерального банка выданных лицензий»;</w:t>
      </w:r>
    </w:p>
    <w:p w14:paraId="072A430B" w14:textId="77777777" w:rsidR="00FB5879" w:rsidRPr="00FB5879" w:rsidRDefault="00FB5879" w:rsidP="00FB5879">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14 июля 2014 года № 1277</w:t>
      </w:r>
      <w:r w:rsidRPr="00FB5879">
        <w:rPr>
          <w:rFonts w:ascii="Times New Roman" w:eastAsia="Times New Roman" w:hAnsi="Times New Roman" w:cs="Times New Roman"/>
          <w:sz w:val="28"/>
          <w:szCs w:val="28"/>
          <w:lang w:eastAsia="ru-RU"/>
        </w:rPr>
        <w:noBreakHyphen/>
        <w:t>р, которым утвержден перечень организаций, которым предоставлено исключительное право на экспорт газа природного в сжиженном состоянии;</w:t>
      </w:r>
    </w:p>
    <w:p w14:paraId="7B5AC2E7" w14:textId="77777777" w:rsidR="00FB5879" w:rsidRPr="00FB5879" w:rsidRDefault="00FB5879" w:rsidP="00FB5879">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9 октября 2014 года № 2001-р о дополнении перечня организаций, которым предоставлено исключительное право на экспорт газа природного в сжиженном состоянии.</w:t>
      </w:r>
    </w:p>
    <w:p w14:paraId="63F403D0" w14:textId="77777777" w:rsidR="00FB5879" w:rsidRPr="00FB5879" w:rsidRDefault="00FB5879" w:rsidP="00FB5879">
      <w:pPr>
        <w:widowControl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выданы 5 исключительных лицензий на экспорт газа в сжиженном состоянии: ОАО «Ямал СПГ»; ООО «Арктик СПГ 1», ООО «Арктик СПГ 2», ООО «Арктик СПГ 3», ООО «Газпром экспорт».</w:t>
      </w:r>
    </w:p>
    <w:p w14:paraId="234331FC" w14:textId="77777777" w:rsidR="00FB5879" w:rsidRPr="00FB5879" w:rsidRDefault="00FB5879" w:rsidP="00FB5879">
      <w:pPr>
        <w:tabs>
          <w:tab w:val="num" w:pos="1021"/>
        </w:tabs>
        <w:spacing w:after="24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sz w:val="28"/>
          <w:szCs w:val="28"/>
          <w:lang w:eastAsia="ru-RU"/>
        </w:rPr>
        <w:t>В 2015 – 2018 годах Минэнерго России продолжена работа по мониторингу представления экспортерами газа информации об экспорте газа в порядке, установленном Правительством Российской Федерации.</w:t>
      </w:r>
    </w:p>
    <w:p w14:paraId="63E147D8" w14:textId="77777777" w:rsidR="00FB5879" w:rsidRPr="00FB5879" w:rsidRDefault="00FB5879" w:rsidP="00383FA1">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Развитие биржевых торгов газом</w:t>
      </w:r>
    </w:p>
    <w:p w14:paraId="548E0541" w14:textId="77777777" w:rsidR="00FB5879" w:rsidRPr="00FB5879" w:rsidRDefault="00FB5879" w:rsidP="00383FA1">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 итогам 2018 года на Санкт-Петербургской международной товарно-сырьевой бирже (АО «СПбМТСБ») объем реализации природного газа составил 15,1 млрд куб. м газа (-25,6% к 2017 году) на общую сумму порядка 48,4 млрд рублей. Снижение объемов реализации связано с уменьшением свободных незаконтрактованных объемов газа у ПАО «Газпром» и независимых производителей газа.</w:t>
      </w:r>
    </w:p>
    <w:p w14:paraId="676C7C02" w14:textId="77777777" w:rsidR="00FB5879" w:rsidRPr="00FB5879" w:rsidRDefault="00FB5879" w:rsidP="00383FA1">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Организованные торги природным газом осуществляются на двух балансовых пунктах, расположенных в Западной Сибири – КС «Надым» и «622,5 км» (Локосово).</w:t>
      </w:r>
    </w:p>
    <w:p w14:paraId="47DE3A0F"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2018 году в торгах приняли участие 81 покупатель и 316 потребителей На долю десяти крупнейших потребителей, основные сферы деятельности которых – брокерская деятельность, электроэнергетика, химический комплекс, приходится около 68,5% приобретенного газа на бирже, при этом увеличивается число средних и малых потребителей газа.</w:t>
      </w:r>
    </w:p>
    <w:p w14:paraId="3366296B" w14:textId="77777777" w:rsidR="00FB5879" w:rsidRPr="00FB5879" w:rsidRDefault="00FB5879" w:rsidP="00FB5879">
      <w:pPr>
        <w:spacing w:after="24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Основным продавцом природного газа является ПАО «Газпром», на долю которого в 2018 году пришлось 89% от общего объема реализации, еще 11% были реализованы независимыми производителями газа.</w:t>
      </w:r>
    </w:p>
    <w:p w14:paraId="714FAAC9"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1857D4B6"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Минэнерго России совместно с угольными компаниями и заинтересованными федеральными органами исполнительной власти и организациями участвовало в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в части повышения эффективности и безопасности угольного производства, комплексного использования сырьевой базы и создания стимулирующей среды для разработки и внедрения технологий глубокой переработки угля и продуктов углехимии, а также разработке предложений по актуализации мероприятий в части развития железнодорожной инфраструктуры, а также строительства морских портов, совершенствованию тарифного регулирования, строительству и модернизации объектов энергетики, работающих на угольном топливе, в том числе объектов жилищно-коммунального хозяйства (котельных), импортозамещению и др.</w:t>
      </w:r>
    </w:p>
    <w:p w14:paraId="7C880EF9"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в рамках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w:t>
      </w:r>
      <w:r>
        <w:rPr>
          <w:rFonts w:ascii="Times New Roman" w:eastAsia="Times New Roman" w:hAnsi="Times New Roman" w:cs="Times New Roman"/>
          <w:bCs/>
          <w:sz w:val="28"/>
          <w:szCs w:val="28"/>
          <w:lang w:eastAsia="ru-RU"/>
        </w:rPr>
        <w:t xml:space="preserve">2018 – 2020 годы, утвержденным </w:t>
      </w:r>
      <w:r w:rsidRPr="00FB5879">
        <w:rPr>
          <w:rFonts w:ascii="Times New Roman" w:eastAsia="Times New Roman" w:hAnsi="Times New Roman" w:cs="Times New Roman"/>
          <w:bCs/>
          <w:sz w:val="28"/>
          <w:szCs w:val="28"/>
          <w:lang w:eastAsia="ru-RU"/>
        </w:rPr>
        <w:t>распоряжением Правительства Российской Федерации от 16.08.2018 № 1697-р (далее – План, раздел ХI «Угольная промышленность»), реализовывались мероприятия обеспечивающие:</w:t>
      </w:r>
    </w:p>
    <w:p w14:paraId="0AB363E4"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снижение количества нарушений угольными компаниями соблюдения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 2013 № 623 (далее – Положение), по информации, предоставляемой ФАС России;</w:t>
      </w:r>
    </w:p>
    <w:p w14:paraId="1F0BD801"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уменьшение количества нарушений Федерального закона «О защите конкуренции», в том числе путем повышения эффективности торговых политик;</w:t>
      </w:r>
    </w:p>
    <w:p w14:paraId="246A5E5B"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развитие механизмов, необходимых для реализации угля и (или) угольной продукции на товарной бирже.</w:t>
      </w:r>
    </w:p>
    <w:p w14:paraId="1FB2812F"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4 Плана Раздела ХI «Угольная промышленность» и с целью снижения рисков нарушения Федерального закона от 26.07.2006 № 135–ФЗ «О защите конкуренции» (с изм. и доп., вступ. в силу с 19.08.2018), повышения качества и достоверности сведений, представляемых на регистрацию в соответствии с Положением, а также  обеспечения реп</w:t>
      </w:r>
      <w:r>
        <w:rPr>
          <w:rFonts w:ascii="Times New Roman" w:eastAsia="Times New Roman" w:hAnsi="Times New Roman" w:cs="Times New Roman"/>
          <w:bCs/>
          <w:sz w:val="28"/>
          <w:szCs w:val="28"/>
          <w:lang w:eastAsia="ru-RU"/>
        </w:rPr>
        <w:t xml:space="preserve">резентативности, формируемых </w:t>
      </w:r>
      <w:r w:rsidRPr="00FB5879">
        <w:rPr>
          <w:rFonts w:ascii="Times New Roman" w:eastAsia="Times New Roman" w:hAnsi="Times New Roman" w:cs="Times New Roman"/>
          <w:bCs/>
          <w:sz w:val="28"/>
          <w:szCs w:val="28"/>
          <w:lang w:eastAsia="ru-RU"/>
        </w:rPr>
        <w:t>АО «СПбМТСБ» внебиржевых индексов цен на уголь, Минэнерго России рекомендовало угольным компаниям обеспечить выполнение требований законодательства Российской Федерации, соблюдать соответствие информации  правилам и форматам, установленным АО «СПбМТСБ», а также проходить обучение и использовать консульта</w:t>
      </w:r>
      <w:r w:rsidR="00383FA1">
        <w:rPr>
          <w:rFonts w:ascii="Times New Roman" w:eastAsia="Times New Roman" w:hAnsi="Times New Roman" w:cs="Times New Roman"/>
          <w:bCs/>
          <w:sz w:val="28"/>
          <w:szCs w:val="28"/>
          <w:lang w:eastAsia="ru-RU"/>
        </w:rPr>
        <w:t xml:space="preserve">ционную поддержку, оказываемую </w:t>
      </w:r>
      <w:r w:rsidRPr="00FB5879">
        <w:rPr>
          <w:rFonts w:ascii="Times New Roman" w:eastAsia="Times New Roman" w:hAnsi="Times New Roman" w:cs="Times New Roman"/>
          <w:bCs/>
          <w:sz w:val="28"/>
          <w:szCs w:val="28"/>
          <w:lang w:eastAsia="ru-RU"/>
        </w:rPr>
        <w:t>АО «СПбМТСБ».</w:t>
      </w:r>
    </w:p>
    <w:p w14:paraId="1E129D6D"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Также рекомендовано угольным компаниям разработать и согласовать с ФАС России торговые политики с целью снижения количеств</w:t>
      </w:r>
      <w:r>
        <w:rPr>
          <w:rFonts w:ascii="Times New Roman" w:eastAsia="Times New Roman" w:hAnsi="Times New Roman" w:cs="Times New Roman"/>
          <w:bCs/>
          <w:sz w:val="28"/>
          <w:szCs w:val="28"/>
          <w:lang w:eastAsia="ru-RU"/>
        </w:rPr>
        <w:t xml:space="preserve">а нарушений Федерального закона от 08.07.2006 </w:t>
      </w:r>
      <w:r w:rsidRPr="00FB5879">
        <w:rPr>
          <w:rFonts w:ascii="Times New Roman" w:eastAsia="Times New Roman" w:hAnsi="Times New Roman" w:cs="Times New Roman"/>
          <w:bCs/>
          <w:sz w:val="28"/>
          <w:szCs w:val="28"/>
          <w:lang w:eastAsia="ru-RU"/>
        </w:rPr>
        <w:t>№ 135-ФЗ «О защите конкуренции», добросовестного конкурентного поведения, повышения качества информирования потребителей угля о структуре формирования цены на уголь.</w:t>
      </w:r>
    </w:p>
    <w:p w14:paraId="4B2E1EA9"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 целью развития механизмов реализации угля на товарной бирже Минэнерго России совместно с заинтересованными федеральными органами исполнительной власти, Банком России и угольными компаниями, участвовало в разработке мероприятий по использованию внебиржевых индикаторов цен угля, а также в подготовке пилотного проекта продажи части объемов энергетического угля на биржевых торгах в соответствии с Федеральным законом от 21.11.2011 № 325-ФЗ «Об организованных торгах».</w:t>
      </w:r>
    </w:p>
    <w:p w14:paraId="435B1ED9"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отмечает целесообразность организации и проведения торгов углем на регулярной основе с использованием расчетных территориальных индексов с целью формирования начальной (максимальной) стоимости контракта в сфере жилищно-коммунального хозяйства. </w:t>
      </w:r>
    </w:p>
    <w:p w14:paraId="19BB426D"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настоящее время АО «СПбМТСБ» формируется информационная база, необходимая для проведения расчета объективных ценовых индикаторов рынка угля (на месте отгрузки), а также качественных территориальных индексов цен (на месте потребления) с разбивкой по регионам и по маркам угля, в том числе с учетом цены тонны условного топлива (т.у.т). Основой являются сведения, представляемые угольными компаниями на регис</w:t>
      </w:r>
      <w:r>
        <w:rPr>
          <w:rFonts w:ascii="Times New Roman" w:eastAsia="Times New Roman" w:hAnsi="Times New Roman" w:cs="Times New Roman"/>
          <w:bCs/>
          <w:sz w:val="28"/>
          <w:szCs w:val="28"/>
          <w:lang w:eastAsia="ru-RU"/>
        </w:rPr>
        <w:t xml:space="preserve">трацию внебиржевых договоров </w:t>
      </w:r>
      <w:r w:rsidRPr="00FB5879">
        <w:rPr>
          <w:rFonts w:ascii="Times New Roman" w:eastAsia="Times New Roman" w:hAnsi="Times New Roman" w:cs="Times New Roman"/>
          <w:bCs/>
          <w:sz w:val="28"/>
          <w:szCs w:val="28"/>
          <w:lang w:eastAsia="ru-RU"/>
        </w:rPr>
        <w:t>в АО «СПбМТСБ».</w:t>
      </w:r>
    </w:p>
    <w:p w14:paraId="3FF01009"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Использование публикуемых на портале АО «СПбМТСБ» территориальных индексов при осуществлении закупок угля в соответствии с Федеральным законом от 05.04.2013 № 44-ФЗ «О контрактной системе в сфере закупок» для государственных и муниципальных нужд позволит снизить уровень финансовых злоупотреблений в данной сфере.</w:t>
      </w:r>
    </w:p>
    <w:p w14:paraId="77A40B33"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5 раздела ХI «Угольная промышленность» Плана Минэнерго России направило в Минэкономразвития России предложения по внесению изменений в Стандарт развития конкуренции в субъектах Российской Федерации (далее  – Стандарт) с целью повышения эффективности и прозрачности проведения конкурсных процедур по государственным и муниципальным закупкам энергетического угля, в том числе для обеспечения льготных категорий граждан, с использованием внебиржевых индикаторов цен при формировании начальной (максимальной) цены на энергетический уголь.</w:t>
      </w:r>
    </w:p>
    <w:p w14:paraId="6B4E8CE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Предложения рассмотрены рабочей группой по вопросам реализации положений Стандарта (протокол Минэкономразвития России от 05.12.2018                              № 22-Д05). Рекомендовано ФАС России и Минэнерго России дополнительно провести оценку необходимости внесения изменений в действующую редакцию Стандарта, утвержденного распоряжением Правительства Ро</w:t>
      </w:r>
      <w:r>
        <w:rPr>
          <w:rFonts w:ascii="Times New Roman" w:eastAsia="Times New Roman" w:hAnsi="Times New Roman" w:cs="Times New Roman"/>
          <w:bCs/>
          <w:sz w:val="28"/>
          <w:szCs w:val="28"/>
          <w:lang w:eastAsia="ru-RU"/>
        </w:rPr>
        <w:t xml:space="preserve">ссийской Федерации </w:t>
      </w:r>
      <w:r w:rsidRPr="00FB5879">
        <w:rPr>
          <w:rFonts w:ascii="Times New Roman" w:eastAsia="Times New Roman" w:hAnsi="Times New Roman" w:cs="Times New Roman"/>
          <w:bCs/>
          <w:sz w:val="28"/>
          <w:szCs w:val="28"/>
          <w:lang w:eastAsia="ru-RU"/>
        </w:rPr>
        <w:t xml:space="preserve">от 05.09.2015 № 1738-р. Минэкономразвития России в соответствии с перечнем поручений Президента Российской Федерации от 15.05.2018 № Пр-817ГС подготовлен проект распоряжения Правительства Российской Федерации об утверждении новой редакции Стандарта и в настоящее время внесен в Правительство Российской Федерации. </w:t>
      </w:r>
    </w:p>
    <w:p w14:paraId="3F7F5633"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p>
    <w:p w14:paraId="131AC0DD" w14:textId="77777777" w:rsidR="00FB5879" w:rsidRPr="00FB5879" w:rsidRDefault="00FB5879" w:rsidP="00383FA1">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Развитие биржевых механизмов</w:t>
      </w:r>
      <w:r w:rsidRPr="00FB5879">
        <w:rPr>
          <w:rFonts w:ascii="Times New Roman" w:eastAsia="Times New Roman" w:hAnsi="Times New Roman" w:cs="Times New Roman"/>
          <w:bCs/>
          <w:sz w:val="28"/>
          <w:szCs w:val="28"/>
          <w:lang w:eastAsia="ru-RU"/>
        </w:rPr>
        <w:t xml:space="preserve"> </w:t>
      </w:r>
      <w:r w:rsidRPr="00FB5879">
        <w:rPr>
          <w:rFonts w:ascii="Times New Roman" w:eastAsia="Times New Roman" w:hAnsi="Times New Roman" w:cs="Times New Roman"/>
          <w:b/>
          <w:bCs/>
          <w:i/>
          <w:sz w:val="28"/>
          <w:szCs w:val="28"/>
          <w:lang w:eastAsia="ru-RU"/>
        </w:rPr>
        <w:t>для последующей реализации угля/угольной продукции на биржевых и электронных торговых площадках</w:t>
      </w:r>
    </w:p>
    <w:p w14:paraId="0465AC11"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3 раздела 1 протокола заседания Прав</w:t>
      </w:r>
      <w:r w:rsidR="00383FA1">
        <w:rPr>
          <w:rFonts w:ascii="Times New Roman" w:eastAsia="Times New Roman" w:hAnsi="Times New Roman" w:cs="Times New Roman"/>
          <w:bCs/>
          <w:sz w:val="28"/>
          <w:szCs w:val="28"/>
          <w:lang w:eastAsia="ru-RU"/>
        </w:rPr>
        <w:t xml:space="preserve">ительства Российской Федерации </w:t>
      </w:r>
      <w:r w:rsidRPr="00FB5879">
        <w:rPr>
          <w:rFonts w:ascii="Times New Roman" w:eastAsia="Times New Roman" w:hAnsi="Times New Roman" w:cs="Times New Roman"/>
          <w:bCs/>
          <w:sz w:val="28"/>
          <w:szCs w:val="28"/>
          <w:lang w:eastAsia="ru-RU"/>
        </w:rPr>
        <w:t xml:space="preserve">от 05.10.2017 № 28 приказом Министра энергетики Российской Федерации от 29.01.2018 № 49 утвержден план развития </w:t>
      </w:r>
      <w:r w:rsidR="00383FA1">
        <w:rPr>
          <w:rFonts w:ascii="Times New Roman" w:eastAsia="Times New Roman" w:hAnsi="Times New Roman" w:cs="Times New Roman"/>
          <w:bCs/>
          <w:sz w:val="28"/>
          <w:szCs w:val="28"/>
          <w:lang w:eastAsia="ru-RU"/>
        </w:rPr>
        <w:t xml:space="preserve">конкуренции («дорожная карта») </w:t>
      </w:r>
      <w:r w:rsidRPr="00FB5879">
        <w:rPr>
          <w:rFonts w:ascii="Times New Roman" w:eastAsia="Times New Roman" w:hAnsi="Times New Roman" w:cs="Times New Roman"/>
          <w:bCs/>
          <w:sz w:val="28"/>
          <w:szCs w:val="28"/>
          <w:lang w:eastAsia="ru-RU"/>
        </w:rPr>
        <w:t xml:space="preserve">в сфере угольной промышленности на 2018-2019 годы, предусматривающий проработку вопросов развития биржевой торговли углем. </w:t>
      </w:r>
    </w:p>
    <w:p w14:paraId="4B86AA1E"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Минэнерго России в 2018 году продолжило работу по созданию биржевых механизмов для последующей реализации на биржевых и электронных торговых площадках согласно поручениям Комиссии при Президенте Российской Федерации по вопросам стратегии развития топливно-энергетического комплекса и экологической безопасности от 26.08.2013 № А60-26-569 и Правительства Росс</w:t>
      </w:r>
      <w:r w:rsidR="00383FA1">
        <w:rPr>
          <w:rFonts w:ascii="Times New Roman" w:eastAsia="Times New Roman" w:hAnsi="Times New Roman" w:cs="Times New Roman"/>
          <w:bCs/>
          <w:sz w:val="28"/>
          <w:szCs w:val="28"/>
          <w:lang w:eastAsia="ru-RU"/>
        </w:rPr>
        <w:t xml:space="preserve">ийской Федерации от 07.11.2013 </w:t>
      </w:r>
      <w:r w:rsidRPr="00FB5879">
        <w:rPr>
          <w:rFonts w:ascii="Times New Roman" w:eastAsia="Times New Roman" w:hAnsi="Times New Roman" w:cs="Times New Roman"/>
          <w:bCs/>
          <w:sz w:val="28"/>
          <w:szCs w:val="28"/>
          <w:lang w:eastAsia="ru-RU"/>
        </w:rPr>
        <w:t>№ АД-П9-7970, а также в целях реализации Федерального закона от 21.11.2011 № 325-ФЗ «Об организованных торгах».</w:t>
      </w:r>
    </w:p>
    <w:p w14:paraId="0839259B"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По итогам 2018 года 114 угольных компаний предоставили                                         в АО «СПбМТСБ» информацию о заключенных внебиржевых договорах на поставку угля, из них три компании – впервые. При этом АО «СПбМТСБ» продолжило практику индивидуального бесплатного обучения уполномоченных сотрудников угледобывающих компаний с целью повышения качества информации представляемой на регистрацию и оказания консультационной поддержки при выборе варианта автоматизации регистрации внебиржевых сделок по углю. Принятые меры позволили угольным компаниям проводить регистрацию внебиржевых договоров на поставку угля в автоматическом режиме путем выгрузки информации напрямую из внутренних систем электронного документооборота в АО «СПбМТСБ».</w:t>
      </w:r>
    </w:p>
    <w:p w14:paraId="13646395"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Проблемные вопросы, связанные с проведением регистрации внебиржевых договоров на поставку угля и (или) продукции его переработки, по развитию биржевых механизмов торговли углем, возможному запуску организованного рынка энергетического угля и другие ежемесячно рассматриваются на подкомитете по углю Биржевого комитета ФАС России с участием ФАС России, ФНС России, Банка России, АО «СПбМТСБ» и угольных компаний.</w:t>
      </w:r>
    </w:p>
    <w:p w14:paraId="0D4D0E6B" w14:textId="77777777" w:rsidR="00FB5879" w:rsidRPr="00FB5879" w:rsidRDefault="00FB5879" w:rsidP="00FB5879">
      <w:pPr>
        <w:tabs>
          <w:tab w:val="left" w:pos="1418"/>
        </w:tabs>
        <w:spacing w:before="240"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5.2.</w:t>
      </w:r>
      <w:r w:rsidRPr="00FB5879">
        <w:rPr>
          <w:rFonts w:ascii="Times New Roman" w:eastAsia="Calibri" w:hAnsi="Times New Roman" w:cs="Times New Roman"/>
          <w:b/>
          <w:sz w:val="28"/>
          <w:szCs w:val="28"/>
        </w:rPr>
        <w:tab/>
        <w:t>Мероприятия по развитию конкуренции, планируемые на 2019 год</w:t>
      </w:r>
    </w:p>
    <w:p w14:paraId="602ED6B1" w14:textId="77777777" w:rsidR="00FB5879" w:rsidRPr="00FB5879" w:rsidRDefault="00FB5879" w:rsidP="00383FA1">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7FEF2A80" w14:textId="77777777" w:rsidR="00FB5879" w:rsidRPr="00FB5879" w:rsidRDefault="00FB5879" w:rsidP="00383FA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rPr>
        <w:t xml:space="preserve">Будут реализованы мероприятия в рамках </w:t>
      </w:r>
      <w:r w:rsidRPr="00FB5879">
        <w:rPr>
          <w:rFonts w:ascii="Times New Roman" w:eastAsia="Times New Roman" w:hAnsi="Times New Roman" w:cs="Times New Roman"/>
          <w:sz w:val="28"/>
          <w:szCs w:val="28"/>
          <w:lang w:eastAsia="ru-RU"/>
        </w:rPr>
        <w:t xml:space="preserve">распоряжения Правительства РФ от 16.08.2018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в частности по механизмам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 разработка предложений по внесению изменений в нормативные акты, исключающих использование нерыночных механизмов при формировании цены на мощность; подготовка совместно с ФАС России предложений по внесению изменений в законодательство Российской Федерации об электроэнергетике в части возможности принудительной продажи акций компании, не соблюдающей запрет на совмещение видов деятельности в электроэнергетике, в случае выхода антимонопольного органа в суд с соответствующим иском. </w:t>
      </w:r>
    </w:p>
    <w:p w14:paraId="153E676A" w14:textId="77777777" w:rsidR="00FB5879" w:rsidRDefault="00FB5879" w:rsidP="00FB587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Также будет осуществляться работа по формированию нормативной базы для внедрения интеллектуальных систем учета электрической энергии в рамках реализации Федерального закона от 27.12.2018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w:t>
      </w:r>
    </w:p>
    <w:p w14:paraId="16120B2D" w14:textId="77777777" w:rsidR="00383FA1" w:rsidRPr="00FB5879" w:rsidRDefault="00383FA1" w:rsidP="00FB587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D4383A1" w14:textId="77777777" w:rsidR="00FB5879" w:rsidRPr="00FB5879" w:rsidRDefault="00FB5879" w:rsidP="00383FA1">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21D9FDD" w14:textId="77777777" w:rsidR="00FB5879" w:rsidRPr="00FB5879" w:rsidRDefault="00FB5879" w:rsidP="00383FA1">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соответствии с разделом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1697-р, на 2019 год планируются следующие мероприятия:</w:t>
      </w:r>
    </w:p>
    <w:p w14:paraId="358ABC19" w14:textId="77777777" w:rsidR="00FB5879" w:rsidRPr="00FB5879" w:rsidRDefault="00FB5879" w:rsidP="00383FA1">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265EEA9E" w14:textId="77777777" w:rsidR="00FB5879" w:rsidRPr="00FB5879" w:rsidRDefault="00FB5879" w:rsidP="00383FA1">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торгов поставочными фьючерсными контрактами на российскую экспортную нефть;</w:t>
      </w:r>
    </w:p>
    <w:p w14:paraId="225B7994" w14:textId="77777777" w:rsidR="00FB5879" w:rsidRPr="00FB5879" w:rsidRDefault="00FB5879" w:rsidP="00383FA1">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A53F5DD"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20BE39E"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обеспечения условий для развития конкуренции на внутреннем рынке газа реализованы следующие меры по либерализации государственного регулирования цен на газ:</w:t>
      </w:r>
    </w:p>
    <w:p w14:paraId="4D28176A"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газом;</w:t>
      </w:r>
    </w:p>
    <w:p w14:paraId="16171075"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развития рыночных принципов ценообразования на газ в Российской Федерации принято постановление Правительства Российской Федерации от 27 декабря 2017 г. № 1663 «О некоторых вопросах реализации газа в Российской Федерации»</w:t>
      </w:r>
      <w:r w:rsidRPr="00FB5879">
        <w:rPr>
          <w:rFonts w:ascii="Times New Roman" w:eastAsia="Times New Roman" w:hAnsi="Times New Roman" w:cs="Times New Roman"/>
          <w:bCs/>
          <w:sz w:val="28"/>
          <w:szCs w:val="28"/>
          <w:lang w:eastAsia="ru-RU"/>
        </w:rPr>
        <w:t xml:space="preserve">, в соответствии с которым </w:t>
      </w:r>
      <w:r w:rsidRPr="00FB5879">
        <w:rPr>
          <w:rFonts w:ascii="Times New Roman" w:eastAsia="Times New Roman" w:hAnsi="Times New Roman" w:cs="Times New Roman"/>
          <w:sz w:val="28"/>
          <w:szCs w:val="28"/>
          <w:lang w:eastAsia="ru-RU"/>
        </w:rPr>
        <w:t>ПАО «Газпром» и его аффилированным лицам разрешено с 1 января 2018 г. реализовывать добытый ими природный газ по нерегулируемым оптовым ценам организациям для производства газа природного в сжиженном состоянии из газа природного в газообразном состоянии для последующего экспорта;</w:t>
      </w:r>
    </w:p>
    <w:p w14:paraId="0DDF0EE8" w14:textId="77777777" w:rsidR="00FB5879" w:rsidRPr="00FB5879" w:rsidRDefault="00FB5879" w:rsidP="00FB5879">
      <w:pPr>
        <w:tabs>
          <w:tab w:val="num" w:pos="1021"/>
        </w:tabs>
        <w:spacing w:after="24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октября 2018 г. № 1282 «О некоторых вопросах реализации газа в Российской Федерации» в целях обеспечения газом перспективных промышленных потребителей и создания дополнительных условий развития газохимической отрасли установлено право ПАО «Газпром» и его аффилированных компаний реализовывать по нерегулируемым ценам добытый ими газ для производства и последующего экспорта метанола.</w:t>
      </w:r>
    </w:p>
    <w:p w14:paraId="414B88D0" w14:textId="77777777" w:rsidR="00FB5879" w:rsidRPr="00FB5879" w:rsidRDefault="00FB5879" w:rsidP="00383FA1">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09CC65B0" w14:textId="77777777" w:rsidR="00FB5879" w:rsidRDefault="00FB5879" w:rsidP="00383FA1">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целью повышения уровня конкурентоспособности угольной отрасли Минэнерго России в 2019 году продолжит совместную работу с заинтересованными федеральными органами исполнительной власти и организациями, а также угольными компаниями по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а также в соответствии с Национальным планом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и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0165C76A" w14:textId="77777777" w:rsidR="00383FA1" w:rsidRDefault="00383FA1" w:rsidP="00383FA1">
      <w:pPr>
        <w:spacing w:after="0" w:line="240" w:lineRule="auto"/>
        <w:ind w:firstLine="709"/>
        <w:jc w:val="both"/>
        <w:rPr>
          <w:rFonts w:ascii="Times New Roman" w:eastAsia="Times New Roman" w:hAnsi="Times New Roman" w:cs="Times New Roman"/>
          <w:sz w:val="28"/>
          <w:szCs w:val="28"/>
          <w:lang w:eastAsia="ru-RU"/>
        </w:rPr>
      </w:pPr>
    </w:p>
    <w:p w14:paraId="389FE302" w14:textId="4C9A263D" w:rsidR="002C196A" w:rsidRDefault="00383FA1" w:rsidP="00BB7A44">
      <w:pPr>
        <w:pStyle w:val="2"/>
        <w:numPr>
          <w:ilvl w:val="1"/>
          <w:numId w:val="69"/>
        </w:numPr>
      </w:pPr>
      <w:bookmarkStart w:id="2085" w:name="_Toc7448073"/>
      <w:r>
        <w:t>Министерство транспорта Российской Федерации</w:t>
      </w:r>
      <w:bookmarkEnd w:id="2085"/>
    </w:p>
    <w:p w14:paraId="68D491BA"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1. Общая характеристика соответствующей сферы/отрасли, находящейся в приоритете государственной политики по развитию конкуренции в соответствии с Указом Президента Российской Федерации от 21.12.2017 № 618 «Об основных направлениях государственной политики по развитию конкуренции».</w:t>
      </w:r>
    </w:p>
    <w:p w14:paraId="3DE7753F"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389C235" w14:textId="77777777" w:rsidR="004C78A4" w:rsidRPr="004C78A4" w:rsidRDefault="004C78A4" w:rsidP="004C78A4">
      <w:pPr>
        <w:autoSpaceDE w:val="0"/>
        <w:autoSpaceDN w:val="0"/>
        <w:adjustRightInd w:val="0"/>
        <w:spacing w:after="0" w:line="276" w:lineRule="auto"/>
        <w:ind w:firstLine="709"/>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Железнодорожный транспорт.</w:t>
      </w:r>
    </w:p>
    <w:p w14:paraId="06EC60A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результате реформирования железнодорожного транспорта в Российской Федерации в сфере грузовых перевозок сформирована структура рынка, в рамках которого сложились естественно-монопольный сегмент (перевозка грузов железнодорожным транспортом, представлен перевозчиками, действующими на принадлежащей им инфраструктуре) и конкурентный сегмент (услуги по предоставлению грузовых вагонов, контейнеров для перевозок, </w:t>
      </w:r>
      <w:r w:rsidRPr="004C78A4">
        <w:rPr>
          <w:rFonts w:ascii="Times New Roman" w:eastAsia="Times New Roman" w:hAnsi="Times New Roman" w:cs="Times New Roman"/>
          <w:sz w:val="28"/>
          <w:szCs w:val="28"/>
          <w:lang w:eastAsia="ru-RU"/>
        </w:rPr>
        <w:t>вагоноремонтная деятельность, деятельность по капитальному ремонту локомотивов и т.д.).</w:t>
      </w:r>
    </w:p>
    <w:p w14:paraId="35454BE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 целом работа железнодорожного транспорта демонстрирует улучшение количественных показателей не только по объемам перевозимого груза, но и по качественным показателям использования подвижного состава. </w:t>
      </w:r>
    </w:p>
    <w:p w14:paraId="3E7C9C5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2018 году обеспечен прирост погрузки на уровне 3,3%, в том числе по номенклатурам с большой долей участников малого и среднего бизнеса.</w:t>
      </w:r>
      <w:r w:rsidRPr="004C78A4">
        <w:rPr>
          <w:rFonts w:ascii="Times New Roman" w:eastAsia="Times New Roman" w:hAnsi="Times New Roman" w:cs="Times New Roman"/>
          <w:sz w:val="28"/>
          <w:szCs w:val="28"/>
          <w:lang w:eastAsia="ru-RU"/>
        </w:rPr>
        <w:br/>
        <w:t xml:space="preserve">Погрузка </w:t>
      </w:r>
      <w:r>
        <w:rPr>
          <w:rFonts w:ascii="Times New Roman" w:eastAsia="Times New Roman" w:hAnsi="Times New Roman" w:cs="Times New Roman"/>
          <w:sz w:val="28"/>
          <w:szCs w:val="28"/>
          <w:lang w:eastAsia="ru-RU"/>
        </w:rPr>
        <w:t xml:space="preserve">лесных грузов выросла на 4,4%, </w:t>
      </w:r>
      <w:r w:rsidRPr="004C78A4">
        <w:rPr>
          <w:rFonts w:ascii="Times New Roman" w:eastAsia="Times New Roman" w:hAnsi="Times New Roman" w:cs="Times New Roman"/>
          <w:sz w:val="28"/>
          <w:szCs w:val="28"/>
          <w:lang w:eastAsia="ru-RU"/>
        </w:rPr>
        <w:t>цемента - на 1,8%, промышленного</w:t>
      </w:r>
      <w:r w:rsidRPr="004C78A4">
        <w:rPr>
          <w:rFonts w:ascii="Times New Roman" w:eastAsia="Times New Roman" w:hAnsi="Times New Roman" w:cs="Times New Roman"/>
          <w:sz w:val="28"/>
          <w:szCs w:val="28"/>
          <w:lang w:eastAsia="ru-RU"/>
        </w:rPr>
        <w:br/>
        <w:t>сырья - на 5,2%.</w:t>
      </w:r>
    </w:p>
    <w:p w14:paraId="4D87099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Согласно статистическим данным по перевозке грузов железнодорожным транспортом в 2012-2018 гг. ежегодно в октябре наблюдается повышенный спрос на перевозку грузов (щебня и иных нерудных строительных материалов, а также грузов, необходимых для обеспечения работы предприятий жилищно-коммунального комплекса) в полувагонах, в связи с чем парк полувагонов был востребован грузоотправителями к перевозке. Перевозка зерновых грузов также характеризуется ярко выраженным сезонным спросом и непосредственно зависит от урожайности зерновых. Наиболее востребованным подвижным составом для перевозки зерновых грузов является парк вагонов-хопперов для перевозки зерна.</w:t>
      </w:r>
    </w:p>
    <w:p w14:paraId="5087474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На сегодняшний день отмечен рост </w:t>
      </w:r>
      <w:r w:rsidRPr="004C78A4">
        <w:rPr>
          <w:rFonts w:ascii="Times New Roman" w:eastAsia="Times New Roman" w:hAnsi="Times New Roman" w:cs="Times New Roman"/>
          <w:color w:val="000000"/>
          <w:sz w:val="28"/>
          <w:szCs w:val="28"/>
          <w:lang w:eastAsia="ru-RU"/>
        </w:rPr>
        <w:t xml:space="preserve">парка </w:t>
      </w:r>
      <w:r w:rsidRPr="004C78A4">
        <w:rPr>
          <w:rFonts w:ascii="Times New Roman" w:eastAsia="Times New Roman" w:hAnsi="Times New Roman" w:cs="Times New Roman"/>
          <w:sz w:val="28"/>
          <w:szCs w:val="28"/>
          <w:lang w:eastAsia="ru-RU"/>
        </w:rPr>
        <w:t>универсальных грузовых вагонов, который в 2017 году составлял 572 тысячи вагонов, а на 01.01.2019 составил 620 тысяч вагонов.</w:t>
      </w:r>
    </w:p>
    <w:p w14:paraId="70C6912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Также отмечен рост парка специализированных вагонов, в частности вагонов-хопперов для перевозки зерна. Парк данного подвижного состава </w:t>
      </w:r>
      <w:r w:rsidRPr="004C78A4">
        <w:rPr>
          <w:rFonts w:ascii="Times New Roman" w:eastAsia="Times New Roman" w:hAnsi="Times New Roman" w:cs="Times New Roman"/>
          <w:sz w:val="28"/>
          <w:szCs w:val="28"/>
          <w:lang w:eastAsia="ru-RU"/>
        </w:rPr>
        <w:t>в 2017 году составлял 38 тысяч вагонов, в 2018 году – 42 тысячи вагонов и на 01.01.2019 составил 47 тысяч вагонов.</w:t>
      </w:r>
    </w:p>
    <w:p w14:paraId="0CBBC35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Таким образом, наличный вагонный парк достаточен для удовлетворения потребностей грузоотправителей в грузовых перевозках.</w:t>
      </w:r>
    </w:p>
    <w:p w14:paraId="1A41946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целях сокращения порожних пробегов </w:t>
      </w:r>
      <w:r w:rsidRPr="004C78A4">
        <w:rPr>
          <w:rFonts w:ascii="Times New Roman" w:eastAsia="Times New Roman" w:hAnsi="Times New Roman" w:cs="Times New Roman"/>
          <w:sz w:val="28"/>
          <w:szCs w:val="28"/>
          <w:lang w:eastAsia="ru-RU"/>
        </w:rPr>
        <w:t>Правительством Российской Федерации одобрен ряд тарифных решений на 2019 год, в том числе по индексации тарифов на перевозку порожних вагонов на 6%.</w:t>
      </w:r>
    </w:p>
    <w:p w14:paraId="60E63AC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Данная мера позволит стимулировать участников перевозочного процесса искать грузы под попутную загрузку и снижения порожнего пробега на дальние и сверхдальние расстояния.</w:t>
      </w:r>
    </w:p>
    <w:p w14:paraId="7B69F9EC"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Треть времени оборота грузовых вагонов (31,3%) в настоящее время составляет нахождение вагона на путях необщего пользования.</w:t>
      </w:r>
    </w:p>
    <w:p w14:paraId="2BA5C8D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Сверхнормативное нахождение вагонов на железнодорожных путях необщего пользования влечёт отставление поездов от движения в пути следования, приводит к неравномерной погрузке, и несвоевременному прибытию вагонов на станции назначения, задержке вагонов на путях общего пользования в ожидании подачи или приема под грузовые операции, создавая технологические затруднения в работе железнодорожного транспорта и некомпенсируемые расходы перевозчика.</w:t>
      </w:r>
    </w:p>
    <w:p w14:paraId="1216045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рамках исполнения пункта 4 перечня поручений Президента Российской Федерации от 09.10.2018 № Пр-2014, в части выработки мер по предотвращению возникновения локальных дефицитов универсальных и специализированных грузовых вагонов, Минтрансом России разработан проект федерального закона, предусматривающий внесение изменений в статью 100 Федерального закона «Устав железнодорожного транспорта Российской Федерации».</w:t>
      </w:r>
    </w:p>
    <w:p w14:paraId="71B0841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Данный законопроект предусматривает меры, реализация которых позволит повысить эффективность оборачиваемости подвижного состава на железнодорожных путях общего и необщего пользования путем установления ответственности грузоотправителя, грузополучателя, владельца подъездного пути за нарушение технологических сроков оборота вагонов и норм погрузки и выгрузки грузов.</w:t>
      </w:r>
    </w:p>
    <w:p w14:paraId="1BC78EE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Предлагаемое законопроектом регулирование позволит сократить оборот вагонов, улучшить эксплуатационную обстановку на инфраструктуре железнодорожного транспорта общего пользования и будет препятствовать образованию локальных дефицитов железнодорожного подвижного состава, в том числе в пиковые периоды погрузки грузов на сети железных дорог.</w:t>
      </w:r>
    </w:p>
    <w:p w14:paraId="51C281E5"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Кроме того, на повышение доступности услуги по предоставлению вагонов под перевозки направлена работа Электронной торговой площадки «Грузовые перевозки» (ЭТП ГП).</w:t>
      </w:r>
    </w:p>
    <w:p w14:paraId="2DFE14B2"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это современный электронный сервис с публичными и транспарентными условиями функционирования, обеспечивающий максимально удобную деловую среду для получения комплексных перевозочных услуг, что позволяет существенно улучшить качественные условия ведения предпринимательской деятельности.</w:t>
      </w:r>
    </w:p>
    <w:p w14:paraId="076CB6BA"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концептуально создана для оперативной и низкозатратной организации перевозок грузов по заказам предприятий малого и среднего бизнеса.</w:t>
      </w:r>
    </w:p>
    <w:p w14:paraId="70AAAAAD"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Функционал ЭТП ГП постоянно соверш</w:t>
      </w:r>
      <w:r>
        <w:rPr>
          <w:rFonts w:ascii="Times New Roman" w:eastAsia="Times New Roman" w:hAnsi="Times New Roman" w:cs="Times New Roman"/>
          <w:sz w:val="28"/>
          <w:szCs w:val="28"/>
          <w:lang w:eastAsia="ru-RU"/>
        </w:rPr>
        <w:t xml:space="preserve">енствуется и диверсифицируется </w:t>
      </w:r>
      <w:r w:rsidRPr="004C78A4">
        <w:rPr>
          <w:rFonts w:ascii="Times New Roman" w:eastAsia="Times New Roman" w:hAnsi="Times New Roman" w:cs="Times New Roman"/>
          <w:sz w:val="28"/>
          <w:szCs w:val="28"/>
          <w:lang w:eastAsia="ru-RU"/>
        </w:rPr>
        <w:t xml:space="preserve">прежде всего с учетом предложений клиентов (например, в части возможности формирования скидок на групповые и маршрутные перевозки, оформленных на ЭТП ГП, планируется реализация дифференцированного подхода к ценообразованию с учетом вида отправки). </w:t>
      </w:r>
    </w:p>
    <w:p w14:paraId="5E629606"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итогам 4 квартала 2018 года АО «ФГК» размещало подвижной состав на ЭТП ГП в объеме не менее 13 тысяч вагоноотправок ежемесячно.</w:t>
      </w:r>
    </w:p>
    <w:p w14:paraId="072242A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Учитывая, что эффективность перевозочного процесса зависит от участников перевозочного процесса, грузоотправителям, являющимся субъектами малого и среднего предпринимательства, необходимо совершенствовать модель взаимоотношений с операторами железнодорожного подвижного состава, в том числе:</w:t>
      </w:r>
    </w:p>
    <w:p w14:paraId="48644F7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заключать долгосрочные контракты с условиями предоставления вагонов под заявки на перевозку грузов, что позволит предусмотреть их ритмичное предоставление по периодам года, в том числе в пиковые периоды;</w:t>
      </w:r>
    </w:p>
    <w:p w14:paraId="4B49950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закупать услугу по предоставлению вагонов, необходимых для перевозки грузов, у широкого круга операторов железнодорожного подвижного состава;</w:t>
      </w:r>
    </w:p>
    <w:p w14:paraId="60E6C64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сокращать оборот вагонов, соблюдать сроки нахождения вагонов под погрузо-разгрузочными операциями с целью исключения непроизводительных простоев на железнодорожных путях необщего пользования в ожидании погрузки и выгрузки грузов;</w:t>
      </w:r>
    </w:p>
    <w:p w14:paraId="10511CA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использовать электронную торговую площадку «Грузовые перевозки», открытой на сайте ОАО «РЖД», что позволит грузоотправителю на принципах равноправия, отсутствия дискриминации и необоснованных ограничений привлекать подвижной состав в гарантированном объеме по рыночным ставкам.</w:t>
      </w:r>
    </w:p>
    <w:p w14:paraId="12C53FD6"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42EB05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Воздушный транспорт</w:t>
      </w:r>
    </w:p>
    <w:p w14:paraId="7E2EB00C"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пассажирских перевозок</w:t>
      </w:r>
    </w:p>
    <w:p w14:paraId="6024A508" w14:textId="77777777" w:rsidR="004C78A4" w:rsidRPr="004C78A4" w:rsidRDefault="004C78A4" w:rsidP="004C78A4">
      <w:pPr>
        <w:spacing w:after="0" w:line="240" w:lineRule="auto"/>
        <w:ind w:firstLine="567"/>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Воздушный транспорт имеет особое значение для Российской Федерации как средство обеспечения международных и внутренних пассажирских перевозок, включая перевозки в труднодоступные районы Крайнего Севера и приравненные к ним местности Сибири, Дальнего Востока, где часто является единственным средством сообщения. </w:t>
      </w:r>
    </w:p>
    <w:p w14:paraId="78DC1AA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Совокупность сложившихся условий экономического развития в сфере гражданской авиации определила в качестве основного целевого ориентира формирование в том числе стабильных высококонкурентных внутренних рынков.</w:t>
      </w:r>
    </w:p>
    <w:p w14:paraId="2EF7E82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В 2018 году российскими авиакомпаниями перевезены рекордные </w:t>
      </w:r>
      <w:r w:rsidRPr="004C78A4">
        <w:rPr>
          <w:rFonts w:ascii="Times New Roman" w:eastAsia="Times New Roman" w:hAnsi="Times New Roman" w:cs="Times New Roman"/>
          <w:sz w:val="28"/>
          <w:szCs w:val="24"/>
          <w:lang w:eastAsia="ru-RU"/>
        </w:rPr>
        <w:br/>
        <w:t>116,2 млн. пассажиров (рост 10,6%), в том числе на международных линиях – более 47 млн (рост 11,5%), на внутренних – порядка 69 млн или около 60% объема перевозок (рост 10%), что также является рекордом как для современной России, так и для СССР (в 1990 году– 65,4 млн. пассажиров).</w:t>
      </w:r>
    </w:p>
    <w:p w14:paraId="779174A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За последние годы практически вновь был сформирован рынок внутренних воздушных перевозок (рост перевозок на внутренних воздушных линиях – в 1,7 раза к уровню 2013 г.). </w:t>
      </w:r>
    </w:p>
    <w:p w14:paraId="2234569A"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4"/>
          <w:u w:val="single"/>
          <w:lang w:eastAsia="ru-RU"/>
        </w:rPr>
      </w:pPr>
      <w:r w:rsidRPr="004C78A4">
        <w:rPr>
          <w:rFonts w:ascii="Times New Roman" w:eastAsia="Times New Roman" w:hAnsi="Times New Roman" w:cs="Times New Roman"/>
          <w:i/>
          <w:sz w:val="28"/>
          <w:szCs w:val="24"/>
          <w:u w:val="single"/>
          <w:lang w:eastAsia="ru-RU"/>
        </w:rPr>
        <w:t>Справочно:</w:t>
      </w:r>
    </w:p>
    <w:p w14:paraId="4CEB0D37"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8"/>
          <w:lang w:eastAsia="ru-RU"/>
        </w:rPr>
      </w:pPr>
      <w:r w:rsidRPr="004C78A4">
        <w:rPr>
          <w:rFonts w:ascii="Times New Roman" w:eastAsia="Times New Roman" w:hAnsi="Times New Roman" w:cs="Times New Roman"/>
          <w:i/>
          <w:sz w:val="28"/>
          <w:szCs w:val="28"/>
          <w:lang w:eastAsia="ru-RU"/>
        </w:rPr>
        <w:t>Пассажиропоток (количество перевезенных пассажиров) российских авиакомпаний на внутренних воздушных линиях (ВВЛ) в 2000-ые годы нарастает практически ежегодно (кроме 2009 года), увеличившись от 13,4 млн пассажиров в 2000 году до 68,8 млн пассажиров в 2018 году, среднегодовой темп восстановительного роста (после кризисного спада 90-х годов) в 2000 - 2018 годах  составил около 9,5%, в 2014 - 2018 гг., когда этому способствовали финансируемые из бюджета программы субсидирования, среднегодовые темпы роста, несмотря на воздействие кризиса 2014 - 2016 гг., удержались на уровне 9,6%, в 2018 году - около 10%. За рассматриваемый период региональные авиаперевозки, минуя Москву, выросли от 5,4 млн пасс. (2000 год) до 18,4 млн пассажиров в 2018 году (16,48 млн пассажиров только на регулярных маршрутах), среднегодовые темпы роста составляли в 2000 - 2018 гг. около 7,1%, причем в 2014 - 2018 гг. темпы роста значительно увеличились и достигли 12%, а в 2018 году - 12,2%, что объективно подтверждает реальное влияние развиваемых в этот период федеральных и региональных программ субсидирования региональных авиаперевозок. </w:t>
      </w:r>
    </w:p>
    <w:p w14:paraId="7066C474"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В 2018 году реализовывались следующие программы субсидирования, направленные на развитие региональных перевозок пассажиров воздушным транспортом.</w:t>
      </w:r>
    </w:p>
    <w:p w14:paraId="318B8F4D"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1. Программа субсидирования региональных воздушных перевозок на территории Российской Федерации и формирования региональной маршрутной сети Российской Федерации (постановление Прав</w:t>
      </w:r>
      <w:r>
        <w:rPr>
          <w:rFonts w:ascii="Times New Roman" w:hAnsi="Times New Roman" w:cs="Times New Roman"/>
          <w:i/>
          <w:sz w:val="28"/>
          <w:szCs w:val="28"/>
        </w:rPr>
        <w:t xml:space="preserve">ительства Российской Федерации </w:t>
      </w:r>
      <w:r w:rsidRPr="004C78A4">
        <w:rPr>
          <w:rFonts w:ascii="Times New Roman" w:hAnsi="Times New Roman" w:cs="Times New Roman"/>
          <w:i/>
          <w:sz w:val="28"/>
          <w:szCs w:val="28"/>
        </w:rPr>
        <w:t xml:space="preserve">от 25.12.2013 № 1242). </w:t>
      </w:r>
    </w:p>
    <w:p w14:paraId="52054BDF" w14:textId="77777777" w:rsidR="004C78A4" w:rsidRPr="004C78A4" w:rsidRDefault="004C78A4" w:rsidP="004C78A4">
      <w:pPr>
        <w:spacing w:after="0" w:line="240" w:lineRule="auto"/>
        <w:ind w:firstLine="709"/>
        <w:jc w:val="both"/>
        <w:rPr>
          <w:rFonts w:ascii="Times New Roman" w:hAnsi="Times New Roman" w:cs="Times New Roman"/>
          <w:i/>
          <w:strike/>
          <w:sz w:val="28"/>
          <w:szCs w:val="28"/>
          <w:highlight w:val="yellow"/>
          <w:u w:val="single"/>
        </w:rPr>
      </w:pPr>
      <w:r w:rsidRPr="004C78A4">
        <w:rPr>
          <w:rFonts w:ascii="Times New Roman" w:eastAsia="Times New Roman" w:hAnsi="Times New Roman" w:cs="Times New Roman"/>
          <w:i/>
          <w:sz w:val="28"/>
          <w:szCs w:val="24"/>
          <w:lang w:eastAsia="ru-RU"/>
        </w:rPr>
        <w:t>2. В рамках постановления Правительства Российской Федерации от 02.03.2018 № 215</w:t>
      </w:r>
      <w:r w:rsidRPr="004C78A4">
        <w:rPr>
          <w:rFonts w:ascii="Times New Roman" w:eastAsia="Times New Roman" w:hAnsi="Times New Roman" w:cs="Times New Roman"/>
          <w:b/>
          <w:i/>
          <w:sz w:val="28"/>
          <w:szCs w:val="24"/>
          <w:lang w:eastAsia="ru-RU"/>
        </w:rPr>
        <w:t xml:space="preserve"> </w:t>
      </w:r>
      <w:r w:rsidRPr="004C78A4">
        <w:rPr>
          <w:rFonts w:ascii="Times New Roman" w:eastAsia="Times New Roman" w:hAnsi="Times New Roman" w:cs="Times New Roman"/>
          <w:i/>
          <w:sz w:val="28"/>
          <w:szCs w:val="24"/>
          <w:lang w:eastAsia="ru-RU"/>
        </w:rPr>
        <w:t>«Об утверждении Правил предоставления субсидий из федерального бюджета организациям воздушного транспорта в целях обеспечения доступности воздушных перевозок населению».</w:t>
      </w:r>
      <w:r w:rsidRPr="004C78A4">
        <w:rPr>
          <w:rFonts w:ascii="Times New Roman" w:hAnsi="Times New Roman" w:cs="Times New Roman"/>
          <w:i/>
          <w:strike/>
          <w:sz w:val="28"/>
          <w:szCs w:val="28"/>
          <w:highlight w:val="yellow"/>
          <w:u w:val="single"/>
        </w:rPr>
        <w:t xml:space="preserve"> </w:t>
      </w:r>
    </w:p>
    <w:p w14:paraId="303C8E1E" w14:textId="77777777" w:rsidR="004C78A4" w:rsidRPr="004C78A4" w:rsidRDefault="004C78A4" w:rsidP="004C78A4">
      <w:pPr>
        <w:spacing w:after="0" w:line="240" w:lineRule="auto"/>
        <w:ind w:firstLine="709"/>
        <w:jc w:val="both"/>
        <w:rPr>
          <w:rFonts w:ascii="Times New Roman" w:hAnsi="Times New Roman" w:cs="Times New Roman"/>
          <w:i/>
          <w:sz w:val="28"/>
          <w:szCs w:val="28"/>
          <w:highlight w:val="yellow"/>
        </w:rPr>
      </w:pPr>
      <w:r w:rsidRPr="004C78A4">
        <w:rPr>
          <w:rFonts w:ascii="Times New Roman" w:hAnsi="Times New Roman" w:cs="Times New Roman"/>
          <w:i/>
          <w:sz w:val="28"/>
          <w:szCs w:val="28"/>
        </w:rPr>
        <w:t xml:space="preserve">Суммарно в 2018 году в рамках обеих программ субсидирования было перевезено 1,41 млн. пассажиров, что на 1,5 % выше аналогичного показателя </w:t>
      </w:r>
      <w:r w:rsidRPr="004C78A4">
        <w:rPr>
          <w:rFonts w:ascii="Times New Roman" w:hAnsi="Times New Roman" w:cs="Times New Roman"/>
          <w:i/>
          <w:sz w:val="28"/>
          <w:szCs w:val="28"/>
        </w:rPr>
        <w:br/>
        <w:t xml:space="preserve">в 2017 году. Общий объем средств федерального бюджета, предоставленных </w:t>
      </w:r>
      <w:r w:rsidRPr="004C78A4">
        <w:rPr>
          <w:rFonts w:ascii="Times New Roman" w:hAnsi="Times New Roman" w:cs="Times New Roman"/>
          <w:i/>
          <w:sz w:val="28"/>
          <w:szCs w:val="28"/>
        </w:rPr>
        <w:br/>
        <w:t>в 2018 году на цели субсидирования воздушных перевозок, составил 7,54 млрд. рублей.</w:t>
      </w:r>
    </w:p>
    <w:p w14:paraId="1E24E22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Ведущие авиапредприятия, которые на протяжении многих лет демонстрируют стабильные и высокие показатели, в 2018 году продолжили курс по укреплению своих позиций. Это — авиакомпании Группы «Аэрофлот», Сибирь, Уральские авиалинии, ЮТэйр и другие.</w:t>
      </w:r>
    </w:p>
    <w:p w14:paraId="0804B01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Пятью лидерами отрасли (ПАО Аэрофлот, АО «Авиакомпания «Сибирь», АО «Авиакомпания «Россия», ОАО Авиакомпания «Уральские авиалинии», ПАО Авиакомпания «ЮТэйр») за 2018 год было перевезено 75 153 954 пассажира, что составляет 64% от общего объёма пассажирских перевозок в отрасли.</w:t>
      </w:r>
    </w:p>
    <w:p w14:paraId="36E30AA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Аэропорты в 2018 году обслужили более 200 млн. пассажиров. Это наивысший показатель за все 95 лет истории российской гражданской авиации.</w:t>
      </w:r>
    </w:p>
    <w:p w14:paraId="3F1BEB3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Среди аэропортов наиболее показательные результаты у Шереметьево, где с начала 2018 года обслужено около 44,5 млн пассажиров (рост более 10%), во Внуково – более 21,3 млн (рост 2,5%). В Домодедово за 2018 год обслужено 28 млн человек (-6%). Снижение показателей аэропорта Домодедово связано с переходом ряда иностранных авиакомпаний в другие аэропорты МАУ.</w:t>
      </w:r>
    </w:p>
    <w:p w14:paraId="2D1BEC0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Объемы перевезенных грузов и почты в 2018 году практически сохранились на уровне аналогичного периода прошлого года и составили 1,174 </w:t>
      </w:r>
      <w:r>
        <w:rPr>
          <w:rFonts w:ascii="Times New Roman" w:eastAsia="Times New Roman" w:hAnsi="Times New Roman" w:cs="Times New Roman"/>
          <w:sz w:val="28"/>
          <w:szCs w:val="28"/>
          <w:lang w:eastAsia="ru-RU"/>
        </w:rPr>
        <w:t>млн</w:t>
      </w:r>
      <w:r w:rsidRPr="004C78A4">
        <w:rPr>
          <w:rFonts w:ascii="Times New Roman" w:eastAsia="Times New Roman" w:hAnsi="Times New Roman" w:cs="Times New Roman"/>
          <w:sz w:val="28"/>
          <w:szCs w:val="28"/>
          <w:lang w:eastAsia="ru-RU"/>
        </w:rPr>
        <w:t xml:space="preserve"> тонн.</w:t>
      </w:r>
    </w:p>
    <w:p w14:paraId="2339DDB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Лидерами отрасли в данном сегменте являются: группа компаний «Волга-Днепр», компании Группы Аэрофлот, АО «Авиакомпания «Сибирь».</w:t>
      </w:r>
    </w:p>
    <w:p w14:paraId="7DFACE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 мерам по оптимизации цен и тарифов на перевозки воздушным транспортом реализовано следует отнести внесение изменений в статью 103 Воздушного кодекса Российской Федерации в части установления возможности исключения из договора воздушной перевозки условия о наличии нормы провоза пассажиром багажа без взимания дополнительной платы.</w:t>
      </w:r>
    </w:p>
    <w:p w14:paraId="19DA9AD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272934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аэропортовых услуг</w:t>
      </w:r>
    </w:p>
    <w:p w14:paraId="3087EF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Развитие конкуренции на рынке аэропортовых услуг актуально в части обеспечения наземного обслуживания авиакомпаний на территории отдельно взятого аэропорта, привлечения транзитных потоков, в том числе между аэропортами, расположенными в одном мегаполисе.</w:t>
      </w:r>
    </w:p>
    <w:p w14:paraId="69EC34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защиты интересов потребителей услуг в аэропортах Правительством Российской Федерации были утверждены Правила обеспечения доступа к услугам субъектов естественных монополий в аэропортах (утверждены постановлением Правительства Российской Федерации от 22.07.2009 № 599), которыми определены равные условия оказания услуг потребителям, приоритетность оказания услуг, стандарты раскрытия информации об услугах, порядок разрешения споров.</w:t>
      </w:r>
    </w:p>
    <w:p w14:paraId="25A5EE1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 счет практики применения аэропортами правил обеспечения доступа к услугам субъектов естественных монополий произошло существенное улучшение ситуации в аэропортах. Формируется конкурентная среда в отдельных сегментах рынков услуг по наземному обслуживанию. Альтернативные операторы приходят в такие сферы, как инженерно-авиационное обеспечение авиационной техники и техническое обслуживание воздушных судов, клининг (очистка, уборка) и экипировка воздушных судов, услуги по обеспечению бортовым питанием пассажиров, обработке багажа, грузов, почты, обслуживание деловой авиации, услуги по авиатопливообеспечению.</w:t>
      </w:r>
    </w:p>
    <w:p w14:paraId="69AC6E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рамках доработки постановления Прав</w:t>
      </w:r>
      <w:r>
        <w:rPr>
          <w:rFonts w:ascii="Times New Roman" w:hAnsi="Times New Roman" w:cs="Times New Roman"/>
          <w:sz w:val="28"/>
          <w:szCs w:val="28"/>
        </w:rPr>
        <w:t xml:space="preserve">ительства Российской Федерации </w:t>
      </w:r>
      <w:r w:rsidRPr="004C78A4">
        <w:rPr>
          <w:rFonts w:ascii="Times New Roman" w:hAnsi="Times New Roman" w:cs="Times New Roman"/>
          <w:sz w:val="28"/>
          <w:szCs w:val="28"/>
        </w:rPr>
        <w:t xml:space="preserve">от 22.07.2009 № 599 «О порядке обеспечения доступа к услугам субъектов естественных монополий в аэропортах» необходима реализация следующих принципов: </w:t>
      </w:r>
    </w:p>
    <w:p w14:paraId="1707E12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наличие не менее 2-х операторов (в том числе как минимум одного независимого) по видам услуг, оказание которых возможно в конкурентной среде, в аэропортах с годовым пассажиропотоком более 0,5 млн. пассажиров или грузооборотом более 12,5 тыс.</w:t>
      </w:r>
      <w:r w:rsidRPr="004C78A4">
        <w:rPr>
          <w:rFonts w:ascii="Times New Roman" w:eastAsia="Times New Roman" w:hAnsi="Times New Roman" w:cs="Times New Roman"/>
          <w:sz w:val="24"/>
          <w:szCs w:val="24"/>
          <w:lang w:eastAsia="ru-RU"/>
        </w:rPr>
        <w:t xml:space="preserve"> </w:t>
      </w:r>
      <w:r w:rsidRPr="004C78A4">
        <w:rPr>
          <w:rFonts w:ascii="Times New Roman" w:hAnsi="Times New Roman" w:cs="Times New Roman"/>
          <w:sz w:val="28"/>
          <w:szCs w:val="28"/>
        </w:rPr>
        <w:t>тонн;</w:t>
      </w:r>
    </w:p>
    <w:p w14:paraId="2455D1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доступ самообслуживающихся потребителей (авиакомпаний и аффилированных с ними лиц на территорию аэропорта без ограничений);</w:t>
      </w:r>
    </w:p>
    <w:p w14:paraId="0B4BC7B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безвозмездный характер доступа к инфраструктуре (оплачиваться должны только реально оказываемые аэропортом услуги).</w:t>
      </w:r>
    </w:p>
    <w:p w14:paraId="7539DF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Предложения по корректировке положений постановления Правительства Российской Федерации от 22.06.2009 № 599 «О порядке обеспечения доступа к услугам субъектов естественных монополий в аэропортах» Минтрансом России направлены в ФАС России письмом от 22.11.2018 № АЮ-23/17281.</w:t>
      </w:r>
    </w:p>
    <w:p w14:paraId="485300A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Полагаем целесообразным рассмотреть предложение по внесению изменений (дополнений) в правила формирования тарифов и сборов за обслуживание воздушных судов в аэропортах Российской Федерации, в части определения объема прочих (дополнительных) услуг, оказываемых в аэропортах, их регламентации и установления прозрачных механизмов формирования тарифов по ним.</w:t>
      </w:r>
    </w:p>
    <w:p w14:paraId="334D8174"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F6C171B"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Водный транспорт</w:t>
      </w:r>
    </w:p>
    <w:p w14:paraId="30BF4A1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Правительство Российской Федерации с 2011 года последовательно проводило политику по прекращению государственного регулирования услуг, оказываемых субъектами естественных монополий, осуществляющими деятельность в морских портах Российской Федерации. </w:t>
      </w:r>
    </w:p>
    <w:p w14:paraId="358A21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пунктом 2 поручения Правительства Российской Федерации от 21.08.2017 № АД-П13-5495 Минтрансом России организовано проведение оценки конкурентной среды в морских портах Российской Федерации за период 2015–2016 годы и по состоянию на 2017 год.</w:t>
      </w:r>
    </w:p>
    <w:p w14:paraId="0F3AFB7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Независимую оценку состояния конкурентной среды в морских портах Российской Федерации с учетом интересов грузоотправителей, грузополучателей и стивидорных компаний организовал Российский союз промышленников и предпринимателей, работы проведены ФГБОУ ВО «Российский экономический университет имени Г.В. Плеханова» и Аналитическим центром при Правительстве Российской Федерации. </w:t>
      </w:r>
    </w:p>
    <w:p w14:paraId="64CCA86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Отчеты о проведении указанной оценки были рассмотрены на площадке Российского союза промышленников и предпринимателей 23.04.2018. </w:t>
      </w:r>
      <w:r w:rsidRPr="004C78A4">
        <w:rPr>
          <w:rFonts w:ascii="Times New Roman" w:hAnsi="Times New Roman" w:cs="Times New Roman"/>
          <w:sz w:val="28"/>
          <w:szCs w:val="28"/>
        </w:rPr>
        <w:br/>
        <w:t>По результатам проведенного анализа сделан вывод о том, что рынки услуг по перевалке различных видов грузов в морских портах являются рынками с развитой конкуренцией, за исключением рынка перевалки нефти и нефтепродуктов, доставляемых по трубопроводной системе. При этом методы государственного регулирования фактически сдерживают окончательный переход отрасли из естественно-монопольного состояния в рыночные отношения.</w:t>
      </w:r>
    </w:p>
    <w:p w14:paraId="1A64E0B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Во исполнение пункта 2 Национального плана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разработан и утвержден распоряжением Правительства Российской Федерации от 16.08.2018 № 1697-р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естественных монополий в состояние конкурентного рынка </w:t>
      </w:r>
      <w:r w:rsidRPr="004C78A4">
        <w:rPr>
          <w:rFonts w:ascii="Times New Roman" w:hAnsi="Times New Roman" w:cs="Times New Roman"/>
          <w:sz w:val="28"/>
          <w:szCs w:val="28"/>
        </w:rPr>
        <w:br/>
        <w:t>на 2018–2020 годы» (далее – План мероприятий).</w:t>
      </w:r>
    </w:p>
    <w:p w14:paraId="2B0DA4E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совершенствования нормативно-правовой базы, в соответствии с пунктами 8-9, 11-12 раздела XVII «Транспортные услуги» Плана мероприятий ФАС России подготовлен проект постановления Правительства Российской Федерации «О внесении изменений в некоторые акты Правительства Российской Федерации» (далее – проект постановления).</w:t>
      </w:r>
    </w:p>
    <w:p w14:paraId="457BCBE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ФАС России представила в Минтранс России проект постановления на согласование. Проектом постановления предусмотрено внесение изменений в постановление Правительства Российской Федерации от 23.04.2008 № 293 в части прекращения регулирования цен (тарифов) на услуги в речных портах по предоставлению судам рейдов, якорных стоянок, защитных сооружений и причалов порта, обеспечению лоцманской проводки судов (внутрипортовая проводка), комплексному обслуживанию флота, на услуги буксиров, по погрузке и выгрузке грузов, хранению грузов, обслуживанию пассажиров, а также на услуги по использованию инфраструктуры внутренних водных путей в части услуг по навигационно-гидрографическому обеспечению условий плавания судов по внутренним водным путям, обеспечению лоцманской проводки судов, ледокольному обеспечению в зимних условиях навигации, по обеспечению прохода судов по судоходным гидротехническим сооружениям, обеспечению прохода иностранных судов по внутренним водным путям. Кроме того, указанным проектом постановления предусматривается прекращение государственного регулирования цен (тарифов) на услуги в морских портах по предоставлению причалов, обеспечению лоцманской проводки судов, услуги буксиров, услуги по обеспечению экологической безопасности в порту, обслуживанию пассажиров в морских терминалах. </w:t>
      </w:r>
    </w:p>
    <w:p w14:paraId="394AD15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Письмом от 01.03.2019 № ЮЦ-Д5-23/3034 Минтранс России согласовал доработанный проект постановления.</w:t>
      </w:r>
    </w:p>
    <w:p w14:paraId="064D975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Перевозки грузов и пассажиров на внутреннем водном транспорте в соответствии с законодательством Российской Федерации не относятся к услугам субъектов естественных монополий. </w:t>
      </w:r>
    </w:p>
    <w:p w14:paraId="69B419A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Тарифы на перевозку грузов (провозная плата) устанавливаются перевозчиками в рамках договорных отношений.</w:t>
      </w:r>
    </w:p>
    <w:p w14:paraId="3D482FB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Однако, в последнее время наблюдается негативная тенденция оттока массовых грузов с внутреннего водного транспорта на наземные виды транспорта. Существующие схемы перевозок массовых грузов, несмотря на расположение добывающих предприятий на берегу реки или в непосредственной близости от нее, зачастую создаются без участия внутреннего водного транспорта. </w:t>
      </w:r>
    </w:p>
    <w:p w14:paraId="155AA3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Уход традиционных для речного флота массовых грузов обусловлен такими объективными факторами, влияющими на конкурентоспособность внутреннего водного транспорта, как капиталоемкость судоходной деятельности и сезонность эксплуатации флота, наличие лимитирующих участков, препятствующих увеличению пропускной способности внутренних водных путей.</w:t>
      </w:r>
    </w:p>
    <w:p w14:paraId="51384A9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Кроме того, одной из причин сокращения перевозок инертных материалов внутренним водным транспортом является нестабильность рынка потребления.</w:t>
      </w:r>
    </w:p>
    <w:p w14:paraId="77927F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условиях ограниченной пропускной способности автомобильных и железных дорог наиболее полное использование потенциала внутренних водных путей может стать существенным фактором снижения расходов на инфраструктуру, уменьшения транспортной составляющей в цене товара, снижения негативного воздействия транспорта на окружающую среду.</w:t>
      </w:r>
    </w:p>
    <w:p w14:paraId="4A3F0D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повышения привлекательности услуг внутреннего водного транспорта для грузоотправителей необходимо решить ряд задач, включая разработку научно обоснованных механизмов, направленных на привлечение грузопотоков на внутренний водный транспорт с учетом его стратегических преимуществ, включение внутреннего водного транспорта в логистические цепи доставки грузов, развитие мультимодальных перевозок с участием внутреннего водного транспорта на основе использования мер государственного регулирования и государственной поддержки.</w:t>
      </w:r>
    </w:p>
    <w:p w14:paraId="6FFCBD6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Тарифы на перевозку пассажиров формируются под действием рыночных механизмов, за исключением случаев, когда законодательством Российской Федерации предусмотрено право субъектов Российской Федерации и органов местного самоуправления регулировать тарифы на транспортные маршруты в границах субъекта Российской Федерации. </w:t>
      </w:r>
    </w:p>
    <w:p w14:paraId="4DFBEA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Постановлением Правительства Российской Федерации от 07.03.1995 </w:t>
      </w:r>
      <w:r w:rsidRPr="004C78A4">
        <w:rPr>
          <w:rFonts w:ascii="Times New Roman" w:hAnsi="Times New Roman" w:cs="Times New Roman"/>
          <w:sz w:val="28"/>
          <w:szCs w:val="28"/>
        </w:rPr>
        <w:br/>
        <w:t xml:space="preserve">№ 239 «О мерах по упорядочению государственного регулирования цен (тарифов)» к числу услуг, по которым органы исполнительной власти субъектов Российской Федерации могут вводить государственное регулирование цен (тарифов), отнесены перевозки пассажиров и багажа морским и речным транспортом в городском и пригородном сообщении, речным транспортом в местном сообщении и на переправах, а также морским и речным транспортом в районах Крайнего Севера и приравненных к ним местностях. </w:t>
      </w:r>
    </w:p>
    <w:p w14:paraId="544E941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Регулирование тарифов осуществляется органами исполнительной власти субъектов Российской Федерации при условии возмещения убытков, возникающих вследствие регулирования, за счет соответствующих бюджетов субъектов Российской Федерации. </w:t>
      </w:r>
    </w:p>
    <w:p w14:paraId="659520D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указанных случаях органы исполнительной власти субъектов Российской Федерации или органы местного самоуправления самостоятельно принимают решения об организации маршрутов перевозки пассажиров внутренним водным транспортом в соответствии с потребностями населения и, соответственно, заключают договоры с судоходными компаниями.</w:t>
      </w:r>
    </w:p>
    <w:p w14:paraId="251A693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Пунктом 13 Плана мероприятий предусмотрена разработка транспортного баланса железнодорожного, трубопроводного, водного и автомобильного транспорта, а также выработка соответствующих механизмов регулирования межвидовой конкуренции в сфере грузовых и пассажирских перевозок в целях обеспечения сбалансированности рынка транспортных услуг, эффективного использования имеющихся транспортных мощностей, сбалансированного планирования их развития и взаимоувязки различных видов транспорта.</w:t>
      </w:r>
    </w:p>
    <w:p w14:paraId="0143664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настоящее время расчет транспортно-экономического баланса Российской Федерации (далее – ТЭБ) реализуется в составе информационно-аналитической системы регулирования на транспорте (далее – АСУ ТК). </w:t>
      </w:r>
    </w:p>
    <w:p w14:paraId="11B6AE7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августе 2018 г. в рамках АСУ ТК завершены работы по созданию функциональной задачи «Моделирование транспортных потоков». Моделирование грузовых, пассажирских и транспортных потоков необходимо для обоснования инвестиций в развитие транспортного комплекса Российской Федерации, а также выработки сбалансированной государственной политики в области транспорта в части развития элементов транспортной сети. </w:t>
      </w:r>
    </w:p>
    <w:p w14:paraId="284F154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Функциональная задача «Моделирование транспортных потоков» на уровне макромодели транспортной сети Российской Федерации позволяет осуществлять прогноз грузовых, пассажирских и транспортных потоков и уровней загрузки объектов транспортной инфраструктуры; выявлять «узкие места» в транспортной сети; проводить анализ влияния дополнительных объемов перевозок на возникновение новых «узких мест»; давать оценку резервов пропускных и провозных способностей объектов транспортной инфраструктуры; проводить сравнение альтернативных маршрутов перевозок грузов и пассажиров по критериям стоимости, времени, расстояния. </w:t>
      </w:r>
    </w:p>
    <w:p w14:paraId="7CF0C75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Кроме того, возможно проведение многокритериального анализа целесообразности и эффективности выполнения 2 перевозок грузов и пассажиров по заданным маршрутам конкретным видом транспорта; анализа перераспределения грузовых, пассажирских и транспортных потоков в результате реализации мероприятий по развитию объектов транспортной инфраструктуры; анализа изменения временных и стоимостных показателей основных маршрутов перевозок грузов и пассажиров в результате реализации мероприятий по развитию объектов транспортной инфраструктуры. </w:t>
      </w:r>
    </w:p>
    <w:p w14:paraId="3C1BEB5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учета данных трубопроводного транспорта при расчете ТЭБ подготовлены проект соглашения об информационном взаимодействии и проект регламента информационного взаимодействия между Минтрансом России и Минэнерго России в части сбора и обработки информации топливно-энергетического и нефтехимического комплекса средствами АСУ ТК из федеральной государственной информационной системы, содержащей информацию о состоянии и прогнозе развития топливно-энергетического комплекса Российской Федерации (ГИС ТЭК). </w:t>
      </w:r>
    </w:p>
    <w:p w14:paraId="162080F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Также в рамках работ по АСУ ТК предполагается модернизация функциональной задачи АСУ ТК «Формирование и ведение транспортно-экономического баланса Российской Федерации» с учетом трубопроводного транспорта, предусматривающая доработку методологии сбора данных, формирования и ведения ТЭБ с учетом трубопроводного транспорта; модернизацию информационного, программного обеспечения и процедур расчета ТЭБ; наполнение АСУ ТК данными по трубопроводному транспорту и перерасчет ТЭБ с их учетом за 2015, 2016, 2017 годы.</w:t>
      </w:r>
    </w:p>
    <w:p w14:paraId="77FF353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реализации Национального плана развития конкуренции в Российской Федерации на 2018-2020 годы, утвержденного Указом Президента Российской Федерации от 21.12.2017 № 618, а именно достижения показателей, предусмотренных подпунктами «б» и «в» пункта 1, Федеральным агентством морского и речного транспорта ведется работа по увеличению доли закупок, участниками которых являются субъекты малого предпринимательства и социально ориентированные некоммерческие организации.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доля таких закупок должна составлять не менее чем пятнадцать процентов совокупного годового объема закупок, при этом в 2018 году доля таких закупок, проведенных для обеспечения хозяйственной деятельности Федерального агентства морского и речного транспорта, в том числе – закупки научно-исследовательских работ, составила более 20% совокупного годового объема закупок. В случае невозможности проведения закупки среди указанных субъектов, при определении поставщика (подрядчика, исполнителя) в извещении об осуществлении закупки Федеральным агентством морского и речного транспорта устанавливается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не менее 30% от цены контракта. </w:t>
      </w:r>
    </w:p>
    <w:p w14:paraId="14A9DB33" w14:textId="77777777" w:rsidR="004C78A4" w:rsidRPr="004C78A4" w:rsidRDefault="004C78A4" w:rsidP="004C78A4">
      <w:pPr>
        <w:spacing w:after="0" w:line="240" w:lineRule="auto"/>
        <w:ind w:firstLine="709"/>
        <w:jc w:val="both"/>
        <w:rPr>
          <w:rFonts w:ascii="Times New Roman" w:hAnsi="Times New Roman" w:cs="Times New Roman"/>
          <w:strike/>
          <w:sz w:val="28"/>
          <w:szCs w:val="28"/>
        </w:rPr>
      </w:pPr>
      <w:r w:rsidRPr="004C78A4">
        <w:rPr>
          <w:rFonts w:ascii="Times New Roman" w:hAnsi="Times New Roman" w:cs="Times New Roman"/>
          <w:sz w:val="28"/>
          <w:szCs w:val="28"/>
        </w:rPr>
        <w:t>При проведении закупок товаров, работ, услуг, в целях реализации мероприятий, включенных в Федеральную адресную инвестиционную программу, связанных со строительством и развитием современной и эффективной инфраструктуры морского и внутреннего водного транспорта, обновлением судов ледокольного, аварийно-спасательного и технического флота, повышением уровня безопасности мореплавания в портах и судоходства на внутренних водных путях, а также оснащением акваторий и объектов морского и речного транспорта инженерно-техническими средствами обеспечения их защиты и безопасности объем привлечения таких субъектов устанавливается Застройщиками, подведомственными Федеральному агентству морского и речного транспорта организациями, определенными ответственными исполнителями по реализации указанных мероприятий в размере не менее 15% от цены контракта.</w:t>
      </w:r>
    </w:p>
    <w:p w14:paraId="534AE102"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7AA6ED61"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Автомобильный транспорт</w:t>
      </w:r>
    </w:p>
    <w:p w14:paraId="70ED926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на рынке перевозок автомобильным транспортом.</w:t>
      </w:r>
    </w:p>
    <w:p w14:paraId="65167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Рынки услуг по перевозкам пассажиров и грузов автомобильным транспортом являются потенциально высококонкурентными. </w:t>
      </w:r>
    </w:p>
    <w:p w14:paraId="29CBDFF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Анализ статистических данных показывает, что удельный вес малых предприятий и индивидуальных предпринимателей в общем количестве организаций, осуществляющих регулярные перевозки пассажиров автобусами по маршрутам общего пользования, составил порядка 56%. В коммерческих грузоперевозках около 70% рынка занимают представители малого бизнеса и индивидуальные предприниматели.</w:t>
      </w:r>
    </w:p>
    <w:p w14:paraId="0D5AEE2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2. Характеристика государственного участия в соответствующей отрасли экономики и его влияния на состояние конкуренции. </w:t>
      </w:r>
    </w:p>
    <w:p w14:paraId="747015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области автомобильного транспорта конкуренция достигла тех показателей, при которых в целях недопущения хаотичного развития рынка перевозок и недобросовестной борьбы перевозчиков за рынок перевозок необходимо упорядочение отношений в указанной сфере.</w:t>
      </w:r>
    </w:p>
    <w:p w14:paraId="0AE58D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Во исполнение поручения Президента Российской Федерации от 16.12.2017 № Пр-2480 и в целях внедрения риск-ориентированного подхода в сфере пассажирских перевозок автомобильным транспортом и установления категорий и индикаторов риска, необходимых для определения профилей риска перевозчиков, а также установления равных условий допуска к осуществлению перевозок пассажиров вне зависимости от вида перевозок, 30.10.2018 принят разработанный Минтрансом России Федеральный закон № 386-ФЗ «О внесении изменений в отдельные законодательные акты Российской Федерации в части совершенствования лицензирования деятельности по перевозкам пассажиров и иных лиц автобусами» (далее - Федеральный закон № 386-ФЗ).</w:t>
      </w:r>
    </w:p>
    <w:p w14:paraId="23672EA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положениями Федерального закона № 386-ФЗ с 01.03.</w:t>
      </w:r>
      <w:r>
        <w:rPr>
          <w:rFonts w:ascii="Times New Roman" w:hAnsi="Times New Roman" w:cs="Times New Roman"/>
          <w:sz w:val="28"/>
          <w:szCs w:val="28"/>
        </w:rPr>
        <w:t xml:space="preserve">2019 </w:t>
      </w:r>
      <w:r w:rsidRPr="004C78A4">
        <w:rPr>
          <w:rFonts w:ascii="Times New Roman" w:hAnsi="Times New Roman" w:cs="Times New Roman"/>
          <w:sz w:val="28"/>
          <w:szCs w:val="28"/>
        </w:rPr>
        <w:t>деятельность по перевозкам пассажиров и иных лиц автобусами, кроме перевозок, выполняемых автобусами пожарной охраны, скорой медицинской помощи, полиции, аварийно-спасательных служб, военной автомобильной инспекции,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а также перевозок, выполняемых автобусами без использования автомобильных дорог общего пользования, подлежит лицензированию.</w:t>
      </w:r>
    </w:p>
    <w:p w14:paraId="487594E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формирования единообразных стандартов и правил поведения на рынке услуг автовокзалов и автостанций, а также формирования единообразного подхода к установлению стоимости таких услуг Минтрансом России разработан проект федерального закона, предусматривающий внесение изменений в статью 34 Федерального закона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направленных на установление единого перечня обязательных платных услуг в зданиях и на территориях автовокзалов и автостанций, а также формирование правил взимания сборов за их оказание.</w:t>
      </w:r>
    </w:p>
    <w:p w14:paraId="61DF6D9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Предметом проекта федерального закона является наделение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полномочиями по определению:</w:t>
      </w:r>
    </w:p>
    <w:p w14:paraId="537D033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перечня платных услуг, которые в обязательном порядке должны оказываться пассажирам и перевозчикам в зданиях и на территориях объекта транспортной инфраструктуры за счет юридического лица, индивидуального предпринимателя или участников договора простого товарищества, которым предоставлено право осуществлять регулярные перевозки по маршруту, в состав которого включены данные объекта транспортной инфраструктуры (далее - перечень обязательных платных услуг);</w:t>
      </w:r>
    </w:p>
    <w:p w14:paraId="7DF227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правил формирования тарифов и сборов, в том числе их перечень, на обязательные платные услуги, содержащиеся в перечне обязательных платных услуг.</w:t>
      </w:r>
    </w:p>
    <w:p w14:paraId="4DF0D21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Правительство Российской Федерации 14.03.2019 одобрило законопроект для направления в Государственную Думу Федерального Собрания Российской Федерации.</w:t>
      </w:r>
    </w:p>
    <w:p w14:paraId="2AB84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Реализация принятых Минтрансом России в период 2017-2018 годы нормативных правовых актов в области международных перевозок позволила усилить контроль за работой иностранных перевозчиков и повысить уровень конкуренции российских перевозчиков на рынке международных автотранспортных услуг.</w:t>
      </w:r>
    </w:p>
    <w:p w14:paraId="7A74576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Объемы международных автомобильных перевозок грузов на российском рынке за 2018 год возросли на 4,9% и составили 32,6 млн. тонн, при этом по экспорту - обеспечен прирост 11,7%. Доля объемов перевозок экспортных грузов в общих объемах увеличилась с 46 до 49 %. Российские перевозчики в 2018 году выполнили объем перевозок в размере 14,7 млн. тонн, их темпы прироста составили 6,5%, при том, что иностранные паритетные перевозчики смогли увеличить объемы только на 3,2 %. Соответственно, доля российского транспорта на рынке выросла с 44,4 до 45,1%, а на перевозках со странами Европейского союза - составила 52,5%. В рамках Евразийского экономического союза (далее - ЕАЭС) продолжается работа по формированию общего рынка транспортных услуг и созданию равных условий работы автотранспортных предприятий.</w:t>
      </w:r>
    </w:p>
    <w:p w14:paraId="5C4B487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Решением Высшего Евразийского экономического совета от 26.12.2016 № 19 утверждены Основные направления транспортной политики, что позволило объединить усилия и приступить к системной работе, направленной на достижение задачи, поставленной Президентами государств-членов ЕАЭС - снятие имеющихся ограничений на перевозки до 2025 г., в том числе на автомобильном транспорте.</w:t>
      </w:r>
    </w:p>
    <w:p w14:paraId="4F27E2E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развитие положений Основных направлений Решениями Евразийского межправительственного совета от 14.08.2017 № 2 и от 25.10.2017 № 3 утверждены планы мероприятий («дорожные карты») по реализации Основных направлений, предусматривающие конкретные меры по созданию в ЕАЭС единого транспортного пространства и общего рынка транспортных услуг.</w:t>
      </w:r>
    </w:p>
    <w:p w14:paraId="4838CAC7" w14:textId="77777777" w:rsid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Одновременно в рамках проводимой Минтрансом России работы отмечено наличие перспектив и потенциала сотрудничества в области автомобильного транспорта на евразийском пространстве с использованием Соглашения между правительствами государств-членов Шанхайской организации сотрудничества о создании благоприятных условий для международных автомоб</w:t>
      </w:r>
      <w:r>
        <w:rPr>
          <w:rFonts w:ascii="Times New Roman" w:hAnsi="Times New Roman" w:cs="Times New Roman"/>
          <w:sz w:val="28"/>
          <w:szCs w:val="28"/>
        </w:rPr>
        <w:t>ильных перевозок от 12.09.2014.</w:t>
      </w:r>
    </w:p>
    <w:p w14:paraId="45C80E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При осуществлении коммерческих автомобильных перевозок грузов на внутрироссийском рынке являются актуальными вопросы внедрения электронной транспортной накладной с учетом современных направлений экономического развития. Для перехода на безбумажное оформление внутрироссийских перевозок Минтрансом России разработан и проходит внутригосударственные процедуры проект постановления Правительства Российской Федерации, предусматривающий внесение изменений в Правила перевозок грузов автомобильным транспортом, утвержденные постановлением Правительства Российской Федерации от 15.04.2011 № 272, в части включения положений о возможности использования при перевозках грузов автомобильным транспортом электронной транспортной накладной наравне с транспортной накладной на бумажном носителе.</w:t>
      </w:r>
    </w:p>
    <w:p w14:paraId="26E9FE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Реализуется комплекс мер для внедрения современных информационных технологий при осуществлении международных автомобильных перевозок грузов.</w:t>
      </w:r>
    </w:p>
    <w:p w14:paraId="79E80EB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частности, постановлением Правительства Российской Федерации от 30.01.2018 № 83 Российская Федерация присоединилась к Дополнительному протоколу к Конвенции о договоре международной перевозки грузов, касающейся электронной накладной. В настоящее время Минтрансом России при содействии Международного союза автомобильного транспорта прорабатываются вопросы организации совместного пилотного применения электронных накладных на пробных международных маршрутах.</w:t>
      </w:r>
    </w:p>
    <w:p w14:paraId="568893E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Наряду с этим в истекший период осуществлялась работа по:</w:t>
      </w:r>
    </w:p>
    <w:p w14:paraId="509E416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выработке мер по контролю за перемещением по территории Евразийского экономического союза товаров, в отношении которых Российской Федерацией применяются специальные экономические меры;</w:t>
      </w:r>
    </w:p>
    <w:p w14:paraId="624019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снятию барьеров и ограничению по доступу на внутренний рынок государств-членов ЕАЭС;</w:t>
      </w:r>
    </w:p>
    <w:p w14:paraId="50280AC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совершенствованию положений Договора о ЕАЭС;</w:t>
      </w:r>
    </w:p>
    <w:p w14:paraId="2B333B9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реализации Основных направлений развития механизма «единого окна» в системе регулирования внешнеэкономической деятельности;</w:t>
      </w:r>
    </w:p>
    <w:p w14:paraId="6781863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внедрение технических регламентов ЕАЭС;</w:t>
      </w:r>
    </w:p>
    <w:p w14:paraId="6F05CF14"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участие в работе по подготовке проектов соглашений между ЕАЭС и третьими странами в части, касающейся вопросов транспорта.</w:t>
      </w:r>
    </w:p>
    <w:p w14:paraId="4CE624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3. Мероприятия, направленные на оптимизацию процедур государственных закупок.</w:t>
      </w:r>
    </w:p>
    <w:p w14:paraId="341FCEE1"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Во исполнение пункта 3 раздела XVII «Транспортные услуги»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в целях оптимизации процедур государственных закупок в сфере автомобильного транспорта, урегулирования порядка проведения государственных (муниципальных) закупок уполномоченными органами исполнительной власти субъектов Российской Федерации и органами местного самоуправления издан приказ Минтранса России от 29.12.2018 № 482 «Об утверждении типовых контрактов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и информационных карт к типовым контрактам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w:t>
      </w:r>
    </w:p>
    <w:p w14:paraId="43505CDD" w14:textId="77777777" w:rsidR="004C78A4" w:rsidRPr="004C78A4" w:rsidRDefault="004C78A4" w:rsidP="004C78A4">
      <w:pPr>
        <w:widowControl w:val="0"/>
        <w:tabs>
          <w:tab w:val="left" w:pos="1974"/>
          <w:tab w:val="right" w:pos="5847"/>
          <w:tab w:val="right" w:pos="8074"/>
          <w:tab w:val="right" w:pos="10225"/>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После официального опубликования приказа Министерства транспорта Российской Федерации от 08.12.2017 № 513 «Об утверждении порядка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в адрес Минтранса России поступил ряд замечаний и предложений органов исполнительной власти субъектов Российской Федерации и представителей транспортного сообщества, на основании анализа которых в 2018 году подготовлен проект приказа Минтранса России «О внесении изменений в Порядок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утвержденный приказом Министерства транспорта Российской  Федерации от 08.12.2017 № 513» (далее - проект приказа, Порядок)</w:t>
      </w:r>
      <w:r>
        <w:rPr>
          <w:rFonts w:ascii="Times New Roman" w:hAnsi="Times New Roman" w:cs="Times New Roman"/>
          <w:sz w:val="28"/>
          <w:szCs w:val="28"/>
        </w:rPr>
        <w:t>.</w:t>
      </w:r>
    </w:p>
    <w:p w14:paraId="7D075CED" w14:textId="77777777" w:rsidR="004C78A4" w:rsidRPr="004C78A4" w:rsidRDefault="004C78A4" w:rsidP="004C78A4">
      <w:pPr>
        <w:widowControl w:val="0"/>
        <w:tabs>
          <w:tab w:val="left" w:pos="606"/>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Согласно пункту 8 Правил подготовки нормативных правовых актов федеральных органов исполнительной власти и их государственной регистрации, утвержденных постановлением Правительства Российской Федерации от 13.08.1997 № 1009, если при подготовке нормативного правового акта выявилась необходимость внесения существенных изменений и дополнений в ранее изданные нормативные правовые акты или наличие по одному и тому же вопросу несколько актов, то в целях их упорядочения разрабатывается единый новый акт.</w:t>
      </w:r>
    </w:p>
    <w:p w14:paraId="1E84FDB7"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Проект приказа направлен на устранение замечаний технического характера и уточнения ранее данных определений.</w:t>
      </w:r>
    </w:p>
    <w:p w14:paraId="6F0614A4"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Кроме того, проектом приказа уточнены значения базовых удельных расходов (на содержание службы движения, контактно-кабельной сети, тяговых подстанций, трамвайного пути, на шины, на запасные части и материалы).</w:t>
      </w:r>
    </w:p>
    <w:p w14:paraId="5752DC80"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20E1FD5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Дорожное хозяйство</w:t>
      </w:r>
    </w:p>
    <w:p w14:paraId="18C06FC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в сфере дорожного хозяйства.</w:t>
      </w:r>
    </w:p>
    <w:p w14:paraId="298C431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договоров на выполнение работ, связанных с дорожной деятельностью, с использованием средств бюджетов бюджетной системы Российской Федерации осуществляется в соответствии с:</w:t>
      </w:r>
    </w:p>
    <w:p w14:paraId="04F591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Федеральный закон от 05.04.2013 № 44-ФЗ);</w:t>
      </w:r>
    </w:p>
    <w:p w14:paraId="5BE0BF0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18.07.2011 № 223-ФЗ «О закупках товаров, работ услуг отдельными видами юридических л</w:t>
      </w:r>
      <w:r>
        <w:rPr>
          <w:rFonts w:ascii="Times New Roman" w:hAnsi="Times New Roman" w:cs="Times New Roman"/>
          <w:sz w:val="28"/>
          <w:szCs w:val="28"/>
        </w:rPr>
        <w:t xml:space="preserve">иц» (далее – Федеральный закон </w:t>
      </w:r>
      <w:r w:rsidRPr="004C78A4">
        <w:rPr>
          <w:rFonts w:ascii="Times New Roman" w:hAnsi="Times New Roman" w:cs="Times New Roman"/>
          <w:sz w:val="28"/>
          <w:szCs w:val="28"/>
        </w:rPr>
        <w:t>от 18.07.2011 № 223-ФЗ);</w:t>
      </w:r>
    </w:p>
    <w:p w14:paraId="580C6A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21.07.2005 № 115-ФЗ «О концессионных соглашениях» (далее – Федеральный закон от 21.07.2005 № 115-ФЗ).</w:t>
      </w:r>
    </w:p>
    <w:p w14:paraId="6F57A74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Подавляющее большинство заказчиков работ, связанных с дорожной деятельностью, осуществляют заключение контрактов в соответствии с требованиями Федерального закона от 05.04.2013 № 44-ФЗ.</w:t>
      </w:r>
    </w:p>
    <w:p w14:paraId="10B920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контрактов в соответствии с требованиями Федерального закона от 18.07.2011 № 223-ФЗ осуществляется Государственной компанией «Российские автомобильные дороги» (далее – Государственная компания). При этом требования данного закона носят «рамочный» характер и устанавливают общие принципы осуществления закупок, закупочная деятельность Государственной компании регламентируется принимаемым в соответствии с указанным федеральным законом положением о закупке.</w:t>
      </w:r>
    </w:p>
    <w:p w14:paraId="29198E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Также на федеральном уровне – Государственной компанией, на региональном уровне – уполномоченными органами исполнительной власти и организациями реализуется ряд инвестиционных проектов, направленных на развитие автомобильных дорог и структурированных в рамках концессионных соглашений в соответствии с Федеральным законом от 21.07.2005 № 115-ФЗ. </w:t>
      </w:r>
    </w:p>
    <w:p w14:paraId="548B243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По результатам 2018 года Федеральным дорожным агентством </w:t>
      </w:r>
      <w:r w:rsidRPr="004C78A4">
        <w:rPr>
          <w:rFonts w:ascii="Times New Roman" w:eastAsia="Times New Roman" w:hAnsi="Times New Roman" w:cs="Times New Roman"/>
          <w:sz w:val="28"/>
          <w:szCs w:val="28"/>
          <w:lang w:eastAsia="ru-RU"/>
        </w:rPr>
        <w:br/>
        <w:t xml:space="preserve">и подведомственными ему федеральными казенными учреждениями были проведены 4664 конкурентные процедуры определения поставщика (подрядчика, исполнителя), в том числе открытый аукцион в электронной форме – 2701, открытый конкурс – 1776. По результатам таких процедур заключен 4361 государственный контракт. При этом доля реализованных процедур определения поставщика (подрядчика, исполнителя), от запланированных в 2018 году процедур составляет 99,00%. Доля конкурентных процедур в общем объеме закупок в стоимостном выражении </w:t>
      </w:r>
      <w:r w:rsidRPr="004C78A4">
        <w:rPr>
          <w:rFonts w:ascii="Times New Roman" w:eastAsia="Times New Roman" w:hAnsi="Times New Roman" w:cs="Times New Roman"/>
          <w:sz w:val="28"/>
          <w:szCs w:val="28"/>
          <w:lang w:eastAsia="ru-RU"/>
        </w:rPr>
        <w:br/>
        <w:t>в 2018 году составила 99,34%.</w:t>
      </w:r>
    </w:p>
    <w:p w14:paraId="78F8D04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Среднее количество заявок, поданных на участие в конкурентных способах определения поставщика (подрядчика, исполнителя) Федерального дорожного агентства и подведомственных учреждений за 2018 год, составило 2,2 заявки, что может свидетельствовать о невысокой конкуренции в сфере дорожного хозяйства.</w:t>
      </w:r>
    </w:p>
    <w:p w14:paraId="7C5A46F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информации Федерального дорожного агентства в 2018 году участниками закупок была подана 1101 жалоба, из них 676 признаны ФАС России и его территориальными органами необоснованными, что составляет 61,40% от общего числа жалоб, поданных участниками закупок.</w:t>
      </w:r>
    </w:p>
    <w:p w14:paraId="2E62885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 состоянию на 31.12.2018 в соответствии с требованиями статьи </w:t>
      </w:r>
      <w:r w:rsidRPr="004C78A4">
        <w:rPr>
          <w:rFonts w:ascii="Times New Roman" w:hAnsi="Times New Roman" w:cs="Times New Roman"/>
          <w:sz w:val="28"/>
          <w:szCs w:val="28"/>
        </w:rPr>
        <w:br/>
        <w:t>4 Федерального закона от 18.07.2011 № 223-ФЗ и постановления Правительства Российской Федерации от 31.10.2014 № 1132 «О порядке ведения реестра договоров, заключенных заказчиками по результатам закупки» Государственной компанией проведено 536 закупок (требующих публикации в ЕИС).</w:t>
      </w:r>
    </w:p>
    <w:p w14:paraId="15164F0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Государственной компанией в 2018 году было заключено договоров по результатам закупок - 963 штуки на сумму 35,63 млрд. рублей.</w:t>
      </w:r>
    </w:p>
    <w:p w14:paraId="13E1661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Всего Государственной компанией заключено договоров с субъектами малого и среднего предпринимательства (далее - СМСП) - 311 штук на сумму 7,87 млрд. рублей (23,13%), из них:</w:t>
      </w:r>
    </w:p>
    <w:p w14:paraId="4916C8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только СМСП - 212 шт. на сумму 7,154 млрд. рублей (21,02%);</w:t>
      </w:r>
    </w:p>
    <w:p w14:paraId="0A1C03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любые лица - 99 шт. на сумму 0,72 млрд. рублей (2,12 %).</w:t>
      </w:r>
    </w:p>
    <w:p w14:paraId="6FB3FAF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Генеральными подрядчиками по договорам с Государственной компанией заключено договоров с СМСП (субподряд 1-ого уровня), в том числе в рамках долгосрочных инвестиционных соглашений - 122 шт. на сумму 6,66 млрд. рублей (19,5 %).</w:t>
      </w:r>
    </w:p>
    <w:p w14:paraId="66AFD97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составил 5,57 млрд. рублей (16,36%).</w:t>
      </w:r>
    </w:p>
    <w:p w14:paraId="03361D9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у СМСП составил 5,05 млрд. рублей (14,84%).</w:t>
      </w:r>
    </w:p>
    <w:p w14:paraId="4E19292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Экономия по конкурентным процедурам, проведенным в 2018 году, составила 0,289 млрд. рублей.</w:t>
      </w:r>
    </w:p>
    <w:p w14:paraId="364BAE9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целом Государственной компанией за 2018 год заключено 1727 договора (включая договоры на субаренду, сервитут, выкуп, изъятие земельных участков, договоры на реализацию, договоры компенсации убытков) и 953 дополнительных соглашений к ранее заключенным договорам.</w:t>
      </w:r>
    </w:p>
    <w:p w14:paraId="10756193" w14:textId="77777777" w:rsidR="004C78A4" w:rsidRPr="004C78A4" w:rsidRDefault="004C78A4" w:rsidP="004C78A4">
      <w:pPr>
        <w:widowControl w:val="0"/>
        <w:shd w:val="clear" w:color="auto" w:fill="FFFFFF"/>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В 2018 году Государственной компании была вручена награда в категории «Гарантированная прозрачность» по итогам «Национального рейтинга прозрачности закупочной деятельности государственных структур и коммерческих компаний 2018 года». Эта награда стала для Государственной компании седьмой подряд.</w:t>
      </w:r>
    </w:p>
    <w:p w14:paraId="022CF6E8" w14:textId="77777777" w:rsidR="004C78A4" w:rsidRPr="004C78A4" w:rsidRDefault="004C78A4" w:rsidP="004C78A4">
      <w:pPr>
        <w:widowControl w:val="0"/>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 xml:space="preserve">Национальный рейтинг прозрачности закупок в 2018 году был составлен </w:t>
      </w:r>
      <w:r w:rsidRPr="004C78A4">
        <w:rPr>
          <w:rFonts w:ascii="Times New Roman" w:eastAsia="Times New Roman" w:hAnsi="Times New Roman" w:cs="Times New Roman"/>
          <w:sz w:val="28"/>
          <w:szCs w:val="28"/>
        </w:rPr>
        <w:br/>
        <w:t>за период с 01.07.2017 по 30.06.2018. Участниками рейтинга прозрачности закупок стали 372 ведомства, предприятия, региона и города. Все они были разделены на пять групп: государственные закупщики (федеральные и региональные), муниципальные закупщики, унитарные предприятия, а также заказчики, регулируемые Федеральным законом от 18.07.2011 № 223-ФЗ.</w:t>
      </w:r>
    </w:p>
    <w:p w14:paraId="1208E6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Государственная компания при осуществлении закупок использует собственную электронную торговую площадку, которая создавалась с целью автоматизации процесса планирования, организации, размещения, координации и контроля закупок самой Государственной компании и ее дочерних обществ.</w:t>
      </w:r>
    </w:p>
    <w:p w14:paraId="7A6FE8F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требованиями, установленными Федеральным законом от 18.07.2011 № 223-ФЗ Государственная компания размещает информацию о закупках в Единой информационной системе в сфере закупок www.zakupki.gov.ru и на интернет-сайте Государственной компании www.russianhighways.ru</w:t>
      </w:r>
    </w:p>
    <w:p w14:paraId="3248DF5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Дополнительно Государственная компания осуществляет размещение информации о закупках и проводит торги в электронной форме на сайте электронной торговой площадки www.etp-avtodor.ru. Информация о проведении конкурентных процедур на право заключения концессионных соглашений размещается на сайте www.torgi.gov.ru, также на сайте Государственной компании.</w:t>
      </w:r>
    </w:p>
    <w:p w14:paraId="30ADBD0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упрощения доступа субъектов малого и среднего предпринимательства инновационной направленности Государственной компанией разработана «система одного окна».</w:t>
      </w:r>
    </w:p>
    <w:p w14:paraId="143A02B3" w14:textId="77777777" w:rsidR="004C78A4" w:rsidRPr="004C78A4" w:rsidRDefault="004C78A4" w:rsidP="004C78A4">
      <w:pPr>
        <w:widowControl w:val="0"/>
        <w:tabs>
          <w:tab w:val="left" w:pos="709"/>
        </w:tabs>
        <w:spacing w:after="0" w:line="240" w:lineRule="auto"/>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ab/>
        <w:t xml:space="preserve">Государственной компанией на постоянной основе проводятся мероприятия по увеличению объёма закупок у СМСП, проводимых в соответствии с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14:paraId="10864D3E" w14:textId="77777777" w:rsidR="004C78A4" w:rsidRPr="004C78A4" w:rsidRDefault="004C78A4" w:rsidP="004C78A4">
      <w:pPr>
        <w:widowControl w:val="0"/>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При проведении конкурсных процедур, локальными нормативными актами Государственной компании, для СМСП установлены специальные условия:</w:t>
      </w:r>
    </w:p>
    <w:p w14:paraId="0B4E108E" w14:textId="77777777" w:rsidR="004C78A4" w:rsidRPr="004C78A4" w:rsidRDefault="004C78A4" w:rsidP="004C78A4">
      <w:pPr>
        <w:widowControl w:val="0"/>
        <w:shd w:val="clear" w:color="auto" w:fill="FFFFFF"/>
        <w:tabs>
          <w:tab w:val="left" w:pos="892"/>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максимальный срок оплаты поставленных товаров (выполненных работ, оказанных услуг) по договору (отдельному этапу договора) не более 30 календарных дней со дня исполнения обязательств по договору (отдельному этапу договора);</w:t>
      </w:r>
    </w:p>
    <w:p w14:paraId="4CDDC092"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если договор заключается с СМСП - участником Программы партнерства между Государственной компанией, иными обществами, входящими в группу компаний «Автодор», и СМСП, и таким договором предусмотрена выплата аванса, размер аванса устанавливается не менее 30 процентов от суммы договора;</w:t>
      </w:r>
    </w:p>
    <w:p w14:paraId="72318896"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установления требования к обеспечению исполнения договора, размер такого обеспечения не превышает 5 процентов начальной (максимальной) цены договора (цены лота), если договором не предусмотрена выплата аванса, либо устанавливается в размере аванса, если договором предусмотрена выплата аванса;</w:t>
      </w:r>
    </w:p>
    <w:p w14:paraId="7151E3BE"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xml:space="preserve">- обязательство о привлечении к исполнению договоров субподрядчиков (соисполнителей) первого уровня из числа субъектов малого и среднего предпринимательства в объеме не менее 9 (девяти) процентов от стоимости договора. </w:t>
      </w:r>
    </w:p>
    <w:p w14:paraId="6D9AD699" w14:textId="77777777" w:rsidR="004C78A4" w:rsidRPr="004C78A4" w:rsidRDefault="004C78A4" w:rsidP="004C78A4">
      <w:pPr>
        <w:widowControl w:val="0"/>
        <w:shd w:val="clear" w:color="auto" w:fill="FFFFFF"/>
        <w:tabs>
          <w:tab w:val="left" w:pos="709"/>
        </w:tabs>
        <w:spacing w:after="0" w:line="252" w:lineRule="auto"/>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ab/>
        <w:t>В 2018 году увеличен объем договоров, заключаемых с СМСП по сравнению с 2017 годом более, чем на 10%.</w:t>
      </w:r>
    </w:p>
    <w:p w14:paraId="68279F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приведения в соответствие с требованиями действующего законодательства о закупках и совершенствования закупочной деятельности наблюдательным советом Государственной компании 26.12.2018 утверждено новое положение о закупке, распространяющее свое действие на всю группу компаний «Автодор». Применение новых правил проведения конкурентных процедур будет способствовать снижению доли несостоявшихся закупок. В Положении о закупке, в том числе:</w:t>
      </w:r>
    </w:p>
    <w:p w14:paraId="530D65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сокращен перечень оснований для осуществления закупок неконкурентными способами;</w:t>
      </w:r>
    </w:p>
    <w:p w14:paraId="4405612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установлены новые требования к сохранению конфиденциальности информации об участнике закупки до подведения результатов конкурентной закупки, что повлекло за собой пересмотр порядка и последовательности проведения этапов закупки;</w:t>
      </w:r>
    </w:p>
    <w:p w14:paraId="1D6CC5F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информация о ценовых предложениях участников закупки будет доступна заказчику только при формировании итогового протокола, проведение сопоставления ценовых предложений при проведении электронных конкурентных закупок обеспечивается оператором ЭТП, соответственно, учет сопоставления ценовых предложений возможен только на стадии подведения итогов конкурсов, после проведения оценки по критериям и квалификационного отбора;</w:t>
      </w:r>
    </w:p>
    <w:p w14:paraId="70F2B84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 детально описан порядок проведения закупки только среди СМСП, </w:t>
      </w:r>
      <w:r w:rsidRPr="004C78A4">
        <w:rPr>
          <w:rFonts w:ascii="Times New Roman" w:hAnsi="Times New Roman" w:cs="Times New Roman"/>
          <w:sz w:val="28"/>
          <w:szCs w:val="28"/>
        </w:rPr>
        <w:br/>
        <w:t>в частности установлен перечень и требования к этапам таких конкурентных процедур, установлено требование о проведении конкурентных процедур только среди СМСП на площадках отобранных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2A94035D"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юридически закреплена возможность для дочерних обществ Государственной компании и их дочерних обществ присоединиться к положению о закупке Государственной компании.</w:t>
      </w:r>
    </w:p>
    <w:p w14:paraId="0B51C79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 целью предотвращения нарушений антимонопольного законодательства и законодательства о закупках при осуществлении своей деятельности, Государственной компанией было принято решение о внедрении системы антимонопольного комплаенса, в рамках которой в 2017 году утвержден корпоративный стандарт группы компаний «Автодор» – Антимонопольная политика. В 2018 году система антимонопольного комплаенса функционировала в соответствии с задачами, установленными в указанном корпоративном стандарте.</w:t>
      </w:r>
    </w:p>
    <w:p w14:paraId="5B6316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акцентирования внимания участников закупки на обязательность соблюдения требований антимонопольного законодательства при участии в закупках Государственной компании скорректирована форма заявки на участие в закупке, в соответствии с которой участник закупки, подписывая заявку, подтверждает, что он ознакомлен с положениями Федерального закона от 26.07.2006 № 135-ФЗ «О защите конкуренции», в том числе со статьями 4, 8, 11, 11.1, 12, 13 и главой 2.1 указанного федерального закона, с положениями статей 14.32 и 14.33 Кодекса Российской Федерации об административных правонарушениях. Участник закупки обязуется действовать с учетом указанных требований законодательства.</w:t>
      </w:r>
    </w:p>
    <w:p w14:paraId="0375E30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договоры, заключаемые Государственной компанией, включаются антимонопольные положения.</w:t>
      </w:r>
    </w:p>
    <w:p w14:paraId="5C92FB0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p>
    <w:p w14:paraId="0DB41415"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w:t>
      </w:r>
      <w:r w:rsidRPr="004C78A4">
        <w:rPr>
          <w:rFonts w:ascii="Times New Roman" w:eastAsia="Times New Roman" w:hAnsi="Times New Roman" w:cs="Times New Roman"/>
          <w:b/>
          <w:color w:val="000000"/>
          <w:sz w:val="28"/>
          <w:szCs w:val="28"/>
          <w:lang w:eastAsia="ru-RU" w:bidi="ru-RU"/>
        </w:rPr>
        <w:t xml:space="preserve"> Сведения об участии Министерства транспорта Российской Федерации в реализации Национального плана развития конкуренции в Российской Федерации на 2018 - 2020 годы, утвержденного Указом Президента Российской Федерации от 21.12.2017 № 618</w:t>
      </w:r>
      <w:r w:rsidRPr="004C78A4">
        <w:rPr>
          <w:rFonts w:ascii="Times New Roman" w:eastAsia="Times New Roman" w:hAnsi="Times New Roman" w:cs="Times New Roman"/>
          <w:color w:val="000000"/>
          <w:sz w:val="28"/>
          <w:szCs w:val="28"/>
          <w:lang w:eastAsia="ru-RU" w:bidi="ru-RU"/>
        </w:rPr>
        <w:t xml:space="preserve"> (раздел 1.2 структуры Доклада) (далее - Национальный план), были направлены в Федеральную антимонопольную службу письмом от 01.03.2019 № ИА-Д12-23/3023.</w:t>
      </w:r>
    </w:p>
    <w:p w14:paraId="50731E6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B61444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3. </w:t>
      </w:r>
      <w:r w:rsidRPr="004C78A4">
        <w:rPr>
          <w:rFonts w:ascii="Times New Roman" w:eastAsia="Times New Roman" w:hAnsi="Times New Roman" w:cs="Times New Roman"/>
          <w:b/>
          <w:color w:val="000000"/>
          <w:sz w:val="28"/>
          <w:szCs w:val="28"/>
          <w:lang w:eastAsia="ru-RU" w:bidi="ru-RU"/>
        </w:rPr>
        <w:t xml:space="preserve">Предложения по снижению уровня административных барьеров, препятствующих развитию конкуренции, в соответствии с подпунктом «а» пункта 2 Национального плана, </w:t>
      </w:r>
      <w:r w:rsidRPr="004C78A4">
        <w:rPr>
          <w:rFonts w:ascii="Times New Roman" w:eastAsia="Times New Roman" w:hAnsi="Times New Roman" w:cs="Times New Roman"/>
          <w:color w:val="000000"/>
          <w:sz w:val="28"/>
          <w:szCs w:val="28"/>
          <w:lang w:eastAsia="ru-RU" w:bidi="ru-RU"/>
        </w:rPr>
        <w:t xml:space="preserve">в соответствующей сфере/отрасли деятельности, в том числе 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Министерства транспорта Российской Федерации, и иных факторах, ограничивающих конкуренцию в соответствующей отрасли/сфере деятельности были направлены в Федеральную антимонопольную службу письмом от 09.11.2018 </w:t>
      </w:r>
      <w:r w:rsidRPr="004C78A4">
        <w:rPr>
          <w:rFonts w:ascii="Times New Roman" w:eastAsia="Times New Roman" w:hAnsi="Times New Roman" w:cs="Times New Roman"/>
          <w:color w:val="000000"/>
          <w:sz w:val="28"/>
          <w:szCs w:val="28"/>
          <w:lang w:eastAsia="ru-RU" w:bidi="ru-RU"/>
        </w:rPr>
        <w:br/>
        <w:t>№ ИА-23/16612.</w:t>
      </w:r>
    </w:p>
    <w:p w14:paraId="0D855E3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Дополнительно сообщаем, что одним из административных барьеров, ограничивающих доступ поставщиков к закупкам в сфере дорожного хозяйства, является практическое применение постановления Правительства Российской Федерации от 4 февраля 2015 г. №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 (далее  - Постановление № 99) в части установления дополнительных требований к участникам закупки, предметом которой является ремонт или содержание автомобильных дорог. </w:t>
      </w:r>
    </w:p>
    <w:p w14:paraId="507C38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соответствии с Постановлением № 99 участникам закупки, предметом которой является ремонт или содержание автомобильных дорог, необходимо представить подтверждение исполнения одного контракта за последние три года на выполнение исключительно работ по строительству и (или) реконструкции, и (или) капитальному ремонту автомобильных дорог. При этом подтверждение опыта исполнения контракта (договора) выполнением иных строительных работ (например, по ремонту или содержанию) не допускается.</w:t>
      </w:r>
    </w:p>
    <w:p w14:paraId="4898FBC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итоге участники закупки, предметом которой является ремонт или содержание автомобильной дороги, обязаны иметь опыт работ по строительству, реконструкции или капитальному ремонту автомобильных дорог.</w:t>
      </w:r>
    </w:p>
    <w:p w14:paraId="2FFF003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Внесение изменений в Постановление № 99 может способствовать росту числа заявок участников закупки, предметом которой является ремонт или содержание автомобильных дорог, что, в свою очередь, создаст благоприятные условия для создания конкуренции в сфере дорожного хозяйства.</w:t>
      </w:r>
    </w:p>
    <w:p w14:paraId="64B732E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3291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bidi="ru-RU"/>
        </w:rPr>
        <w:t xml:space="preserve">4. </w:t>
      </w:r>
      <w:r w:rsidRPr="004C78A4">
        <w:rPr>
          <w:rFonts w:ascii="Times New Roman" w:eastAsia="Times New Roman" w:hAnsi="Times New Roman" w:cs="Times New Roman"/>
          <w:b/>
          <w:color w:val="000000"/>
          <w:sz w:val="28"/>
          <w:szCs w:val="28"/>
          <w:lang w:eastAsia="ru-RU" w:bidi="ru-RU"/>
        </w:rPr>
        <w:t xml:space="preserve">Информация об исполнении в 2018 году пунктов, закрепленных за Министерством транспорта Российской Федерации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 </w:t>
      </w:r>
      <w:r w:rsidRPr="004C78A4">
        <w:rPr>
          <w:rFonts w:ascii="Times New Roman" w:eastAsia="Times New Roman" w:hAnsi="Times New Roman" w:cs="Times New Roman"/>
          <w:sz w:val="28"/>
          <w:szCs w:val="28"/>
          <w:lang w:eastAsia="ru-RU"/>
        </w:rPr>
        <w:t>была направлена в Федеральную антимонопольную службу письмом от 01.03.2019 № ИА-Д12-23/3023.</w:t>
      </w:r>
    </w:p>
    <w:p w14:paraId="3959A2C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3EC6A74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w:t>
      </w:r>
      <w:r w:rsidRPr="004C78A4">
        <w:rPr>
          <w:rFonts w:ascii="Times New Roman" w:eastAsia="Times New Roman" w:hAnsi="Times New Roman" w:cs="Times New Roman"/>
          <w:b/>
          <w:color w:val="000000"/>
          <w:sz w:val="28"/>
          <w:szCs w:val="28"/>
          <w:lang w:eastAsia="ru-RU" w:bidi="ru-RU"/>
        </w:rPr>
        <w:t xml:space="preserve"> Сведения о количестве, мерах поддержки субъектов малого и среднего предпринимательства в сферах/отраслях в соответствии с компетенцией федерального органа исполнительной власти.</w:t>
      </w:r>
    </w:p>
    <w:p w14:paraId="660B1ED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Количество субъектов малого и среднего предпринимательства (без индивидуальных предпринимателей) в транспортном комплексе оценивается </w:t>
      </w:r>
      <w:r w:rsidRPr="004C78A4">
        <w:rPr>
          <w:rFonts w:ascii="Times New Roman" w:eastAsia="Times New Roman" w:hAnsi="Times New Roman" w:cs="Times New Roman"/>
          <w:color w:val="000000"/>
          <w:sz w:val="28"/>
          <w:szCs w:val="28"/>
          <w:lang w:eastAsia="ru-RU" w:bidi="ru-RU"/>
        </w:rPr>
        <w:br/>
        <w:t>в 2018 году на уровне 178,9 тыс. единиц (101,9% к уровню 2017 г.), среднесписочная численность работающих – 712,7 тыс. человек (102,1% к уровню 2017 г).</w:t>
      </w:r>
    </w:p>
    <w:p w14:paraId="53ABCB3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Министерстве транспорта Российской Федерации функционирует Координационный совет по развитию малого и среднего предпринимательства в сфере транспорта, основными задачами которого, в соответствии с приказом</w:t>
      </w:r>
      <w:r w:rsidRPr="004C78A4">
        <w:rPr>
          <w:rFonts w:ascii="Times New Roman" w:eastAsia="Times New Roman" w:hAnsi="Times New Roman" w:cs="Times New Roman"/>
          <w:sz w:val="24"/>
          <w:szCs w:val="24"/>
          <w:lang w:eastAsia="ru-RU"/>
        </w:rPr>
        <w:t xml:space="preserve"> </w:t>
      </w:r>
      <w:r w:rsidRPr="004C78A4">
        <w:rPr>
          <w:rFonts w:ascii="Times New Roman" w:eastAsia="Times New Roman" w:hAnsi="Times New Roman" w:cs="Times New Roman"/>
          <w:color w:val="000000"/>
          <w:sz w:val="28"/>
          <w:szCs w:val="28"/>
          <w:lang w:eastAsia="ru-RU" w:bidi="ru-RU"/>
        </w:rPr>
        <w:t>Министерства транспорта Российской Федерации от 25.11.2010 № 264, являются:</w:t>
      </w:r>
    </w:p>
    <w:p w14:paraId="00A0E3E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1) привлечение субъектов малого и среднего предпринимательства к выработке и реализации государственной политики Министерства в области развития малого и среднего предпринимательства в сфере транспорта;</w:t>
      </w:r>
    </w:p>
    <w:p w14:paraId="3753578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 выдвижение и поддержка инициатив, имеющих общероссийское значение и направленных на реализацию государственной политики Министерства в области развития малого и среднего предпринимательства в сфере транспорта;</w:t>
      </w:r>
    </w:p>
    <w:p w14:paraId="13529F22"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3) проведение общественной экспертизы проектов нормативных правовых актов Российской Федерации, регулирующих развитие малого и среднего предпринимательства в сфере транспорта;</w:t>
      </w:r>
    </w:p>
    <w:p w14:paraId="63AF914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4) выработка рекомендаций органам исполнительной власти Российской Федерации, органам исполнительной власти субъектов Российской Федерации и органам местного самоуправления при определении приоритетов в области развития малого и среднего предпринимательства в сфере транспорта;</w:t>
      </w:r>
    </w:p>
    <w:p w14:paraId="6166086B"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 привлечение граждан, общественных объединений и представителей средств массовой информации к обсуждению вопросов, касающихся реализации права граждан на предпринимательскую деятельность, и выработке по данным вопросам рекомендаций;</w:t>
      </w:r>
    </w:p>
    <w:p w14:paraId="225DDB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 содействие в реализации мер, направленных на ликвидацию административных ограничений при осуществлении предпринимательской деятельности субъектами малого и среднего предпринимательства, а также на стимулирование развития малого и среднего предпринимательства в сфере транспорта.</w:t>
      </w:r>
    </w:p>
    <w:p w14:paraId="05C2FC7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Министерством транспорта Российской Федерации на постоянной основе проводятся мероприятия по увеличению объёма закупок у субъектов малого предпринимательства, социально ориентированных некоммерческих организаций в соответствии с требованием статьи 30 Федерального закона от 5 апреля 2013 г.</w:t>
      </w:r>
      <w:r w:rsidR="00F30746">
        <w:rPr>
          <w:rFonts w:ascii="Times New Roman" w:eastAsia="Times New Roman" w:hAnsi="Times New Roman" w:cs="Times New Roman"/>
          <w:color w:val="000000"/>
          <w:sz w:val="28"/>
          <w:szCs w:val="28"/>
          <w:lang w:eastAsia="ru-RU" w:bidi="ru-RU"/>
        </w:rPr>
        <w:t xml:space="preserve"> </w:t>
      </w:r>
      <w:r w:rsidRPr="004C78A4">
        <w:rPr>
          <w:rFonts w:ascii="Times New Roman" w:eastAsia="Times New Roman" w:hAnsi="Times New Roman" w:cs="Times New Roman"/>
          <w:color w:val="000000"/>
          <w:sz w:val="28"/>
          <w:szCs w:val="28"/>
          <w:lang w:eastAsia="ru-RU" w:bidi="ru-RU"/>
        </w:rPr>
        <w:t>№ 44-ФЗ «О контрактной системе в сфере закупок товаров, работ, услуг для обеспечения государственных и муниципальных нужд» (далее - Федеральный закон).</w:t>
      </w:r>
    </w:p>
    <w:p w14:paraId="245AF8F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Доля закупок, которые Минтранс России осуществил у субъектов малого предпринимательства и социально ориентирован</w:t>
      </w:r>
      <w:r w:rsidR="00DF084A">
        <w:rPr>
          <w:rFonts w:ascii="Times New Roman" w:eastAsia="Times New Roman" w:hAnsi="Times New Roman" w:cs="Times New Roman"/>
          <w:color w:val="000000"/>
          <w:sz w:val="28"/>
          <w:szCs w:val="28"/>
          <w:lang w:eastAsia="ru-RU" w:bidi="ru-RU"/>
        </w:rPr>
        <w:t xml:space="preserve">ных некоммерческих организаций </w:t>
      </w:r>
      <w:r w:rsidRPr="004C78A4">
        <w:rPr>
          <w:rFonts w:ascii="Times New Roman" w:eastAsia="Times New Roman" w:hAnsi="Times New Roman" w:cs="Times New Roman"/>
          <w:color w:val="000000"/>
          <w:sz w:val="28"/>
          <w:szCs w:val="28"/>
          <w:lang w:eastAsia="ru-RU" w:bidi="ru-RU"/>
        </w:rPr>
        <w:t>в 2018 году в совокупном годовом объеме закупок, рассчитанных за вычетом закупок, предусмотренных частью 1.1 статьи 30 Федерального закона - 21,36%.</w:t>
      </w:r>
    </w:p>
    <w:p w14:paraId="510D7F2F"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0DD50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w:t>
      </w:r>
      <w:r w:rsidRPr="004C78A4">
        <w:rPr>
          <w:rFonts w:ascii="Times New Roman" w:eastAsia="Times New Roman" w:hAnsi="Times New Roman" w:cs="Times New Roman"/>
          <w:b/>
          <w:color w:val="000000"/>
          <w:sz w:val="28"/>
          <w:szCs w:val="28"/>
          <w:lang w:eastAsia="ru-RU" w:bidi="ru-RU"/>
        </w:rPr>
        <w:t xml:space="preserve"> Сведения о мероприятиях, направленных на оптимизацию процедур государственных закупок, в том числе о показателях эффективности программ по повышению качества управления закупочной деятельностью.</w:t>
      </w:r>
    </w:p>
    <w:p w14:paraId="3F6F9B42" w14:textId="77777777" w:rsid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Минтрансом России распоряжением от 23.11.2018 № ЕД-197-р утвержден перечень показателей, характеризующих эффективность закупок товаров, работ, услуг Министерства транспорта Российской Федерации, подведомственных федеральной службы, федеральных агентств, организаций.</w:t>
      </w:r>
    </w:p>
    <w:p w14:paraId="37A41715" w14:textId="77777777" w:rsidR="00BA7223" w:rsidRDefault="00BA7223"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5F6D1CAC" w14:textId="77777777" w:rsidR="004C78A4" w:rsidRDefault="004C78A4" w:rsidP="002C196A">
      <w:pPr>
        <w:pStyle w:val="13"/>
      </w:pPr>
    </w:p>
    <w:p w14:paraId="77F1EDD0" w14:textId="12A8A17A" w:rsidR="00FF3F29" w:rsidRDefault="00FF3F29" w:rsidP="00781263">
      <w:pPr>
        <w:pStyle w:val="1"/>
        <w:numPr>
          <w:ilvl w:val="0"/>
          <w:numId w:val="71"/>
        </w:numPr>
      </w:pPr>
      <w:bookmarkStart w:id="2086" w:name="_Toc7448074"/>
      <w:r>
        <w:t>Оценочные характеристик</w:t>
      </w:r>
      <w:r w:rsidR="002A6E9A">
        <w:t>и</w:t>
      </w:r>
      <w:r>
        <w:t xml:space="preserve"> Банка России</w:t>
      </w:r>
      <w:bookmarkEnd w:id="2086"/>
    </w:p>
    <w:p w14:paraId="173D44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Развитие конкуренции на финансовом рынке как один из драйверов экономического роста и технологического прогресса является приоритетным направлением работы Банка России. </w:t>
      </w:r>
    </w:p>
    <w:p w14:paraId="2467263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Во исполнение Указа Президента Российской Федерации от 21.12.2017 № 618 «Об основных направлениях государственной политики по развитию конкуренции» (далее – Указ) 23.04.2018 создана межведомственная </w:t>
      </w:r>
      <w:r w:rsidRPr="00FF3F29">
        <w:rPr>
          <w:rFonts w:ascii="Times New Roman" w:eastAsia="Times New Roman" w:hAnsi="Times New Roman" w:cs="Times New Roman"/>
          <w:sz w:val="28"/>
          <w:szCs w:val="24"/>
        </w:rPr>
        <w:br/>
        <w:t xml:space="preserve">Рабочая группа по развитию конкуренции на рынке финансовых услуг </w:t>
      </w:r>
      <w:r w:rsidRPr="00FF3F29">
        <w:rPr>
          <w:rFonts w:ascii="Times New Roman" w:eastAsia="Times New Roman" w:hAnsi="Times New Roman" w:cs="Times New Roman"/>
          <w:sz w:val="28"/>
          <w:szCs w:val="24"/>
        </w:rPr>
        <w:br/>
        <w:t xml:space="preserve">(далее – Рабочая группа) с участием представителей ФАС России, </w:t>
      </w:r>
      <w:r w:rsidRPr="00FF3F29">
        <w:rPr>
          <w:rFonts w:ascii="Times New Roman" w:eastAsia="Times New Roman" w:hAnsi="Times New Roman" w:cs="Times New Roman"/>
          <w:sz w:val="28"/>
          <w:szCs w:val="24"/>
        </w:rPr>
        <w:br/>
        <w:t xml:space="preserve">Банка России, Минфина России и Минэкономразвития России. Впоследствии в Рабочую группу вошли также представители профильных комитетов </w:t>
      </w:r>
      <w:r w:rsidRPr="00FF3F29">
        <w:rPr>
          <w:rFonts w:ascii="Times New Roman" w:eastAsia="Times New Roman" w:hAnsi="Times New Roman" w:cs="Times New Roman"/>
          <w:sz w:val="28"/>
          <w:szCs w:val="24"/>
        </w:rPr>
        <w:br/>
        <w:t>Совета Федерации Федерального Собрания Российской Федерации и Государственной Думы Федерального Собрания Российской Федерации.</w:t>
      </w:r>
    </w:p>
    <w:p w14:paraId="2432FBB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Для реализации Указа во II квартале 2018 года был опубликован первый аналитический доклад «Конкуренция на финансовом рынке», подготовленный Банком России совместно с ФАС России. </w:t>
      </w:r>
    </w:p>
    <w:p w14:paraId="52EFFB4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этом докладе были представлены результаты анализа, которые свидетельствуют о том, что подавляющее большинство исследованных сегментов российского финансового рынка характеризуется недостаточным уровнем развития конкуренции и представляет собой монополию или олигополию с конкурентным окружением, причем зачастую возможности этого окружения составить конкуренцию лидеру (лидерам) в значительной мере ограничены. В особенности это характерно для региональных рынков банковских услуг, на которых, как правило, лидируют один-два крупных государственных федеральных банка. </w:t>
      </w:r>
    </w:p>
    <w:p w14:paraId="5B88353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полученные результаты свидетельствуют о высокой степени неоднородности конкуренции, уровень и условия которой существенно различаются среди субъектов Российской Федерации, что обуславливает необходимость проведения сбалансированной региональной конкурентной политики на финансовом рынке. В связи с этим в 2018 году Банк России инициировал работу своих территориальных учреждений по анализу конкуренции на региональных финансовых рынках, прежде всего в сфере оказания банковских услуг. </w:t>
      </w:r>
    </w:p>
    <w:p w14:paraId="136EC8C4"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 итогам проведенного анализа в указанном докладе был предложен перечень первоочередных мер по развитию конкуренции. Впоследствии этот перечень послужил основой для формирования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r w:rsidRPr="00FF3F29">
        <w:rPr>
          <w:rFonts w:ascii="Times New Roman" w:eastAsia="Times New Roman" w:hAnsi="Times New Roman" w:cs="Times New Roman"/>
          <w:sz w:val="28"/>
          <w:szCs w:val="24"/>
          <w:vertAlign w:val="superscript"/>
        </w:rPr>
        <w:footnoteReference w:id="35"/>
      </w:r>
      <w:r w:rsidRPr="00FF3F29">
        <w:rPr>
          <w:rFonts w:ascii="Times New Roman" w:eastAsia="Times New Roman" w:hAnsi="Times New Roman" w:cs="Times New Roman"/>
          <w:sz w:val="28"/>
          <w:szCs w:val="24"/>
        </w:rPr>
        <w:t xml:space="preserve"> (далее – План). </w:t>
      </w:r>
    </w:p>
    <w:p w14:paraId="1C18C0C0"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Раздел </w:t>
      </w:r>
      <w:r w:rsidRPr="00FF3F29">
        <w:rPr>
          <w:rFonts w:ascii="Times New Roman" w:eastAsia="Times New Roman" w:hAnsi="Times New Roman" w:cs="Times New Roman"/>
          <w:sz w:val="28"/>
          <w:szCs w:val="24"/>
          <w:lang w:val="en-US"/>
        </w:rPr>
        <w:t>XIV</w:t>
      </w:r>
      <w:r w:rsidRPr="00FF3F29">
        <w:rPr>
          <w:rFonts w:ascii="Times New Roman" w:eastAsia="Times New Roman" w:hAnsi="Times New Roman" w:cs="Times New Roman"/>
          <w:sz w:val="28"/>
          <w:szCs w:val="24"/>
        </w:rPr>
        <w:t xml:space="preserve"> «Финансовые рынки» Плана носит кросс-секторальный характер и сконцентрирован на трех основных направлениях: </w:t>
      </w:r>
    </w:p>
    <w:p w14:paraId="7CA74C6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формирование равных условий ведения бизнеса для различных участников рынка, в том числе исключение необоснованных преимуществ для крупных финансовых организаций с госучастием;  </w:t>
      </w:r>
    </w:p>
    <w:p w14:paraId="392B16A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снижение рыночных барьеров и формирование единой конкурентной среды, в первую очередь, за счет внедрения новых финансовых технологий;</w:t>
      </w:r>
    </w:p>
    <w:p w14:paraId="4510319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формирование системы стимулов для добросовестной конкуренции.</w:t>
      </w:r>
    </w:p>
    <w:p w14:paraId="194A9D6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1. В рамках первого направления работы в декабре 2018 года </w:t>
      </w:r>
      <w:r w:rsidRPr="00FF3F29">
        <w:rPr>
          <w:rFonts w:ascii="Times New Roman" w:eastAsia="Times New Roman" w:hAnsi="Times New Roman" w:cs="Times New Roman"/>
          <w:sz w:val="28"/>
          <w:szCs w:val="24"/>
        </w:rPr>
        <w:br/>
        <w:t xml:space="preserve">Минфином России, Банком России и ФАС России были подготовлены и направлены в Правительство Российской Федерации предложения о создании конкурентных условий допуска кредитных организаций к привлечению бюджетных и приравненных к ним средств на банковские депозиты (счета), к выдаче отдельных банковских гарантий, к получению субсидий из федерального бюджета при предоставлении льготного финансирования </w:t>
      </w:r>
      <w:r w:rsidRPr="00FF3F29">
        <w:rPr>
          <w:rFonts w:ascii="Times New Roman" w:eastAsia="Times New Roman" w:hAnsi="Times New Roman" w:cs="Times New Roman"/>
          <w:sz w:val="28"/>
          <w:szCs w:val="24"/>
        </w:rPr>
        <w:br/>
        <w:t xml:space="preserve">(пункт 1 Плана). В частности, было достигнуто единое мнение о том, что необходимо упростить существующий механизм, а также уделять большее внимание критерию уровня кредитного рейтинга. </w:t>
      </w:r>
    </w:p>
    <w:p w14:paraId="5E848F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Отдельно следует отметить, что по инициативе Банка России, поддержанной Правительством Российской Федерации (постановление Правительства Российской Федерации от 30.12.2018 № 1764), с 2019 года существенно упрощены критерии отбора кредитных организаций для участия в программе субсидирования ставок по кредитам субъектам малого и среднего предпринимательства (МСП), а именно: отменено требование к наличию рейтинга; обеспечены стимулирующие условия для участия в программе банков с базовой лицензией. В результате предложенного Банком России подхода, по приблизительной оценке, в программе смогут принять участие более 100 банков против 15 (данные на конец 2018 года).</w:t>
      </w:r>
    </w:p>
    <w:p w14:paraId="1E7A102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Помимо этого, в 2018 году в Программу стимулирования кредитования субъектов МСП</w:t>
      </w:r>
      <w:r w:rsidRPr="00FF3F29">
        <w:rPr>
          <w:rFonts w:ascii="Times New Roman" w:eastAsia="Times New Roman" w:hAnsi="Times New Roman" w:cs="Times New Roman"/>
          <w:sz w:val="28"/>
          <w:szCs w:val="24"/>
          <w:vertAlign w:val="superscript"/>
        </w:rPr>
        <w:footnoteReference w:id="36"/>
      </w:r>
      <w:r w:rsidRPr="00FF3F29">
        <w:rPr>
          <w:rFonts w:ascii="Times New Roman" w:eastAsia="Times New Roman" w:hAnsi="Times New Roman" w:cs="Times New Roman"/>
          <w:sz w:val="28"/>
          <w:szCs w:val="24"/>
        </w:rPr>
        <w:t xml:space="preserve"> внесены изменения, предусматривающие, что с 01.01.2019 системно значимые кредитные организации не предоставляют кредиты в рамках Программы. При этом предусмотрено участие банков с базовой лицензией, что позволяет довести финансирование по льготным ставкам до большего числа региональных микро- и малых предприятий. В результате число банков-участников Программы существенно увеличилось: с 11 в </w:t>
      </w:r>
      <w:r w:rsidRPr="00FF3F29">
        <w:rPr>
          <w:rFonts w:ascii="Times New Roman" w:eastAsia="Times New Roman" w:hAnsi="Times New Roman" w:cs="Times New Roman"/>
          <w:sz w:val="28"/>
          <w:szCs w:val="24"/>
        </w:rPr>
        <w:br/>
        <w:t>2016 году до 44 в декабре 2018 года.</w:t>
      </w:r>
    </w:p>
    <w:p w14:paraId="4BCA9530"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для снижения влияния государства на рыночные отношения и формирования равных условий ведения бизнеса государственными и частными участниками рынка в 2018 году Банком России и ФАС России было издано совместное информационное письмо от 24.08.2018 </w:t>
      </w:r>
      <w:r w:rsidRPr="00FF3F29">
        <w:rPr>
          <w:rFonts w:ascii="Times New Roman" w:eastAsia="Times New Roman" w:hAnsi="Times New Roman" w:cs="Times New Roman"/>
          <w:sz w:val="28"/>
          <w:szCs w:val="24"/>
        </w:rPr>
        <w:br/>
        <w:t>№ ИН-01-52/56 / ИА/67323/18 (пункт 20 Плана). Этим письмом поднадзорным Банку России финансовым организациям с государственным (муниципальным) участием</w:t>
      </w:r>
      <w:r w:rsidRPr="00FF3F29">
        <w:rPr>
          <w:rFonts w:ascii="Times New Roman" w:eastAsia="Times New Roman" w:hAnsi="Times New Roman" w:cs="Times New Roman"/>
          <w:sz w:val="28"/>
          <w:szCs w:val="24"/>
          <w:vertAlign w:val="superscript"/>
        </w:rPr>
        <w:footnoteReference w:id="37"/>
      </w:r>
      <w:r w:rsidRPr="00FF3F29">
        <w:rPr>
          <w:rFonts w:ascii="Times New Roman" w:eastAsia="Times New Roman" w:hAnsi="Times New Roman" w:cs="Times New Roman"/>
          <w:sz w:val="28"/>
          <w:szCs w:val="24"/>
        </w:rPr>
        <w:t xml:space="preserve"> не рекомендовано использовать при продвижении своих услуг указание на участие государства в их капитале в качестве конкурентного преимущества</w:t>
      </w:r>
      <w:r w:rsidRPr="00FF3F29">
        <w:rPr>
          <w:rFonts w:ascii="Times New Roman" w:eastAsia="Times New Roman" w:hAnsi="Times New Roman" w:cs="Times New Roman"/>
          <w:sz w:val="28"/>
          <w:szCs w:val="24"/>
          <w:vertAlign w:val="superscript"/>
        </w:rPr>
        <w:footnoteReference w:id="38"/>
      </w:r>
      <w:r w:rsidRPr="00FF3F29">
        <w:rPr>
          <w:rFonts w:ascii="Times New Roman" w:eastAsia="Times New Roman" w:hAnsi="Times New Roman" w:cs="Times New Roman"/>
          <w:sz w:val="28"/>
          <w:szCs w:val="24"/>
        </w:rPr>
        <w:t xml:space="preserve">. </w:t>
      </w:r>
    </w:p>
    <w:p w14:paraId="35CA37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2. В области финансовых технологий, которые призваны снизить рыночные барьеры и способствовать формированию благоприятной единой конкурентной среды, Банк России также реализует ряд мер, среди которых можно отметить следующие: реализация проекта «Маркетплейс», запуск Системы быстрых платежей (СБП), развитие системы удаленной идентификации.</w:t>
      </w:r>
    </w:p>
    <w:p w14:paraId="29B7FE7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Проект «Маркетплейс» запущен Банком России совместно с участниками рынка в декабре 2017 года. Его реализация не предполагает государственных инвестиций в создание элементов системы, построение системы «Маркетплейс» будет происходить на рыночных принципах.</w:t>
      </w:r>
    </w:p>
    <w:p w14:paraId="12A9898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Система «Маркетплейс» предоставит возможность гражданину дистанционно получить широкий спектр финансовых услуг. Единый регистратор финансовых транзакций будет фиксировать информацию о заключенных сделках, а клиент сможет получить по запросу юридически значимые выписки и контролировать свои транзакции в личном кабинете. Малым и средним участникам финансового рынка реализация проекта «Маркетплейс» предоставит доступ к широкой базе потребителей, для населения он улучшит ситуацию с финансовой доступностью за счет снятия географических ограничений и обеспечения возможности дотянуться до услуг игроков различного размера. При этом пользователи получат дистанционный доступ к финансовым услугам в режиме 24/7 и широкую линейку продуктов.</w:t>
      </w:r>
    </w:p>
    <w:p w14:paraId="0D0E9EC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В 2018 году проведено успешное тестирование технологической части системы. В</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конце 2018 года были подготовлены и внесены в Государственную Думу Федерального Собрания Российской Федерации законопроекты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617867-7 «О совершении сделок с использованием электронной платформы» и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617880-7 «О внесении изменений в отдельные законодательные акты Российской Федерации в связи с принятием Федерального закона «О совершении сделок с использованием электронной платформы».</w:t>
      </w:r>
    </w:p>
    <w:p w14:paraId="04EEB0E9"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Справочно:</w:t>
      </w:r>
    </w:p>
    <w:p w14:paraId="540581FB"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Московская Биржа и Национальный расчетный депозитарий осуществили техническую подготовку платформы и Регистратора финансовых транзакций согласно графику проекта, с 15 февраля 2019 года. Промышленная версия Маркетплейс 1.0 будет введена в эксплуатацию после принятия соответствующих регуляторных изменений.</w:t>
      </w:r>
    </w:p>
    <w:p w14:paraId="725861E2"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СПБ была создана в 2018 году и запущена в январе 2019 года Банком России совместно с АО «НСПК» в целях стимулирования конкуренции на рынке платежных услуг, повышения финансовой доступности и снижения стоимости услуг по переводу денежных средств. В рамках СБП клиентам предоставлен удобный, надежный и простой сервис совершения онлайн платежей в круглосуточном режиме по минимальной стоимости. Используя СБП, физические лица могут делать мгновенные переводы по номеру мобильного телефона независимо от того, в каких банках открыты счета отправителя и получателя средств. Система призвана обеспечить равные условия для банков-участников при минимальных тарифах.</w:t>
      </w:r>
    </w:p>
    <w:p w14:paraId="43B003E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 это механизм, позволяющий физическим лицам получать финансовые услуги дистанционно, подтвердив свою личность с помощью биометрических персональных данных (изображение лица и голос) в любом банке.</w:t>
      </w:r>
    </w:p>
    <w:p w14:paraId="5293796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заработала 30.06.2018. С этого момента сбор биометрических данных доступен более чем в 400 точках банковского обслуживания в 140 городах России. Банк России собирается расширять способы дистанционного получения услуг физическими и юридическими лицами благодаря использованию Единой системы идентификации и аутентификации и единой биометрической системы. Кроме того, банкам с базовой лицензией планируется предоставить льготы по внедрению механизма удаленной идентификации.</w:t>
      </w:r>
    </w:p>
    <w:p w14:paraId="7EA66519"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При этом необходимо обеспечить техническую возможность работы программного обеспечения для идентификации биометрических данных на устройствах различных производителей. Насколько известно, сейчас такое приложение работает не на всех операционных системах, но такое ограничение должно быть снято.</w:t>
      </w:r>
    </w:p>
    <w:p w14:paraId="50815EC0"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в рамках работы по построению единого платежного пространства в декабре 2018 года в Правительство Российской Федерации был внесен доклад с предложениями по созданию конкурентных условий осуществления переводов по текущим банковским счетам физических лиц (пункт 7 Плана). В рамках этого доклада было предложено устранить территориальную дискриминацию при установлении комиссий за осуществление внутрирегиональных и межрегиональных внутрибанковских переводов, а также установить обязанности кредитных организаций по подключению к СБП и права Банка России определять предельное значение надбавки, устанавливаемой кредитными организациями при осуществлении переводов через СБП.</w:t>
      </w:r>
    </w:p>
    <w:p w14:paraId="0E1CD08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3. Значительное внимание уделяется Банком России вопросам противодействия недобросовестным практикам на финансовом рынке.</w:t>
      </w:r>
    </w:p>
    <w:p w14:paraId="0278B0A6"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Для стимулирования добросовестного поведения банков Банком России и ФАС России было издано совместное информационное пис</w:t>
      </w:r>
      <w:r w:rsidR="00BC256D">
        <w:rPr>
          <w:rFonts w:ascii="Times New Roman" w:eastAsia="Times New Roman" w:hAnsi="Times New Roman" w:cs="Times New Roman"/>
          <w:sz w:val="28"/>
          <w:szCs w:val="24"/>
        </w:rPr>
        <w:t xml:space="preserve">ьмо 29.12.2018 </w:t>
      </w:r>
      <w:r w:rsidR="00BC256D">
        <w:rPr>
          <w:rFonts w:ascii="Times New Roman" w:eastAsia="Times New Roman" w:hAnsi="Times New Roman" w:cs="Times New Roman"/>
          <w:sz w:val="28"/>
          <w:szCs w:val="24"/>
        </w:rPr>
        <w:br/>
        <w:t>№ ИН-01-52/82 /</w:t>
      </w:r>
      <w:r w:rsidRPr="00FF3F29">
        <w:rPr>
          <w:rFonts w:ascii="Times New Roman" w:eastAsia="Times New Roman" w:hAnsi="Times New Roman" w:cs="Times New Roman"/>
          <w:sz w:val="28"/>
          <w:szCs w:val="24"/>
        </w:rPr>
        <w:t>ИА/108764/18 «О недопустимости недобросовестной конкуренции на рынке вкладов», призванное предупредить возможные проявления недобросовестной конкуренции в сфере вкладов и защитить интересы вкладчиков (пункт 6 Плана). Основой для подготовки документа послужила накопившаяся практика антимонопольных органов в отношении недобросовестного поведения отдельных банков по привлечению вкладчиков повышенными процентными ставками по пополняемым срочным банковским вкладам с последующим ухудшением их потребительских свойств.</w:t>
      </w:r>
    </w:p>
    <w:p w14:paraId="6B1D8F7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с начала 2018 года Банком России осуществляется системная работа по противодействию нелегальной деятельности на финансовом рынке, а именно деятельности без соответствующего разрешения (лицензии) и деятельности «финансовых пирамид». Дестимулирование указанных недобросовестных практик призвано сократить долю финансовых услуг, осуществляемых в теневом секторе экономики, осуществить перераспределение денежных потоков из нелегального высокорискованного сектора экономики в легальный, повысить прозрачность конкуренции среди поставщиков финансовых услуг на российском финансовом рынке. Это будет способствовать созданию равных условий для участников рынка и в долгосрочном периоде положительным образом отразится на развитии финансовой системы страны.</w:t>
      </w:r>
    </w:p>
    <w:p w14:paraId="6815CD2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В Национальный план развития конкуренции в Российской Федерации на 2018-2020 годы, утвержденный Указом, включены ожидаемые результаты развития конкуренции по агропромышленному комплексу, газоснабжению, рынку нефти и нефтепродуктов, а также по финансовым рынкам. </w:t>
      </w:r>
    </w:p>
    <w:p w14:paraId="276C4AE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Важным элементом оценки состояния конкуренции и конкурентной среды на товарных рынках является степень развития организованных (биржевых) торгов соответствующими товарами. Кроме того, цены, складывающиеся на биржевых торгах, служат ориентиром для участников товарного рынка в процессе формирования цен как в биржевом, так и во внебиржевом сегменте. Немаловажное значение в оценке состояния конкуренции имеют индексы и иные показатели, рассчитываемые на основе информации о заключенных биржевых договорах и договорах, заключенных не на организованных торгах (внебиржевых договорах). </w:t>
      </w:r>
    </w:p>
    <w:p w14:paraId="0083464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С точки зрения развития биржевых торгов товарами и расширения перечня инструментов товарного рынка в 2018 году: </w:t>
      </w:r>
    </w:p>
    <w:p w14:paraId="472D00D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Плана на АО «Национальная Товарная Биржа» 23.05.2018 состоялся запуск торгов производными финансовыми инструментами на сою, 20.12.2018 – на подсолнечник; </w:t>
      </w:r>
    </w:p>
    <w:p w14:paraId="248719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мероприятий, предусмотренных утвержденным в IV квартале 2017 года профильными ведомствами (Банк России, ФАС России, Минсельхоз России, ФНС России) Планом мероприятий по развитию организованной торговли агропродукцией на АО «Национальная Товарная Биржа» 20.06.2018 началась реализация зерна из запасов федерального фонда по правилам организованных торгов, объем торгов с даты запуска проекта за 2018 год составил 9,9 млрд рублей; </w:t>
      </w:r>
    </w:p>
    <w:p w14:paraId="6DD7A7F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- 16.07.2018 в Секции срочного рынка Акционерного общества </w:t>
      </w:r>
      <w:r w:rsidRPr="00FF3F29">
        <w:rPr>
          <w:rFonts w:ascii="Times New Roman" w:eastAsia="Times New Roman" w:hAnsi="Times New Roman" w:cs="Times New Roman"/>
          <w:sz w:val="28"/>
          <w:szCs w:val="24"/>
        </w:rPr>
        <w:br/>
        <w:t xml:space="preserve">«Санкт-Петербургская Международная Товарно-сырьевая Биржа» состоялся запуск торгов новым поставочным инструментом срочного рынка: поставочный фьючерсный контракт на бензин АИ-92 с базовой точкой ценообразования «Аллагуват», объем торгов с даты запуска инструмента за 2018 год составил 8,9 млрд рублей. Кроме того, 15.10.2018 был запущен аналогичный инструмент на сжиженные углеводородные газы (СУГ) с базовой точкой ценообразования на железнодорожной станции Сургут (Свердловская железная дорога), объем торгов с даты запуска инструмента за 2018 год составил 235 млн рублей. </w:t>
      </w:r>
    </w:p>
    <w:p w14:paraId="0554603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качестве еще одного значимого события с точки зрения развития </w:t>
      </w:r>
      <w:r w:rsidRPr="00FF3F29">
        <w:rPr>
          <w:rFonts w:ascii="Times New Roman" w:eastAsia="Times New Roman" w:hAnsi="Times New Roman" w:cs="Times New Roman"/>
          <w:sz w:val="28"/>
          <w:szCs w:val="24"/>
        </w:rPr>
        <w:br/>
        <w:t>пост-трейдинговой инфраструктуры товарного рынка и работы по гарантированию исполнения договоров, заключенных на организованных торгах, следует отметить аккредитацию 25.01.2018 Банком России ООО «Газпром межрегионгаз поставка» в качестве оператора товарных поставок</w:t>
      </w:r>
      <w:r w:rsidRPr="00FF3F29">
        <w:rPr>
          <w:rFonts w:ascii="Times New Roman" w:eastAsia="Times New Roman" w:hAnsi="Times New Roman" w:cs="Times New Roman"/>
          <w:sz w:val="28"/>
          <w:szCs w:val="24"/>
          <w:vertAlign w:val="superscript"/>
        </w:rPr>
        <w:footnoteReference w:id="39"/>
      </w:r>
      <w:r w:rsidRPr="00FF3F29">
        <w:rPr>
          <w:rFonts w:ascii="Times New Roman" w:eastAsia="Times New Roman" w:hAnsi="Times New Roman" w:cs="Times New Roman"/>
          <w:sz w:val="28"/>
          <w:szCs w:val="24"/>
        </w:rPr>
        <w:t xml:space="preserve">. </w:t>
      </w:r>
    </w:p>
    <w:p w14:paraId="10FBE697" w14:textId="77777777" w:rsidR="00FF3F29" w:rsidRPr="008A6382" w:rsidRDefault="00FF3F29" w:rsidP="00FF3F29">
      <w:pPr>
        <w:spacing w:after="0" w:line="240" w:lineRule="auto"/>
        <w:ind w:firstLine="709"/>
        <w:jc w:val="both"/>
        <w:rPr>
          <w:rFonts w:ascii="Times New Roman" w:hAnsi="Times New Roman"/>
          <w:sz w:val="28"/>
          <w:szCs w:val="24"/>
        </w:rPr>
      </w:pPr>
      <w:r w:rsidRPr="00FF3F29">
        <w:rPr>
          <w:rFonts w:ascii="Times New Roman" w:eastAsia="Times New Roman" w:hAnsi="Times New Roman" w:cs="Times New Roman"/>
          <w:sz w:val="28"/>
          <w:szCs w:val="24"/>
        </w:rPr>
        <w:t>В 2018 году Банком России разработана Концепция осуществления надзора за деятельностью операторов товарных поставок (далее – Концепция). Концепцией предлагается к рассмотрению сбалансированный подход к организации надзорных процессов за деятельностью операторов товарных поставок с учетом существующих полномочий Банка России (опосредованно через организации торгово-клиринговой инфраструктуры). Результатом внедрения предлагаемой Концепции должно стать своевременное предоставление Банку России инструментария по контролю за рисками, возникающими на организованном рынке товаров в связи с появлением на нем новых организаций пост-трейдинговой инфраструктуры и процессов по их интеграции в существующую торгово-клиринговую</w:t>
      </w:r>
      <w:r>
        <w:rPr>
          <w:rFonts w:ascii="Times New Roman" w:eastAsia="Times New Roman" w:hAnsi="Times New Roman" w:cs="Times New Roman"/>
          <w:sz w:val="28"/>
          <w:szCs w:val="24"/>
        </w:rPr>
        <w:t xml:space="preserve"> </w:t>
      </w:r>
      <w:r w:rsidRPr="008A6382">
        <w:rPr>
          <w:rFonts w:ascii="Times New Roman" w:hAnsi="Times New Roman"/>
          <w:sz w:val="28"/>
          <w:szCs w:val="24"/>
        </w:rPr>
        <w:t>инфраструктуру.</w:t>
      </w:r>
    </w:p>
    <w:p w14:paraId="2AC9E2B5" w14:textId="77777777" w:rsidR="00FF3F29" w:rsidRPr="00FF3F29" w:rsidRDefault="00FF3F29" w:rsidP="00FF3F29">
      <w:pPr>
        <w:rPr>
          <w:lang w:eastAsia="ru-RU"/>
        </w:rPr>
      </w:pPr>
    </w:p>
    <w:sectPr w:rsidR="00FF3F29" w:rsidRPr="00FF3F29" w:rsidSect="002431A5">
      <w:footerReference w:type="default" r:id="rId113"/>
      <w:headerReference w:type="first" r:id="rId114"/>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BD7D6" w14:textId="77777777" w:rsidR="00710A0F" w:rsidRDefault="00710A0F">
      <w:pPr>
        <w:spacing w:after="0" w:line="240" w:lineRule="auto"/>
      </w:pPr>
      <w:r>
        <w:separator/>
      </w:r>
    </w:p>
  </w:endnote>
  <w:endnote w:type="continuationSeparator" w:id="0">
    <w:p w14:paraId="4E91933D" w14:textId="77777777" w:rsidR="00710A0F" w:rsidRDefault="00710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ヒラギノ角ゴ Pro W3">
    <w:altName w:val="Times New Roman"/>
    <w:charset w:val="00"/>
    <w:family w:val="roman"/>
    <w:pitch w:val="default"/>
  </w:font>
  <w:font w:name="TimesNewRomanPSMT">
    <w:altName w:val="Times New Roman"/>
    <w:charset w:val="00"/>
    <w:family w:val="roman"/>
    <w:pitch w:val="default"/>
  </w:font>
  <w:font w:name="Andale Sans UI">
    <w:altName w:val="Times New Roman"/>
    <w:charset w:val="00"/>
    <w:family w:val="auto"/>
    <w:pitch w:val="variable"/>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775657"/>
      <w:docPartObj>
        <w:docPartGallery w:val="Page Numbers (Bottom of Page)"/>
        <w:docPartUnique/>
      </w:docPartObj>
    </w:sdtPr>
    <w:sdtEndPr/>
    <w:sdtContent>
      <w:p w14:paraId="71EDB7AE" w14:textId="77777777" w:rsidR="00710A0F" w:rsidRDefault="00710A0F">
        <w:pPr>
          <w:pStyle w:val="a7"/>
          <w:jc w:val="right"/>
        </w:pPr>
        <w:r>
          <w:fldChar w:fldCharType="begin"/>
        </w:r>
        <w:r>
          <w:instrText>PAGE   \* MERGEFORMAT</w:instrText>
        </w:r>
        <w:r>
          <w:fldChar w:fldCharType="separate"/>
        </w:r>
        <w:r w:rsidR="000C4795">
          <w:rPr>
            <w:noProof/>
          </w:rPr>
          <w:t>93</w:t>
        </w:r>
        <w:r>
          <w:fldChar w:fldCharType="end"/>
        </w:r>
      </w:p>
    </w:sdtContent>
  </w:sdt>
  <w:p w14:paraId="47AC7E14" w14:textId="77777777" w:rsidR="00710A0F" w:rsidRDefault="00710A0F">
    <w:pPr>
      <w:pStyle w:val="a7"/>
    </w:pPr>
  </w:p>
  <w:p w14:paraId="3F6DA673" w14:textId="77777777" w:rsidR="00710A0F" w:rsidRDefault="00710A0F"/>
  <w:p w14:paraId="6C9753CE" w14:textId="77777777" w:rsidR="00710A0F" w:rsidRDefault="00710A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8BB1C" w14:textId="77777777" w:rsidR="00710A0F" w:rsidRDefault="00710A0F">
      <w:pPr>
        <w:spacing w:after="0" w:line="240" w:lineRule="auto"/>
      </w:pPr>
      <w:r>
        <w:separator/>
      </w:r>
    </w:p>
  </w:footnote>
  <w:footnote w:type="continuationSeparator" w:id="0">
    <w:p w14:paraId="5C7B4B5B" w14:textId="77777777" w:rsidR="00710A0F" w:rsidRDefault="00710A0F">
      <w:pPr>
        <w:spacing w:after="0" w:line="240" w:lineRule="auto"/>
      </w:pPr>
      <w:r>
        <w:continuationSeparator/>
      </w:r>
    </w:p>
  </w:footnote>
  <w:footnote w:id="1">
    <w:p w14:paraId="5AF524B2" w14:textId="77777777" w:rsidR="00710A0F" w:rsidRPr="00FD34E8" w:rsidRDefault="00710A0F" w:rsidP="00680A07">
      <w:pPr>
        <w:pStyle w:val="ae"/>
        <w:jc w:val="both"/>
        <w:rPr>
          <w:rFonts w:ascii="Times New Roman" w:hAnsi="Times New Roman" w:cs="Times New Roman"/>
        </w:rPr>
      </w:pPr>
      <w:r w:rsidRPr="00B7413C">
        <w:rPr>
          <w:rStyle w:val="af0"/>
          <w:rFonts w:ascii="Times New Roman" w:hAnsi="Times New Roman" w:cs="Times New Roman"/>
        </w:rPr>
        <w:footnoteRef/>
      </w:r>
      <w:r w:rsidRPr="00B7413C">
        <w:rPr>
          <w:rFonts w:ascii="Times New Roman" w:hAnsi="Times New Roman" w:cs="Times New Roman"/>
        </w:rPr>
        <w:t xml:space="preserve"> http://www.kremlin.ru/events/president/news/56957</w:t>
      </w:r>
    </w:p>
  </w:footnote>
  <w:footnote w:id="2">
    <w:p w14:paraId="098DAD8A" w14:textId="77777777" w:rsidR="00710A0F" w:rsidRPr="00B7413C" w:rsidRDefault="00710A0F" w:rsidP="00680A07">
      <w:pPr>
        <w:spacing w:after="0"/>
        <w:jc w:val="both"/>
        <w:rPr>
          <w:rFonts w:ascii="Times New Roman" w:hAnsi="Times New Roman" w:cs="Times New Roman"/>
          <w:sz w:val="20"/>
          <w:szCs w:val="20"/>
        </w:rPr>
      </w:pPr>
      <w:r w:rsidRPr="00B7413C">
        <w:rPr>
          <w:rStyle w:val="af0"/>
          <w:rFonts w:ascii="Times New Roman" w:hAnsi="Times New Roman" w:cs="Times New Roman"/>
          <w:sz w:val="20"/>
          <w:szCs w:val="20"/>
        </w:rPr>
        <w:footnoteRef/>
      </w:r>
      <w:r w:rsidRPr="00B7413C">
        <w:rPr>
          <w:rFonts w:ascii="Times New Roman" w:hAnsi="Times New Roman" w:cs="Times New Roman"/>
          <w:sz w:val="20"/>
          <w:szCs w:val="20"/>
        </w:rPr>
        <w:t xml:space="preserve"> Д.А. Медведев. Новая реальность: Россия и глобальные вызовы // «Вопросы экономики», № 10, 2015</w:t>
      </w:r>
    </w:p>
  </w:footnote>
  <w:footnote w:id="3">
    <w:p w14:paraId="1B4737B0" w14:textId="77777777" w:rsidR="00710A0F" w:rsidRPr="003B3808" w:rsidRDefault="00710A0F"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Звягинцев П.С. Управление государственным имуществом: состояние и перспективы / П.С. Звягинцев // Вестник Института экономики Российской академии наук. - 2018. - № 6.</w:t>
      </w:r>
    </w:p>
  </w:footnote>
  <w:footnote w:id="4">
    <w:p w14:paraId="16302964" w14:textId="77777777" w:rsidR="00710A0F" w:rsidRDefault="00710A0F" w:rsidP="00680A07">
      <w:pPr>
        <w:pStyle w:val="ae"/>
        <w:jc w:val="both"/>
      </w:pPr>
      <w:r w:rsidRPr="003B3808">
        <w:rPr>
          <w:rStyle w:val="af0"/>
          <w:rFonts w:ascii="Times New Roman" w:hAnsi="Times New Roman" w:cs="Times New Roman"/>
        </w:rPr>
        <w:footnoteRef/>
      </w:r>
      <w:r w:rsidRPr="003B3808">
        <w:rPr>
          <w:rFonts w:ascii="Times New Roman" w:hAnsi="Times New Roman" w:cs="Times New Roman"/>
        </w:rPr>
        <w:t xml:space="preserve"> Тарасенко О.В. Доклад «Повышение эффективности управления федеральным имуществом» / Государственная Дума Федерального Собрания Российской Федерации 06.03.2019.</w:t>
      </w:r>
    </w:p>
  </w:footnote>
  <w:footnote w:id="5">
    <w:p w14:paraId="50B09B9F" w14:textId="77777777" w:rsidR="00710A0F" w:rsidRPr="003B3808" w:rsidRDefault="00710A0F"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w:t>
      </w:r>
      <w:r w:rsidRPr="003B3808">
        <w:rPr>
          <w:rFonts w:ascii="Times New Roman" w:hAnsi="Times New Roman" w:cs="Times New Roman"/>
          <w:lang w:val="en-US"/>
        </w:rPr>
        <w:t>https</w:t>
      </w:r>
      <w:r w:rsidRPr="003B3808">
        <w:rPr>
          <w:rFonts w:ascii="Times New Roman" w:hAnsi="Times New Roman" w:cs="Times New Roman"/>
        </w:rPr>
        <w:t>://</w:t>
      </w:r>
      <w:r w:rsidRPr="003B3808">
        <w:rPr>
          <w:rFonts w:ascii="Times New Roman" w:hAnsi="Times New Roman" w:cs="Times New Roman"/>
          <w:lang w:val="en-US"/>
        </w:rPr>
        <w:t>open</w:t>
      </w:r>
      <w:r w:rsidRPr="003B3808">
        <w:rPr>
          <w:rFonts w:ascii="Times New Roman" w:hAnsi="Times New Roman" w:cs="Times New Roman"/>
        </w:rPr>
        <w:t>.</w:t>
      </w:r>
      <w:r w:rsidRPr="003B3808">
        <w:rPr>
          <w:rFonts w:ascii="Times New Roman" w:hAnsi="Times New Roman" w:cs="Times New Roman"/>
          <w:lang w:val="en-US"/>
        </w:rPr>
        <w:t>gov</w:t>
      </w:r>
      <w:r w:rsidRPr="003B3808">
        <w:rPr>
          <w:rFonts w:ascii="Times New Roman" w:hAnsi="Times New Roman" w:cs="Times New Roman"/>
        </w:rPr>
        <w:t>.</w:t>
      </w:r>
      <w:r w:rsidRPr="003B3808">
        <w:rPr>
          <w:rFonts w:ascii="Times New Roman" w:hAnsi="Times New Roman" w:cs="Times New Roman"/>
          <w:lang w:val="en-US"/>
        </w:rPr>
        <w:t>ru</w:t>
      </w:r>
      <w:r w:rsidRPr="003B3808">
        <w:rPr>
          <w:rFonts w:ascii="Times New Roman" w:hAnsi="Times New Roman" w:cs="Times New Roman"/>
        </w:rPr>
        <w:t>/</w:t>
      </w:r>
      <w:r w:rsidRPr="003B3808">
        <w:rPr>
          <w:rFonts w:ascii="Times New Roman" w:hAnsi="Times New Roman" w:cs="Times New Roman"/>
          <w:lang w:val="en-US"/>
        </w:rPr>
        <w:t>upload</w:t>
      </w:r>
      <w:r w:rsidRPr="003B3808">
        <w:rPr>
          <w:rFonts w:ascii="Times New Roman" w:hAnsi="Times New Roman" w:cs="Times New Roman"/>
        </w:rPr>
        <w:t>/</w:t>
      </w:r>
      <w:r w:rsidRPr="003B3808">
        <w:rPr>
          <w:rFonts w:ascii="Times New Roman" w:hAnsi="Times New Roman" w:cs="Times New Roman"/>
          <w:lang w:val="en-US"/>
        </w:rPr>
        <w:t>iblock</w:t>
      </w:r>
      <w:r w:rsidRPr="003B3808">
        <w:rPr>
          <w:rFonts w:ascii="Times New Roman" w:hAnsi="Times New Roman" w:cs="Times New Roman"/>
        </w:rPr>
        <w:t>/34</w:t>
      </w:r>
      <w:r w:rsidRPr="003B3808">
        <w:rPr>
          <w:rFonts w:ascii="Times New Roman" w:hAnsi="Times New Roman" w:cs="Times New Roman"/>
          <w:lang w:val="en-US"/>
        </w:rPr>
        <w:t>f</w:t>
      </w:r>
      <w:r w:rsidRPr="003B3808">
        <w:rPr>
          <w:rFonts w:ascii="Times New Roman" w:hAnsi="Times New Roman" w:cs="Times New Roman"/>
        </w:rPr>
        <w:t>/34</w:t>
      </w:r>
      <w:r w:rsidRPr="003B3808">
        <w:rPr>
          <w:rFonts w:ascii="Times New Roman" w:hAnsi="Times New Roman" w:cs="Times New Roman"/>
          <w:lang w:val="en-US"/>
        </w:rPr>
        <w:t>fdc</w:t>
      </w:r>
      <w:r w:rsidRPr="003B3808">
        <w:rPr>
          <w:rFonts w:ascii="Times New Roman" w:hAnsi="Times New Roman" w:cs="Times New Roman"/>
        </w:rPr>
        <w:t>27828</w:t>
      </w:r>
      <w:r w:rsidRPr="003B3808">
        <w:rPr>
          <w:rFonts w:ascii="Times New Roman" w:hAnsi="Times New Roman" w:cs="Times New Roman"/>
          <w:lang w:val="en-US"/>
        </w:rPr>
        <w:t>d</w:t>
      </w:r>
      <w:r w:rsidRPr="003B3808">
        <w:rPr>
          <w:rFonts w:ascii="Times New Roman" w:hAnsi="Times New Roman" w:cs="Times New Roman"/>
        </w:rPr>
        <w:t>90</w:t>
      </w:r>
      <w:r w:rsidRPr="003B3808">
        <w:rPr>
          <w:rFonts w:ascii="Times New Roman" w:hAnsi="Times New Roman" w:cs="Times New Roman"/>
          <w:lang w:val="en-US"/>
        </w:rPr>
        <w:t>ac</w:t>
      </w:r>
      <w:r w:rsidRPr="003B3808">
        <w:rPr>
          <w:rFonts w:ascii="Times New Roman" w:hAnsi="Times New Roman" w:cs="Times New Roman"/>
        </w:rPr>
        <w:t>075190</w:t>
      </w:r>
      <w:r w:rsidRPr="003B3808">
        <w:rPr>
          <w:rFonts w:ascii="Times New Roman" w:hAnsi="Times New Roman" w:cs="Times New Roman"/>
          <w:lang w:val="en-US"/>
        </w:rPr>
        <w:t>d</w:t>
      </w:r>
      <w:r w:rsidRPr="003B3808">
        <w:rPr>
          <w:rFonts w:ascii="Times New Roman" w:hAnsi="Times New Roman" w:cs="Times New Roman"/>
        </w:rPr>
        <w:t>161</w:t>
      </w:r>
      <w:r w:rsidRPr="003B3808">
        <w:rPr>
          <w:rFonts w:ascii="Times New Roman" w:hAnsi="Times New Roman" w:cs="Times New Roman"/>
          <w:lang w:val="en-US"/>
        </w:rPr>
        <w:t>d</w:t>
      </w:r>
      <w:r w:rsidRPr="003B3808">
        <w:rPr>
          <w:rFonts w:ascii="Times New Roman" w:hAnsi="Times New Roman" w:cs="Times New Roman"/>
        </w:rPr>
        <w:t>7</w:t>
      </w:r>
      <w:r w:rsidRPr="003B3808">
        <w:rPr>
          <w:rFonts w:ascii="Times New Roman" w:hAnsi="Times New Roman" w:cs="Times New Roman"/>
          <w:lang w:val="en-US"/>
        </w:rPr>
        <w:t>b</w:t>
      </w:r>
      <w:r w:rsidRPr="003B3808">
        <w:rPr>
          <w:rFonts w:ascii="Times New Roman" w:hAnsi="Times New Roman" w:cs="Times New Roman"/>
        </w:rPr>
        <w:t>66</w:t>
      </w:r>
      <w:r w:rsidRPr="003B3808">
        <w:rPr>
          <w:rFonts w:ascii="Times New Roman" w:hAnsi="Times New Roman" w:cs="Times New Roman"/>
          <w:lang w:val="en-US"/>
        </w:rPr>
        <w:t>cc</w:t>
      </w:r>
      <w:r w:rsidRPr="003B3808">
        <w:rPr>
          <w:rFonts w:ascii="Times New Roman" w:hAnsi="Times New Roman" w:cs="Times New Roman"/>
        </w:rPr>
        <w:t>.</w:t>
      </w:r>
      <w:r w:rsidRPr="003B3808">
        <w:rPr>
          <w:rFonts w:ascii="Times New Roman" w:hAnsi="Times New Roman" w:cs="Times New Roman"/>
          <w:lang w:val="en-US"/>
        </w:rPr>
        <w:t>pdf</w:t>
      </w:r>
    </w:p>
  </w:footnote>
  <w:footnote w:id="6">
    <w:p w14:paraId="224F08BE" w14:textId="77777777" w:rsidR="00710A0F" w:rsidRPr="003B3808" w:rsidRDefault="00710A0F"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http://www.rosim.ru/about/reports/performance/345927</w:t>
      </w:r>
    </w:p>
  </w:footnote>
  <w:footnote w:id="7">
    <w:p w14:paraId="4D0F1CAA" w14:textId="77777777" w:rsidR="00710A0F" w:rsidRPr="003B3808" w:rsidRDefault="00710A0F" w:rsidP="00680A07">
      <w:pPr>
        <w:pStyle w:val="ae"/>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http://expert.ru/2018/02/26/tsentrobank-dolya-gosbankov-v-bankovskom-sektore-rf-vyirosla-do-66_2/</w:t>
      </w:r>
    </w:p>
  </w:footnote>
  <w:footnote w:id="8">
    <w:p w14:paraId="57CB9613" w14:textId="77777777" w:rsidR="00710A0F" w:rsidRPr="00D923EC" w:rsidRDefault="00710A0F" w:rsidP="00680A07">
      <w:pPr>
        <w:pStyle w:val="ae"/>
        <w:jc w:val="both"/>
        <w:rPr>
          <w:rFonts w:ascii="Times New Roman" w:hAnsi="Times New Roman" w:cs="Times New Roman"/>
        </w:rPr>
      </w:pPr>
      <w:r w:rsidRPr="00D923EC">
        <w:rPr>
          <w:rStyle w:val="af0"/>
          <w:rFonts w:ascii="Times New Roman" w:hAnsi="Times New Roman" w:cs="Times New Roman"/>
        </w:rPr>
        <w:footnoteRef/>
      </w:r>
      <w:r w:rsidRPr="00D923EC">
        <w:rPr>
          <w:rFonts w:ascii="Times New Roman" w:hAnsi="Times New Roman" w:cs="Times New Roman"/>
        </w:rPr>
        <w:t xml:space="preserve"> Калашников И.Б. Экономическая безопасность региона: Теория обоснования и практика осуществления / Экономическая безопасность России: вызовы XXI века : материалы II международной (заочной) научно-практической конференции / [отв. ред. Ю.А. Коблова]. – Саратов : Саратовский социально-экономический институт (филиал) РЭУ им. Г.В. Плеханова, 2017</w:t>
      </w:r>
    </w:p>
  </w:footnote>
  <w:footnote w:id="9">
    <w:p w14:paraId="30C54E67" w14:textId="77777777" w:rsidR="00710A0F" w:rsidRPr="00AA692C" w:rsidRDefault="00710A0F" w:rsidP="00D2443B">
      <w:pPr>
        <w:pStyle w:val="ae"/>
        <w:rPr>
          <w:rFonts w:ascii="Times New Roman" w:hAnsi="Times New Roman" w:cs="Times New Roman"/>
        </w:rPr>
      </w:pPr>
      <w:r>
        <w:rPr>
          <w:rStyle w:val="af0"/>
        </w:rPr>
        <w:footnoteRef/>
      </w:r>
      <w:r w:rsidRPr="00A37843">
        <w:t xml:space="preserve"> </w:t>
      </w:r>
      <w:r w:rsidRPr="00AA692C">
        <w:rPr>
          <w:rFonts w:ascii="Times New Roman" w:hAnsi="Times New Roman" w:cs="Times New Roman"/>
        </w:rPr>
        <w:t xml:space="preserve">Иванов А.Ю. Контроль монополизации в условиях цифровой экономики: первая часть дискуссии о пятом антимонопольном пакете // Закон. 2018. </w:t>
      </w:r>
      <w:r w:rsidRPr="00AA692C">
        <w:rPr>
          <w:rFonts w:ascii="Times New Roman" w:hAnsi="Times New Roman" w:cs="Times New Roman"/>
          <w:lang w:val="en-US"/>
        </w:rPr>
        <w:t>N</w:t>
      </w:r>
      <w:r w:rsidRPr="00AA692C">
        <w:rPr>
          <w:rFonts w:ascii="Times New Roman" w:hAnsi="Times New Roman" w:cs="Times New Roman"/>
        </w:rPr>
        <w:t xml:space="preserve"> 2. С. 106 - 119.</w:t>
      </w:r>
    </w:p>
  </w:footnote>
  <w:footnote w:id="10">
    <w:p w14:paraId="1C5D7FDD" w14:textId="77777777" w:rsidR="00710A0F" w:rsidRPr="00AA692C" w:rsidRDefault="00710A0F" w:rsidP="00090629">
      <w:pPr>
        <w:pStyle w:val="ae"/>
        <w:rPr>
          <w:rFonts w:ascii="Times New Roman" w:hAnsi="Times New Roman" w:cs="Times New Roman"/>
        </w:rPr>
      </w:pPr>
      <w:r w:rsidRPr="00AA692C">
        <w:rPr>
          <w:rStyle w:val="af0"/>
          <w:rFonts w:ascii="Times New Roman" w:hAnsi="Times New Roman" w:cs="Times New Roman"/>
        </w:rPr>
        <w:footnoteRef/>
      </w:r>
      <w:r w:rsidRPr="00AA692C">
        <w:rPr>
          <w:rFonts w:ascii="Times New Roman" w:hAnsi="Times New Roman" w:cs="Times New Roman"/>
        </w:rPr>
        <w:t xml:space="preserve"> Официальный сайт Банка России. https://www.cbr.ru/statistics/?PrtId= (Дата обращения: 27.02.2019).</w:t>
      </w:r>
    </w:p>
  </w:footnote>
  <w:footnote w:id="11">
    <w:p w14:paraId="49FF0ED6" w14:textId="77777777" w:rsidR="00710A0F" w:rsidRPr="00FB3250" w:rsidRDefault="00710A0F" w:rsidP="00090629">
      <w:pPr>
        <w:pStyle w:val="ae"/>
        <w:rPr>
          <w:rFonts w:ascii="Times New Roman" w:hAnsi="Times New Roman" w:cs="Times New Roman"/>
        </w:rPr>
      </w:pPr>
      <w:r w:rsidRPr="00AA692C">
        <w:rPr>
          <w:rStyle w:val="af0"/>
          <w:rFonts w:ascii="Times New Roman" w:hAnsi="Times New Roman" w:cs="Times New Roman"/>
        </w:rPr>
        <w:footnoteRef/>
      </w:r>
      <w:r w:rsidRPr="00AA692C">
        <w:rPr>
          <w:rFonts w:ascii="Times New Roman" w:hAnsi="Times New Roman" w:cs="Times New Roman"/>
        </w:rPr>
        <w:t xml:space="preserve"> Данные будут изменены после получения сведений от ЦБ РФ за </w:t>
      </w:r>
      <w:r w:rsidRPr="00AA692C">
        <w:rPr>
          <w:rFonts w:ascii="Times New Roman" w:hAnsi="Times New Roman" w:cs="Times New Roman"/>
          <w:lang w:val="en-US"/>
        </w:rPr>
        <w:t>II</w:t>
      </w:r>
      <w:r w:rsidRPr="00AA692C">
        <w:rPr>
          <w:rFonts w:ascii="Times New Roman" w:hAnsi="Times New Roman" w:cs="Times New Roman"/>
        </w:rPr>
        <w:t xml:space="preserve"> полугодие 2018 года</w:t>
      </w:r>
    </w:p>
  </w:footnote>
  <w:footnote w:id="12">
    <w:p w14:paraId="58E90181" w14:textId="77777777" w:rsidR="00710A0F" w:rsidRPr="00AA692C" w:rsidRDefault="00710A0F" w:rsidP="00090629">
      <w:pPr>
        <w:pStyle w:val="ae"/>
        <w:rPr>
          <w:rFonts w:ascii="Times New Roman" w:hAnsi="Times New Roman" w:cs="Times New Roman"/>
          <w:sz w:val="24"/>
          <w:szCs w:val="24"/>
        </w:rPr>
      </w:pPr>
      <w:r w:rsidRPr="00AA692C">
        <w:rPr>
          <w:rStyle w:val="af0"/>
          <w:rFonts w:ascii="Times New Roman" w:hAnsi="Times New Roman" w:cs="Times New Roman"/>
          <w:szCs w:val="24"/>
        </w:rPr>
        <w:footnoteRef/>
      </w:r>
      <w:r w:rsidRPr="00AA692C">
        <w:rPr>
          <w:rFonts w:ascii="Times New Roman" w:hAnsi="Times New Roman" w:cs="Times New Roman"/>
          <w:szCs w:val="24"/>
        </w:rPr>
        <w:t xml:space="preserve"> https://www.standardandpoors.com/ru_RU/web/guest/ratings/ratings-actions</w:t>
      </w:r>
    </w:p>
  </w:footnote>
  <w:footnote w:id="13">
    <w:p w14:paraId="288E7767" w14:textId="77777777" w:rsidR="00710A0F" w:rsidRPr="00566721" w:rsidRDefault="00710A0F"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14">
    <w:p w14:paraId="7C8760BD" w14:textId="77777777" w:rsidR="00710A0F" w:rsidRPr="00566721" w:rsidRDefault="00710A0F" w:rsidP="008C6DE1">
      <w:pPr>
        <w:spacing w:after="0" w:line="240" w:lineRule="auto"/>
        <w:rPr>
          <w:rFonts w:ascii="Times New Roman" w:hAnsi="Times New Roman" w:cs="Times New Roman"/>
          <w:sz w:val="20"/>
          <w:szCs w:val="20"/>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Единый реестр субъектов малого и среднего предпринимательства // Официальный сайт ФНС России </w:t>
      </w:r>
      <w:hyperlink r:id="rId1" w:history="1">
        <w:r w:rsidRPr="00566721">
          <w:rPr>
            <w:rStyle w:val="af1"/>
            <w:rFonts w:ascii="Times New Roman" w:hAnsi="Times New Roman" w:cs="Times New Roman"/>
            <w:sz w:val="20"/>
            <w:szCs w:val="20"/>
          </w:rPr>
          <w:t>https://rmsp.nalog.ru/</w:t>
        </w:r>
      </w:hyperlink>
    </w:p>
  </w:footnote>
  <w:footnote w:id="15">
    <w:p w14:paraId="709726F2" w14:textId="77777777" w:rsidR="00710A0F" w:rsidRPr="00566721" w:rsidRDefault="00710A0F"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16">
    <w:p w14:paraId="71BE0E84" w14:textId="77777777" w:rsidR="00710A0F" w:rsidRPr="00566721" w:rsidRDefault="00710A0F" w:rsidP="008C6DE1">
      <w:pPr>
        <w:spacing w:after="0" w:line="240" w:lineRule="auto"/>
        <w:jc w:val="both"/>
        <w:rPr>
          <w:rFonts w:ascii="Times New Roman" w:eastAsia="Times New Roman" w:hAnsi="Times New Roman" w:cs="Times New Roman"/>
          <w:sz w:val="20"/>
          <w:szCs w:val="20"/>
          <w:lang w:eastAsia="ru-RU"/>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w:t>
      </w:r>
      <w:r w:rsidRPr="00566721">
        <w:rPr>
          <w:rFonts w:ascii="Times New Roman" w:eastAsia="Times New Roman" w:hAnsi="Times New Roman" w:cs="Times New Roman"/>
          <w:sz w:val="20"/>
          <w:szCs w:val="20"/>
          <w:lang w:eastAsia="ru-RU"/>
        </w:rPr>
        <w:t>По данным ФНС России на 10.04.2018</w:t>
      </w:r>
    </w:p>
    <w:p w14:paraId="233FE0DB" w14:textId="77777777" w:rsidR="00710A0F" w:rsidRDefault="00710A0F" w:rsidP="008C6DE1">
      <w:pPr>
        <w:pStyle w:val="ae"/>
      </w:pPr>
    </w:p>
  </w:footnote>
  <w:footnote w:id="17">
    <w:p w14:paraId="3F317FA4" w14:textId="77777777" w:rsidR="00710A0F" w:rsidRPr="00047E45" w:rsidRDefault="00710A0F" w:rsidP="00047E45">
      <w:pPr>
        <w:pStyle w:val="ae"/>
        <w:rPr>
          <w:rFonts w:ascii="Times New Roman" w:hAnsi="Times New Roman" w:cs="Times New Roman"/>
        </w:rPr>
      </w:pPr>
      <w:r w:rsidRPr="00047E45">
        <w:rPr>
          <w:rStyle w:val="af0"/>
          <w:rFonts w:ascii="Times New Roman" w:hAnsi="Times New Roman" w:cs="Times New Roman"/>
        </w:rPr>
        <w:footnoteRef/>
      </w:r>
      <w:r w:rsidRPr="00047E45">
        <w:rPr>
          <w:rFonts w:ascii="Times New Roman" w:hAnsi="Times New Roman" w:cs="Times New Roman"/>
        </w:rPr>
        <w:t xml:space="preserve"> http://ac.gov.ru/files/publication/a/20260.pdf</w:t>
      </w:r>
    </w:p>
  </w:footnote>
  <w:footnote w:id="18">
    <w:p w14:paraId="68FA9CB4" w14:textId="77777777" w:rsidR="00710A0F" w:rsidRPr="00EF3C3C" w:rsidRDefault="00710A0F" w:rsidP="00953C42">
      <w:pPr>
        <w:pStyle w:val="ae"/>
        <w:rPr>
          <w:rFonts w:ascii="Times New Roman" w:hAnsi="Times New Roman"/>
          <w:color w:val="000000" w:themeColor="text1"/>
          <w:sz w:val="18"/>
          <w:szCs w:val="18"/>
        </w:rPr>
      </w:pPr>
      <w:r w:rsidRPr="00EF3C3C">
        <w:rPr>
          <w:rStyle w:val="af0"/>
          <w:rFonts w:ascii="Times New Roman" w:hAnsi="Times New Roman"/>
          <w:color w:val="000000" w:themeColor="text1"/>
        </w:rPr>
        <w:footnoteRef/>
      </w:r>
      <w:r w:rsidRPr="00EF3C3C">
        <w:rPr>
          <w:rFonts w:ascii="Times New Roman" w:hAnsi="Times New Roman"/>
          <w:color w:val="000000" w:themeColor="text1"/>
          <w:sz w:val="18"/>
          <w:szCs w:val="18"/>
        </w:rPr>
        <w:t xml:space="preserve"> http://www.doingbusiness.org.</w:t>
      </w:r>
    </w:p>
  </w:footnote>
  <w:footnote w:id="19">
    <w:p w14:paraId="715A9555" w14:textId="77777777" w:rsidR="00710A0F" w:rsidRPr="00EF3C3C" w:rsidRDefault="00710A0F" w:rsidP="00953C42">
      <w:pPr>
        <w:pStyle w:val="ae"/>
        <w:rPr>
          <w:rFonts w:ascii="Times New Roman" w:hAnsi="Times New Roman"/>
          <w:color w:val="000000" w:themeColor="text1"/>
          <w:sz w:val="18"/>
          <w:szCs w:val="18"/>
        </w:rPr>
      </w:pPr>
      <w:r w:rsidRPr="00EF3C3C">
        <w:rPr>
          <w:rStyle w:val="af0"/>
          <w:rFonts w:ascii="Times New Roman" w:hAnsi="Times New Roman"/>
          <w:color w:val="000000" w:themeColor="text1"/>
        </w:rPr>
        <w:footnoteRef/>
      </w:r>
      <w:r w:rsidRPr="00EF3C3C">
        <w:rPr>
          <w:rFonts w:ascii="Times New Roman" w:hAnsi="Times New Roman"/>
          <w:color w:val="000000" w:themeColor="text1"/>
          <w:sz w:val="18"/>
          <w:szCs w:val="18"/>
        </w:rPr>
        <w:t xml:space="preserve"> http://reports.weforum.org/global-competitiveness-index-2017-2018.</w:t>
      </w:r>
    </w:p>
  </w:footnote>
  <w:footnote w:id="20">
    <w:p w14:paraId="3B1FC5F4" w14:textId="77777777" w:rsidR="00710A0F" w:rsidRPr="00EF3C3C" w:rsidRDefault="00710A0F" w:rsidP="00953C42">
      <w:pPr>
        <w:pStyle w:val="ae"/>
        <w:rPr>
          <w:rFonts w:ascii="Times New Roman" w:hAnsi="Times New Roman"/>
          <w:color w:val="000000" w:themeColor="text1"/>
          <w:sz w:val="18"/>
          <w:szCs w:val="18"/>
        </w:rPr>
      </w:pPr>
      <w:r w:rsidRPr="00EF3C3C">
        <w:rPr>
          <w:rStyle w:val="af0"/>
          <w:rFonts w:ascii="Times New Roman" w:hAnsi="Times New Roman"/>
          <w:color w:val="000000" w:themeColor="text1"/>
        </w:rPr>
        <w:footnoteRef/>
      </w:r>
      <w:r w:rsidRPr="00EF3C3C">
        <w:rPr>
          <w:rFonts w:ascii="Times New Roman" w:hAnsi="Times New Roman"/>
          <w:color w:val="000000" w:themeColor="text1"/>
          <w:sz w:val="18"/>
          <w:szCs w:val="18"/>
        </w:rPr>
        <w:t xml:space="preserve"> http://info.worldbank.org/governance/wgi.</w:t>
      </w:r>
    </w:p>
  </w:footnote>
  <w:footnote w:id="21">
    <w:p w14:paraId="4CFA0705" w14:textId="77777777" w:rsidR="00710A0F" w:rsidRDefault="00710A0F" w:rsidP="00953C42">
      <w:pPr>
        <w:pStyle w:val="ae"/>
      </w:pPr>
      <w:r w:rsidRPr="00EF3C3C">
        <w:rPr>
          <w:rStyle w:val="af0"/>
          <w:rFonts w:ascii="Times New Roman" w:hAnsi="Times New Roman"/>
          <w:color w:val="000000" w:themeColor="text1"/>
        </w:rPr>
        <w:footnoteRef/>
      </w:r>
      <w:r w:rsidRPr="00EF3C3C">
        <w:rPr>
          <w:rFonts w:ascii="Times New Roman" w:hAnsi="Times New Roman"/>
          <w:color w:val="000000" w:themeColor="text1"/>
          <w:sz w:val="18"/>
          <w:szCs w:val="18"/>
        </w:rPr>
        <w:t xml:space="preserve"> https://www.fraserinstitute.org/studies/economic-freedom-of-the-world-2017-annual-report.</w:t>
      </w:r>
    </w:p>
  </w:footnote>
  <w:footnote w:id="22">
    <w:p w14:paraId="2EEC1B71" w14:textId="77777777" w:rsidR="00710A0F" w:rsidRPr="007D728B" w:rsidRDefault="00710A0F" w:rsidP="00E10254">
      <w:pPr>
        <w:pStyle w:val="ae"/>
        <w:rPr>
          <w:rFonts w:ascii="Times New Roman" w:hAnsi="Times New Roman" w:cs="Times New Roman"/>
        </w:rPr>
      </w:pPr>
      <w:r w:rsidRPr="007D728B">
        <w:rPr>
          <w:rStyle w:val="af0"/>
          <w:rFonts w:ascii="Times New Roman" w:hAnsi="Times New Roman" w:cs="Times New Roman"/>
        </w:rPr>
        <w:footnoteRef/>
      </w:r>
      <w:r w:rsidRPr="007D728B">
        <w:rPr>
          <w:rFonts w:ascii="Times New Roman" w:hAnsi="Times New Roman" w:cs="Times New Roman"/>
        </w:rPr>
        <w:t xml:space="preserve"> </w:t>
      </w:r>
      <w:r>
        <w:rPr>
          <w:rFonts w:ascii="Times New Roman" w:hAnsi="Times New Roman" w:cs="Times New Roman"/>
        </w:rPr>
        <w:t>«</w:t>
      </w:r>
      <w:r w:rsidRPr="007D728B">
        <w:rPr>
          <w:rFonts w:ascii="Times New Roman" w:hAnsi="Times New Roman" w:cs="Times New Roman"/>
        </w:rPr>
        <w:t xml:space="preserve">Программа СПИК. Отчет </w:t>
      </w:r>
      <w:r>
        <w:rPr>
          <w:rFonts w:ascii="Times New Roman" w:hAnsi="Times New Roman" w:cs="Times New Roman"/>
        </w:rPr>
        <w:t>за декабрь 2018»</w:t>
      </w:r>
      <w:r w:rsidRPr="007D728B">
        <w:rPr>
          <w:rFonts w:ascii="Times New Roman" w:hAnsi="Times New Roman" w:cs="Times New Roman"/>
        </w:rPr>
        <w:t xml:space="preserve"> Фонда развития промышленности</w:t>
      </w:r>
      <w:r>
        <w:rPr>
          <w:rFonts w:ascii="Times New Roman" w:hAnsi="Times New Roman" w:cs="Times New Roman"/>
        </w:rPr>
        <w:t>.</w:t>
      </w:r>
    </w:p>
  </w:footnote>
  <w:footnote w:id="23">
    <w:p w14:paraId="32E5829C" w14:textId="77777777" w:rsidR="00710A0F" w:rsidRPr="00BC412F" w:rsidRDefault="00710A0F" w:rsidP="00A771B0">
      <w:pPr>
        <w:pStyle w:val="ae"/>
        <w:suppressAutoHyphens/>
        <w:ind w:firstLine="709"/>
        <w:jc w:val="both"/>
        <w:rPr>
          <w:rFonts w:ascii="Times New Roman" w:hAnsi="Times New Roman" w:cs="Times New Roman"/>
        </w:rPr>
      </w:pPr>
      <w:r w:rsidRPr="00D74631">
        <w:rPr>
          <w:rStyle w:val="af0"/>
          <w:sz w:val="22"/>
          <w:szCs w:val="22"/>
        </w:rPr>
        <w:footnoteRef/>
      </w:r>
      <w:r w:rsidRPr="00D74631">
        <w:rPr>
          <w:rFonts w:ascii="Times New Roman" w:hAnsi="Times New Roman" w:cs="Times New Roman"/>
          <w:sz w:val="22"/>
          <w:szCs w:val="22"/>
        </w:rPr>
        <w:t xml:space="preserve"> </w:t>
      </w:r>
      <w:r w:rsidRPr="00BC412F">
        <w:rPr>
          <w:rFonts w:ascii="Times New Roman" w:hAnsi="Times New Roman" w:cs="Times New Roman"/>
        </w:rPr>
        <w:t>Под государственным участием понимается участие в уставном капитале финансовой организации Российской Федерации, субъектов Российской Федерации, муниципальных образований, государственных корпораций, государственных компаний, а также Банка России.</w:t>
      </w:r>
    </w:p>
  </w:footnote>
  <w:footnote w:id="24">
    <w:p w14:paraId="29D07C3B" w14:textId="77777777" w:rsidR="00710A0F" w:rsidRDefault="00710A0F" w:rsidP="0042393D">
      <w:pPr>
        <w:pStyle w:val="ae"/>
      </w:pPr>
      <w:r>
        <w:rPr>
          <w:rStyle w:val="af0"/>
        </w:rPr>
        <w:footnoteRef/>
      </w:r>
      <w:r>
        <w:t xml:space="preserve"> На основе вопроса о том, насколько часто бизнесу необходимо предпринимать меры по повышению конкурентоспособности своей продукции, а также разрабатывать новые способы повышения ее конкурентоспособности для сохранения своей рыночной позиции. </w:t>
      </w:r>
    </w:p>
  </w:footnote>
  <w:footnote w:id="25">
    <w:p w14:paraId="3E3AA9F1" w14:textId="77777777" w:rsidR="00710A0F" w:rsidRDefault="00710A0F" w:rsidP="0042393D">
      <w:pPr>
        <w:pStyle w:val="ae"/>
      </w:pPr>
      <w:r>
        <w:rPr>
          <w:rStyle w:val="af0"/>
        </w:rPr>
        <w:footnoteRef/>
      </w:r>
      <w:r>
        <w:t xml:space="preserve"> Эластичность спроса </w:t>
      </w:r>
      <w:r w:rsidRPr="001C4A7F">
        <w:t>отража</w:t>
      </w:r>
      <w:r>
        <w:t>ет</w:t>
      </w:r>
      <w:r w:rsidRPr="001C4A7F">
        <w:t xml:space="preserve"> готовность и возможность потребителей при повышении цены на товары и услуги одной организации замещать их альтернативной продукцией других поставщиков</w:t>
      </w:r>
      <w:r>
        <w:t>.</w:t>
      </w:r>
    </w:p>
  </w:footnote>
  <w:footnote w:id="26">
    <w:p w14:paraId="6B965977" w14:textId="77777777" w:rsidR="00710A0F" w:rsidRPr="00A829E9" w:rsidRDefault="00710A0F"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https://newinform.com/region/spb/141194-v-peterburge-proizvoditeli-i-ufas-ne-podderzhali-zapret-na-prodazhu-energetikov-detyam</w:t>
      </w:r>
    </w:p>
  </w:footnote>
  <w:footnote w:id="27">
    <w:p w14:paraId="01F31F0C" w14:textId="77777777" w:rsidR="00710A0F" w:rsidRPr="00A829E9" w:rsidRDefault="00710A0F"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https://tass.ru/ekonomika/5780997</w:t>
      </w:r>
    </w:p>
  </w:footnote>
  <w:footnote w:id="28">
    <w:p w14:paraId="66FAC9BA" w14:textId="77777777" w:rsidR="00710A0F" w:rsidRPr="00A829E9" w:rsidRDefault="00710A0F"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https://www.vedomosti.ru/business/articles/2016/08/31/655062-aktsiz-sladkie-napitki </w:t>
      </w:r>
    </w:p>
  </w:footnote>
  <w:footnote w:id="29">
    <w:p w14:paraId="3E19D185" w14:textId="77777777" w:rsidR="00710A0F" w:rsidRPr="00E64D69" w:rsidRDefault="00710A0F" w:rsidP="00481A29">
      <w:pPr>
        <w:pStyle w:val="ae"/>
        <w:keepNext/>
        <w:widowControl w:val="0"/>
        <w:jc w:val="both"/>
        <w:rPr>
          <w:sz w:val="22"/>
          <w:szCs w:val="22"/>
        </w:rPr>
      </w:pPr>
      <w:r w:rsidRPr="00A829E9">
        <w:rPr>
          <w:rStyle w:val="af0"/>
          <w:rFonts w:ascii="Times New Roman" w:hAnsi="Times New Roman" w:cs="Times New Roman"/>
        </w:rPr>
        <w:footnoteRef/>
      </w:r>
      <w:r w:rsidRPr="00A829E9">
        <w:rPr>
          <w:rFonts w:ascii="Times New Roman" w:hAnsi="Times New Roman" w:cs="Times New Roman"/>
        </w:rPr>
        <w:t xml:space="preserve"> См.: https://fas.gov.ru/publications/743</w:t>
      </w:r>
    </w:p>
  </w:footnote>
  <w:footnote w:id="30">
    <w:p w14:paraId="7F87A9D6" w14:textId="77777777" w:rsidR="00710A0F" w:rsidRPr="00E64D69" w:rsidRDefault="00710A0F" w:rsidP="00481A29">
      <w:pPr>
        <w:pStyle w:val="ae"/>
        <w:keepNext/>
        <w:widowControl w:val="0"/>
        <w:jc w:val="both"/>
        <w:rPr>
          <w:sz w:val="22"/>
          <w:szCs w:val="22"/>
        </w:rPr>
      </w:pPr>
      <w:r w:rsidRPr="00E64D69">
        <w:rPr>
          <w:rStyle w:val="af0"/>
          <w:sz w:val="22"/>
          <w:szCs w:val="22"/>
        </w:rPr>
        <w:footnoteRef/>
      </w:r>
      <w:r w:rsidRPr="00E64D69">
        <w:rPr>
          <w:sz w:val="22"/>
          <w:szCs w:val="22"/>
        </w:rPr>
        <w:t xml:space="preserve"> См.: https://milknews.ru/index/fas-akciz-sladkie-napitki.html</w:t>
      </w:r>
    </w:p>
  </w:footnote>
  <w:footnote w:id="31">
    <w:p w14:paraId="128B84BC" w14:textId="77777777" w:rsidR="00710A0F" w:rsidRPr="00E64D69" w:rsidRDefault="00710A0F" w:rsidP="00481A29">
      <w:pPr>
        <w:keepNext/>
        <w:widowControl w:val="0"/>
        <w:autoSpaceDE w:val="0"/>
        <w:autoSpaceDN w:val="0"/>
        <w:adjustRightInd w:val="0"/>
        <w:spacing w:after="0" w:line="240" w:lineRule="auto"/>
        <w:jc w:val="both"/>
        <w:rPr>
          <w:rFonts w:cs="Tahoma"/>
          <w:lang w:eastAsia="ru-RU"/>
        </w:rPr>
      </w:pPr>
      <w:r w:rsidRPr="00E64D69">
        <w:rPr>
          <w:rStyle w:val="af0"/>
          <w:rFonts w:cs="Tahoma"/>
        </w:rPr>
        <w:footnoteRef/>
      </w:r>
      <w:r w:rsidRPr="00E64D69">
        <w:rPr>
          <w:rFonts w:cs="Tahoma"/>
        </w:rPr>
        <w:t xml:space="preserve"> См.</w:t>
      </w:r>
      <w:r>
        <w:rPr>
          <w:rFonts w:cs="Tahoma"/>
        </w:rPr>
        <w:t>,</w:t>
      </w:r>
      <w:r w:rsidRPr="00E64D69">
        <w:rPr>
          <w:rFonts w:cs="Tahoma"/>
        </w:rPr>
        <w:t xml:space="preserve"> например: Решение ФАС России от 29.10.2015 № 223ФЗ-326/15, Решение ФАС России от 28.12.2015 № 223ФЗ-435/15, Решение ФАС России от 19.10.2016 № 223ФЗ-585/16, </w:t>
      </w:r>
      <w:r w:rsidRPr="00E64D69">
        <w:rPr>
          <w:rFonts w:cs="Tahoma"/>
          <w:lang w:eastAsia="ru-RU"/>
        </w:rPr>
        <w:t>Решение ФАС России от 21.03.2017 N 223ФЗ-211/17, Решение ФАС России от 14.03.2017 N 223ФЗ-180/17, Решение ФАС России от 24.03.2017 N 223ФЗ-237/17 и т.д.</w:t>
      </w:r>
    </w:p>
  </w:footnote>
  <w:footnote w:id="32">
    <w:p w14:paraId="0D6FDBDE" w14:textId="77777777" w:rsidR="00710A0F" w:rsidRPr="00E64D69" w:rsidRDefault="00710A0F" w:rsidP="00481A29">
      <w:pPr>
        <w:pStyle w:val="ae"/>
        <w:keepNext/>
        <w:widowControl w:val="0"/>
        <w:jc w:val="both"/>
        <w:rPr>
          <w:rFonts w:cs="Tahoma"/>
          <w:sz w:val="22"/>
          <w:szCs w:val="22"/>
        </w:rPr>
      </w:pPr>
      <w:r w:rsidRPr="00E64D69">
        <w:rPr>
          <w:rStyle w:val="af0"/>
          <w:rFonts w:cs="Tahoma"/>
          <w:sz w:val="22"/>
          <w:szCs w:val="22"/>
        </w:rPr>
        <w:footnoteRef/>
      </w:r>
      <w:r w:rsidRPr="00E64D69">
        <w:rPr>
          <w:rFonts w:cs="Tahoma"/>
          <w:sz w:val="22"/>
          <w:szCs w:val="22"/>
        </w:rPr>
        <w:t xml:space="preserve"> Утвержден Президиумом Верховного Суда РФ от 27.12.2017.</w:t>
      </w:r>
    </w:p>
  </w:footnote>
  <w:footnote w:id="33">
    <w:p w14:paraId="175296A3" w14:textId="77777777" w:rsidR="00710A0F" w:rsidRPr="00883A81" w:rsidRDefault="00710A0F" w:rsidP="00481A29">
      <w:pPr>
        <w:pStyle w:val="ae"/>
        <w:keepNext/>
        <w:widowControl w:val="0"/>
        <w:jc w:val="both"/>
        <w:rPr>
          <w:rFonts w:ascii="Times New Roman" w:hAnsi="Times New Roman" w:cs="Times New Roman"/>
          <w:lang w:val="en-US"/>
        </w:rPr>
      </w:pPr>
      <w:r w:rsidRPr="00883A81">
        <w:rPr>
          <w:rStyle w:val="af0"/>
          <w:rFonts w:ascii="Times New Roman" w:hAnsi="Times New Roman" w:cs="Times New Roman"/>
        </w:rPr>
        <w:footnoteRef/>
      </w:r>
      <w:r w:rsidRPr="00883A81">
        <w:rPr>
          <w:rFonts w:ascii="Times New Roman" w:hAnsi="Times New Roman" w:cs="Times New Roman"/>
          <w:lang w:val="en-US"/>
        </w:rPr>
        <w:t xml:space="preserve"> </w:t>
      </w:r>
      <w:r w:rsidRPr="00883A81">
        <w:rPr>
          <w:rFonts w:ascii="Times New Roman" w:hAnsi="Times New Roman" w:cs="Times New Roman"/>
        </w:rPr>
        <w:t>См</w:t>
      </w:r>
      <w:r w:rsidRPr="00883A81">
        <w:rPr>
          <w:rFonts w:ascii="Times New Roman" w:hAnsi="Times New Roman" w:cs="Times New Roman"/>
          <w:lang w:val="en-US"/>
        </w:rPr>
        <w:t xml:space="preserve">., </w:t>
      </w:r>
      <w:r w:rsidRPr="00883A81">
        <w:rPr>
          <w:rFonts w:ascii="Times New Roman" w:hAnsi="Times New Roman" w:cs="Times New Roman"/>
        </w:rPr>
        <w:t>в</w:t>
      </w:r>
      <w:r w:rsidRPr="00883A81">
        <w:rPr>
          <w:rFonts w:ascii="Times New Roman" w:hAnsi="Times New Roman" w:cs="Times New Roman"/>
          <w:lang w:val="en-US"/>
        </w:rPr>
        <w:t xml:space="preserve"> </w:t>
      </w:r>
      <w:r w:rsidRPr="00883A81">
        <w:rPr>
          <w:rFonts w:ascii="Times New Roman" w:hAnsi="Times New Roman" w:cs="Times New Roman"/>
        </w:rPr>
        <w:t>частности</w:t>
      </w:r>
      <w:r w:rsidRPr="00883A81">
        <w:rPr>
          <w:rFonts w:ascii="Times New Roman" w:hAnsi="Times New Roman" w:cs="Times New Roman"/>
          <w:lang w:val="en-US"/>
        </w:rPr>
        <w:t>: Case 8/74. (1974). ECR, 837 Dassonville, Case 120/78. (1979). ECR., 649 Cassis de Dijon, Cases 25 and 26/84 Ford-Werke AG and Ford of Europe Inc. v Commission. (1985). ECR 2725, Joined Cases C468/06 to C478/06 [Sot. Lélos kai Sia]</w:t>
      </w:r>
    </w:p>
  </w:footnote>
  <w:footnote w:id="34">
    <w:p w14:paraId="5669AD86" w14:textId="77777777" w:rsidR="00710A0F" w:rsidRPr="00B9260F" w:rsidRDefault="00710A0F" w:rsidP="009D1082">
      <w:pPr>
        <w:pStyle w:val="ae"/>
        <w:jc w:val="both"/>
        <w:rPr>
          <w:rFonts w:ascii="Times New Roman" w:hAnsi="Times New Roman" w:cs="Times New Roman"/>
        </w:rPr>
      </w:pPr>
      <w:r w:rsidRPr="00B9260F">
        <w:rPr>
          <w:rStyle w:val="af0"/>
          <w:rFonts w:ascii="Times New Roman" w:hAnsi="Times New Roman" w:cs="Times New Roman"/>
        </w:rPr>
        <w:footnoteRef/>
      </w:r>
      <w:r w:rsidRPr="00B9260F">
        <w:rPr>
          <w:rFonts w:ascii="Times New Roman" w:hAnsi="Times New Roman" w:cs="Times New Roman"/>
        </w:rPr>
        <w:t xml:space="preserve"> Межведомственная рабочая группа создана приказом Минэкономразвития России от 14 октября 2016 г.  № 659 в соответствии с пунктом 3 распоряжения Правительства Российской Федерации от 17 сентября 2016 г. № 1969-р, в целях обеспечения эффективного внедрения и реализации Стандарта, в том числе посредством актуализации Стандарта и разъяснений его положений.</w:t>
      </w:r>
    </w:p>
  </w:footnote>
  <w:footnote w:id="35">
    <w:p w14:paraId="2F32E45E" w14:textId="77777777" w:rsidR="00710A0F" w:rsidRPr="00FF3F29" w:rsidRDefault="00710A0F"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Утвержден распоряжением Правительства Российской Федерации от 16.08.2018 № 1697-р.</w:t>
      </w:r>
    </w:p>
  </w:footnote>
  <w:footnote w:id="36">
    <w:p w14:paraId="4E6FB932" w14:textId="77777777" w:rsidR="00710A0F" w:rsidRPr="00FF3F29" w:rsidRDefault="00710A0F"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Предусматривающую предоставление Банком России кредитов, обеспеченных поручительством </w:t>
      </w:r>
      <w:r w:rsidRPr="00FF3F29">
        <w:rPr>
          <w:rFonts w:ascii="Times New Roman" w:hAnsi="Times New Roman" w:cs="Times New Roman"/>
        </w:rPr>
        <w:br/>
        <w:t>АО «Корпорация «МСП», по льготной процентной ставке на срок до 3 лет кредитным организациям, являющимся участниками Программы и предоставившим кредиты субъектам МСП.</w:t>
      </w:r>
    </w:p>
  </w:footnote>
  <w:footnote w:id="37">
    <w:p w14:paraId="2F20A535" w14:textId="77777777" w:rsidR="00710A0F" w:rsidRPr="00FF3F29" w:rsidRDefault="00710A0F"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В целях применения указанного письма под государственным (муниципальным) участием понимается участие в уставном капитале финансовой организации Российской Федерации, субъектов </w:t>
      </w:r>
      <w:r w:rsidRPr="00FF3F29">
        <w:rPr>
          <w:rFonts w:ascii="Times New Roman" w:hAnsi="Times New Roman" w:cs="Times New Roman"/>
        </w:rPr>
        <w:br/>
        <w:t>Российской Федерации, муниципальных образований, государственных корпораций, государственных компаний, а также Банка России.</w:t>
      </w:r>
    </w:p>
  </w:footnote>
  <w:footnote w:id="38">
    <w:p w14:paraId="126EA744" w14:textId="77777777" w:rsidR="00710A0F" w:rsidRPr="00FF3F29" w:rsidRDefault="00710A0F" w:rsidP="00FF3F29">
      <w:pPr>
        <w:spacing w:after="0" w:line="240" w:lineRule="auto"/>
        <w:jc w:val="both"/>
        <w:rPr>
          <w:rFonts w:ascii="Times New Roman" w:hAnsi="Times New Roman" w:cs="Times New Roman"/>
          <w:sz w:val="20"/>
          <w:szCs w:val="20"/>
        </w:rPr>
      </w:pPr>
      <w:r w:rsidRPr="00FF3F29">
        <w:rPr>
          <w:rStyle w:val="af0"/>
          <w:rFonts w:ascii="Times New Roman" w:hAnsi="Times New Roman" w:cs="Times New Roman"/>
          <w:sz w:val="20"/>
          <w:szCs w:val="20"/>
        </w:rPr>
        <w:footnoteRef/>
      </w:r>
      <w:r w:rsidRPr="00FF3F29">
        <w:rPr>
          <w:rFonts w:ascii="Times New Roman" w:hAnsi="Times New Roman" w:cs="Times New Roman"/>
          <w:sz w:val="20"/>
          <w:szCs w:val="20"/>
        </w:rPr>
        <w:t xml:space="preserve"> По результатам реализации этого письма большая часть размещаемой в публичном доступе информации была скорректирована.</w:t>
      </w:r>
    </w:p>
    <w:p w14:paraId="3A139A58" w14:textId="77777777" w:rsidR="00710A0F" w:rsidRDefault="00710A0F" w:rsidP="00FF3F29">
      <w:pPr>
        <w:pStyle w:val="ae"/>
      </w:pPr>
    </w:p>
  </w:footnote>
  <w:footnote w:id="39">
    <w:p w14:paraId="1D14F61E" w14:textId="77777777" w:rsidR="00710A0F" w:rsidRPr="00FF3F29" w:rsidRDefault="00710A0F"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w:t>
      </w:r>
      <w:r w:rsidRPr="00FF3F29">
        <w:rPr>
          <w:rFonts w:ascii="Times New Roman" w:hAnsi="Times New Roman" w:cs="Times New Roman"/>
          <w:szCs w:val="24"/>
        </w:rPr>
        <w:t>ООО «Газпром межрегионгаз поставка» является крупнейшим организатором транспортировки природного газа по газотранспортной системе ПАО «Газпром»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7C90D" w14:textId="77777777" w:rsidR="00710A0F" w:rsidRDefault="00710A0F" w:rsidP="00D072CF">
    <w:pPr>
      <w:pStyle w:val="af8"/>
      <w:jc w:val="right"/>
      <w:rPr>
        <w:rFonts w:ascii="Times New Roman" w:hAnsi="Times New Roman"/>
        <w:i/>
        <w:sz w:val="28"/>
        <w:szCs w:val="28"/>
      </w:rPr>
    </w:pPr>
    <w:r w:rsidRPr="00D072CF">
      <w:rPr>
        <w:rFonts w:ascii="Times New Roman" w:hAnsi="Times New Roman"/>
        <w:i/>
        <w:sz w:val="28"/>
        <w:szCs w:val="28"/>
      </w:rPr>
      <w:t xml:space="preserve">ПРОЕКТ </w:t>
    </w:r>
  </w:p>
  <w:p w14:paraId="20A5FFBF" w14:textId="62F8D42F" w:rsidR="00710A0F" w:rsidRPr="00D072CF" w:rsidRDefault="00710A0F" w:rsidP="00D072CF">
    <w:pPr>
      <w:pStyle w:val="af8"/>
      <w:jc w:val="right"/>
      <w:rPr>
        <w:rFonts w:ascii="Times New Roman" w:hAnsi="Times New Roman"/>
        <w:i/>
        <w:sz w:val="28"/>
        <w:szCs w:val="28"/>
      </w:rPr>
    </w:pPr>
    <w:r>
      <w:rPr>
        <w:rFonts w:ascii="Times New Roman" w:hAnsi="Times New Roman"/>
        <w:i/>
        <w:sz w:val="28"/>
        <w:szCs w:val="28"/>
      </w:rPr>
      <w:t xml:space="preserve">версия </w:t>
    </w:r>
    <w:r w:rsidRPr="00D072CF">
      <w:rPr>
        <w:rFonts w:ascii="Times New Roman" w:hAnsi="Times New Roman"/>
        <w:i/>
        <w:sz w:val="28"/>
        <w:szCs w:val="28"/>
      </w:rPr>
      <w:t>от 29.04.2019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CF07384"/>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1096B8B"/>
    <w:multiLevelType w:val="hybridMultilevel"/>
    <w:tmpl w:val="E5D82EB0"/>
    <w:lvl w:ilvl="0" w:tplc="777E9014">
      <w:start w:val="1"/>
      <w:numFmt w:val="decimal"/>
      <w:pStyle w:val="a"/>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033ECD"/>
    <w:multiLevelType w:val="multilevel"/>
    <w:tmpl w:val="173845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5B74A4"/>
    <w:multiLevelType w:val="hybridMultilevel"/>
    <w:tmpl w:val="95D0D0B6"/>
    <w:lvl w:ilvl="0" w:tplc="A622F7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4112430"/>
    <w:multiLevelType w:val="hybridMultilevel"/>
    <w:tmpl w:val="D9D0A96E"/>
    <w:lvl w:ilvl="0" w:tplc="3C8ACDD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2D0EB7"/>
    <w:multiLevelType w:val="hybridMultilevel"/>
    <w:tmpl w:val="1452D61A"/>
    <w:lvl w:ilvl="0" w:tplc="D0365CF2">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6AD5658"/>
    <w:multiLevelType w:val="multilevel"/>
    <w:tmpl w:val="5820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8D1149"/>
    <w:multiLevelType w:val="hybridMultilevel"/>
    <w:tmpl w:val="3CA6FBC8"/>
    <w:lvl w:ilvl="0" w:tplc="9CDE9C64">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6E13EA"/>
    <w:multiLevelType w:val="hybridMultilevel"/>
    <w:tmpl w:val="54FA506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FB41E71"/>
    <w:multiLevelType w:val="multilevel"/>
    <w:tmpl w:val="FE30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F55D66"/>
    <w:multiLevelType w:val="multilevel"/>
    <w:tmpl w:val="23F0FA1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25C7DFB"/>
    <w:multiLevelType w:val="multilevel"/>
    <w:tmpl w:val="1D824CD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453558F"/>
    <w:multiLevelType w:val="hybridMultilevel"/>
    <w:tmpl w:val="2E72587E"/>
    <w:lvl w:ilvl="0" w:tplc="A6441E6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075847"/>
    <w:multiLevelType w:val="hybridMultilevel"/>
    <w:tmpl w:val="3000E7DA"/>
    <w:lvl w:ilvl="0" w:tplc="57B41D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199657B7"/>
    <w:multiLevelType w:val="hybridMultilevel"/>
    <w:tmpl w:val="C658ADCE"/>
    <w:lvl w:ilvl="0" w:tplc="7EF01C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A197681"/>
    <w:multiLevelType w:val="multilevel"/>
    <w:tmpl w:val="E5EC0DB4"/>
    <w:lvl w:ilvl="0">
      <w:start w:val="2"/>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8">
    <w:nsid w:val="1B99020C"/>
    <w:multiLevelType w:val="multilevel"/>
    <w:tmpl w:val="94A4D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FF7E2C"/>
    <w:multiLevelType w:val="multilevel"/>
    <w:tmpl w:val="55806348"/>
    <w:lvl w:ilvl="0">
      <w:start w:val="1"/>
      <w:numFmt w:val="decimal"/>
      <w:lvlText w:val="%1."/>
      <w:lvlJc w:val="left"/>
      <w:pPr>
        <w:ind w:left="927"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0">
    <w:nsid w:val="216C713A"/>
    <w:multiLevelType w:val="hybridMultilevel"/>
    <w:tmpl w:val="04B273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5811031"/>
    <w:multiLevelType w:val="hybridMultilevel"/>
    <w:tmpl w:val="889E9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D4904B0"/>
    <w:multiLevelType w:val="hybridMultilevel"/>
    <w:tmpl w:val="2AB6DC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9D1D08"/>
    <w:multiLevelType w:val="hybridMultilevel"/>
    <w:tmpl w:val="6582B2C6"/>
    <w:lvl w:ilvl="0" w:tplc="DA58FD48">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4">
    <w:nsid w:val="330D253B"/>
    <w:multiLevelType w:val="hybridMultilevel"/>
    <w:tmpl w:val="C7EADBF8"/>
    <w:lvl w:ilvl="0" w:tplc="C17659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3631436C"/>
    <w:multiLevelType w:val="multilevel"/>
    <w:tmpl w:val="8746F4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E0451B1"/>
    <w:multiLevelType w:val="hybridMultilevel"/>
    <w:tmpl w:val="E62EFAF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71386A"/>
    <w:multiLevelType w:val="multilevel"/>
    <w:tmpl w:val="04DE2D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4C57A42"/>
    <w:multiLevelType w:val="hybridMultilevel"/>
    <w:tmpl w:val="300EDD6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EF15B1"/>
    <w:multiLevelType w:val="hybridMultilevel"/>
    <w:tmpl w:val="A55C5A62"/>
    <w:lvl w:ilvl="0" w:tplc="8BF83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6957EE6"/>
    <w:multiLevelType w:val="hybridMultilevel"/>
    <w:tmpl w:val="6C0692A6"/>
    <w:lvl w:ilvl="0" w:tplc="7722E9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482E3F04"/>
    <w:multiLevelType w:val="hybridMultilevel"/>
    <w:tmpl w:val="9132D878"/>
    <w:lvl w:ilvl="0" w:tplc="6A828B6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4A752AA9"/>
    <w:multiLevelType w:val="multilevel"/>
    <w:tmpl w:val="72C8BC7E"/>
    <w:lvl w:ilvl="0">
      <w:start w:val="1"/>
      <w:numFmt w:val="decimal"/>
      <w:lvlText w:val="%1."/>
      <w:lvlJc w:val="left"/>
      <w:pPr>
        <w:ind w:left="1440" w:hanging="360"/>
      </w:pPr>
      <w:rPr>
        <w:rFonts w:hint="default"/>
      </w:rPr>
    </w:lvl>
    <w:lvl w:ilvl="1">
      <w:start w:val="5"/>
      <w:numFmt w:val="decimal"/>
      <w:isLgl/>
      <w:lvlText w:val="%1.%2"/>
      <w:lvlJc w:val="left"/>
      <w:pPr>
        <w:ind w:left="165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3">
    <w:nsid w:val="4E333E22"/>
    <w:multiLevelType w:val="multilevel"/>
    <w:tmpl w:val="C5FE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C867C4"/>
    <w:multiLevelType w:val="multilevel"/>
    <w:tmpl w:val="2EE214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07E337C"/>
    <w:multiLevelType w:val="hybridMultilevel"/>
    <w:tmpl w:val="7240A330"/>
    <w:lvl w:ilvl="0" w:tplc="EFC27B46">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093D63"/>
    <w:multiLevelType w:val="hybridMultilevel"/>
    <w:tmpl w:val="638672D2"/>
    <w:lvl w:ilvl="0" w:tplc="E0768CF6">
      <w:start w:val="1"/>
      <w:numFmt w:val="bullet"/>
      <w:lvlText w:val="­"/>
      <w:lvlJc w:val="left"/>
      <w:pPr>
        <w:tabs>
          <w:tab w:val="num" w:pos="720"/>
        </w:tabs>
        <w:ind w:left="720" w:hanging="360"/>
      </w:pPr>
      <w:rPr>
        <w:rFonts w:ascii="Courier New" w:hAnsi="Courier New" w:hint="default"/>
        <w:sz w:val="24"/>
      </w:rPr>
    </w:lvl>
    <w:lvl w:ilvl="1" w:tplc="85F0E2C0" w:tentative="1">
      <w:start w:val="1"/>
      <w:numFmt w:val="bullet"/>
      <w:lvlText w:val=""/>
      <w:lvlJc w:val="left"/>
      <w:pPr>
        <w:tabs>
          <w:tab w:val="num" w:pos="1440"/>
        </w:tabs>
        <w:ind w:left="1440" w:hanging="360"/>
      </w:pPr>
      <w:rPr>
        <w:rFonts w:ascii="Wingdings" w:hAnsi="Wingdings" w:hint="default"/>
      </w:rPr>
    </w:lvl>
    <w:lvl w:ilvl="2" w:tplc="7D6AAE70" w:tentative="1">
      <w:start w:val="1"/>
      <w:numFmt w:val="bullet"/>
      <w:lvlText w:val=""/>
      <w:lvlJc w:val="left"/>
      <w:pPr>
        <w:tabs>
          <w:tab w:val="num" w:pos="2160"/>
        </w:tabs>
        <w:ind w:left="2160" w:hanging="360"/>
      </w:pPr>
      <w:rPr>
        <w:rFonts w:ascii="Wingdings" w:hAnsi="Wingdings" w:hint="default"/>
      </w:rPr>
    </w:lvl>
    <w:lvl w:ilvl="3" w:tplc="72FCACB8" w:tentative="1">
      <w:start w:val="1"/>
      <w:numFmt w:val="bullet"/>
      <w:lvlText w:val=""/>
      <w:lvlJc w:val="left"/>
      <w:pPr>
        <w:tabs>
          <w:tab w:val="num" w:pos="2880"/>
        </w:tabs>
        <w:ind w:left="2880" w:hanging="360"/>
      </w:pPr>
      <w:rPr>
        <w:rFonts w:ascii="Wingdings" w:hAnsi="Wingdings" w:hint="default"/>
      </w:rPr>
    </w:lvl>
    <w:lvl w:ilvl="4" w:tplc="B3D20C6C" w:tentative="1">
      <w:start w:val="1"/>
      <w:numFmt w:val="bullet"/>
      <w:lvlText w:val=""/>
      <w:lvlJc w:val="left"/>
      <w:pPr>
        <w:tabs>
          <w:tab w:val="num" w:pos="3600"/>
        </w:tabs>
        <w:ind w:left="3600" w:hanging="360"/>
      </w:pPr>
      <w:rPr>
        <w:rFonts w:ascii="Wingdings" w:hAnsi="Wingdings" w:hint="default"/>
      </w:rPr>
    </w:lvl>
    <w:lvl w:ilvl="5" w:tplc="D1043CD8" w:tentative="1">
      <w:start w:val="1"/>
      <w:numFmt w:val="bullet"/>
      <w:lvlText w:val=""/>
      <w:lvlJc w:val="left"/>
      <w:pPr>
        <w:tabs>
          <w:tab w:val="num" w:pos="4320"/>
        </w:tabs>
        <w:ind w:left="4320" w:hanging="360"/>
      </w:pPr>
      <w:rPr>
        <w:rFonts w:ascii="Wingdings" w:hAnsi="Wingdings" w:hint="default"/>
      </w:rPr>
    </w:lvl>
    <w:lvl w:ilvl="6" w:tplc="75FE2C02" w:tentative="1">
      <w:start w:val="1"/>
      <w:numFmt w:val="bullet"/>
      <w:lvlText w:val=""/>
      <w:lvlJc w:val="left"/>
      <w:pPr>
        <w:tabs>
          <w:tab w:val="num" w:pos="5040"/>
        </w:tabs>
        <w:ind w:left="5040" w:hanging="360"/>
      </w:pPr>
      <w:rPr>
        <w:rFonts w:ascii="Wingdings" w:hAnsi="Wingdings" w:hint="default"/>
      </w:rPr>
    </w:lvl>
    <w:lvl w:ilvl="7" w:tplc="CEFA0A42" w:tentative="1">
      <w:start w:val="1"/>
      <w:numFmt w:val="bullet"/>
      <w:lvlText w:val=""/>
      <w:lvlJc w:val="left"/>
      <w:pPr>
        <w:tabs>
          <w:tab w:val="num" w:pos="5760"/>
        </w:tabs>
        <w:ind w:left="5760" w:hanging="360"/>
      </w:pPr>
      <w:rPr>
        <w:rFonts w:ascii="Wingdings" w:hAnsi="Wingdings" w:hint="default"/>
      </w:rPr>
    </w:lvl>
    <w:lvl w:ilvl="8" w:tplc="F258AE0E" w:tentative="1">
      <w:start w:val="1"/>
      <w:numFmt w:val="bullet"/>
      <w:lvlText w:val=""/>
      <w:lvlJc w:val="left"/>
      <w:pPr>
        <w:tabs>
          <w:tab w:val="num" w:pos="6480"/>
        </w:tabs>
        <w:ind w:left="6480" w:hanging="360"/>
      </w:pPr>
      <w:rPr>
        <w:rFonts w:ascii="Wingdings" w:hAnsi="Wingdings" w:hint="default"/>
      </w:rPr>
    </w:lvl>
  </w:abstractNum>
  <w:abstractNum w:abstractNumId="37">
    <w:nsid w:val="54CA1A7B"/>
    <w:multiLevelType w:val="hybridMultilevel"/>
    <w:tmpl w:val="6C5C808A"/>
    <w:lvl w:ilvl="0" w:tplc="48380F82">
      <w:start w:val="1"/>
      <w:numFmt w:val="decimal"/>
      <w:lvlText w:val="%1."/>
      <w:lvlJc w:val="left"/>
      <w:pPr>
        <w:ind w:left="5605" w:hanging="360"/>
      </w:pPr>
      <w:rPr>
        <w:rFonts w:hint="default"/>
      </w:rPr>
    </w:lvl>
    <w:lvl w:ilvl="1" w:tplc="04190019" w:tentative="1">
      <w:start w:val="1"/>
      <w:numFmt w:val="lowerLetter"/>
      <w:lvlText w:val="%2."/>
      <w:lvlJc w:val="left"/>
      <w:pPr>
        <w:ind w:left="6325" w:hanging="360"/>
      </w:pPr>
    </w:lvl>
    <w:lvl w:ilvl="2" w:tplc="0419001B" w:tentative="1">
      <w:start w:val="1"/>
      <w:numFmt w:val="lowerRoman"/>
      <w:lvlText w:val="%3."/>
      <w:lvlJc w:val="right"/>
      <w:pPr>
        <w:ind w:left="7045" w:hanging="180"/>
      </w:pPr>
    </w:lvl>
    <w:lvl w:ilvl="3" w:tplc="0419000F" w:tentative="1">
      <w:start w:val="1"/>
      <w:numFmt w:val="decimal"/>
      <w:lvlText w:val="%4."/>
      <w:lvlJc w:val="left"/>
      <w:pPr>
        <w:ind w:left="7765" w:hanging="360"/>
      </w:pPr>
    </w:lvl>
    <w:lvl w:ilvl="4" w:tplc="04190019" w:tentative="1">
      <w:start w:val="1"/>
      <w:numFmt w:val="lowerLetter"/>
      <w:lvlText w:val="%5."/>
      <w:lvlJc w:val="left"/>
      <w:pPr>
        <w:ind w:left="8485" w:hanging="360"/>
      </w:pPr>
    </w:lvl>
    <w:lvl w:ilvl="5" w:tplc="0419001B" w:tentative="1">
      <w:start w:val="1"/>
      <w:numFmt w:val="lowerRoman"/>
      <w:lvlText w:val="%6."/>
      <w:lvlJc w:val="right"/>
      <w:pPr>
        <w:ind w:left="9205" w:hanging="180"/>
      </w:pPr>
    </w:lvl>
    <w:lvl w:ilvl="6" w:tplc="0419000F" w:tentative="1">
      <w:start w:val="1"/>
      <w:numFmt w:val="decimal"/>
      <w:lvlText w:val="%7."/>
      <w:lvlJc w:val="left"/>
      <w:pPr>
        <w:ind w:left="9925" w:hanging="360"/>
      </w:pPr>
    </w:lvl>
    <w:lvl w:ilvl="7" w:tplc="04190019" w:tentative="1">
      <w:start w:val="1"/>
      <w:numFmt w:val="lowerLetter"/>
      <w:lvlText w:val="%8."/>
      <w:lvlJc w:val="left"/>
      <w:pPr>
        <w:ind w:left="10645" w:hanging="360"/>
      </w:pPr>
    </w:lvl>
    <w:lvl w:ilvl="8" w:tplc="0419001B" w:tentative="1">
      <w:start w:val="1"/>
      <w:numFmt w:val="lowerRoman"/>
      <w:lvlText w:val="%9."/>
      <w:lvlJc w:val="right"/>
      <w:pPr>
        <w:ind w:left="11365" w:hanging="180"/>
      </w:pPr>
    </w:lvl>
  </w:abstractNum>
  <w:abstractNum w:abstractNumId="38">
    <w:nsid w:val="561F3CA4"/>
    <w:multiLevelType w:val="hybridMultilevel"/>
    <w:tmpl w:val="DCEE1550"/>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39">
    <w:nsid w:val="566359A5"/>
    <w:multiLevelType w:val="multilevel"/>
    <w:tmpl w:val="436E4AE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7216104"/>
    <w:multiLevelType w:val="hybridMultilevel"/>
    <w:tmpl w:val="8A684EEE"/>
    <w:lvl w:ilvl="0" w:tplc="B6183EC6">
      <w:start w:val="2"/>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41">
    <w:nsid w:val="578C6CFB"/>
    <w:multiLevelType w:val="hybridMultilevel"/>
    <w:tmpl w:val="0D6C36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C712B9C"/>
    <w:multiLevelType w:val="hybridMultilevel"/>
    <w:tmpl w:val="11229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CF733FF"/>
    <w:multiLevelType w:val="hybridMultilevel"/>
    <w:tmpl w:val="1E3E7746"/>
    <w:lvl w:ilvl="0" w:tplc="9EF45F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5D0425E2"/>
    <w:multiLevelType w:val="hybridMultilevel"/>
    <w:tmpl w:val="3202F1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00E3FC1"/>
    <w:multiLevelType w:val="hybridMultilevel"/>
    <w:tmpl w:val="3098AD48"/>
    <w:lvl w:ilvl="0" w:tplc="E0768CF6">
      <w:start w:val="1"/>
      <w:numFmt w:val="bullet"/>
      <w:lvlText w:val="­"/>
      <w:lvlJc w:val="left"/>
      <w:pPr>
        <w:ind w:left="720" w:hanging="360"/>
      </w:pPr>
      <w:rPr>
        <w:rFonts w:ascii="Courier New" w:hAnsi="Courier New"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605095F"/>
    <w:multiLevelType w:val="hybridMultilevel"/>
    <w:tmpl w:val="9AE254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6E06B68"/>
    <w:multiLevelType w:val="hybridMultilevel"/>
    <w:tmpl w:val="046E57DE"/>
    <w:lvl w:ilvl="0" w:tplc="EE34D19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6B1018FC"/>
    <w:multiLevelType w:val="multilevel"/>
    <w:tmpl w:val="63F2D28E"/>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C3A39D0"/>
    <w:multiLevelType w:val="multilevel"/>
    <w:tmpl w:val="2E48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D9B1FFA"/>
    <w:multiLevelType w:val="multilevel"/>
    <w:tmpl w:val="D91E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F5C7271"/>
    <w:multiLevelType w:val="multilevel"/>
    <w:tmpl w:val="F566F9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1412CB5"/>
    <w:multiLevelType w:val="multilevel"/>
    <w:tmpl w:val="8B2EF1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3">
    <w:nsid w:val="72B90196"/>
    <w:multiLevelType w:val="hybridMultilevel"/>
    <w:tmpl w:val="A5E00B0C"/>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cs="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cs="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cs="Courier New" w:hint="default"/>
      </w:rPr>
    </w:lvl>
    <w:lvl w:ilvl="8" w:tplc="04190005">
      <w:start w:val="1"/>
      <w:numFmt w:val="bullet"/>
      <w:lvlText w:val=""/>
      <w:lvlJc w:val="left"/>
      <w:pPr>
        <w:ind w:left="7095" w:hanging="360"/>
      </w:pPr>
      <w:rPr>
        <w:rFonts w:ascii="Wingdings" w:hAnsi="Wingdings" w:hint="default"/>
      </w:rPr>
    </w:lvl>
  </w:abstractNum>
  <w:abstractNum w:abstractNumId="54">
    <w:nsid w:val="752A2187"/>
    <w:multiLevelType w:val="hybridMultilevel"/>
    <w:tmpl w:val="ABCC63F8"/>
    <w:lvl w:ilvl="0" w:tplc="024A4DA6">
      <w:start w:val="1"/>
      <w:numFmt w:val="decimal"/>
      <w:lvlText w:val="%1."/>
      <w:lvlJc w:val="left"/>
      <w:pPr>
        <w:ind w:left="1211" w:hanging="360"/>
      </w:pPr>
      <w:rPr>
        <w:rFonts w:hint="default"/>
        <w:b/>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nsid w:val="75A464BD"/>
    <w:multiLevelType w:val="multilevel"/>
    <w:tmpl w:val="409872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6992C5D"/>
    <w:multiLevelType w:val="multilevel"/>
    <w:tmpl w:val="B6DE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AB53B63"/>
    <w:multiLevelType w:val="hybridMultilevel"/>
    <w:tmpl w:val="FA0AEC88"/>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E497DB2"/>
    <w:multiLevelType w:val="multilevel"/>
    <w:tmpl w:val="F4F64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E606BBA"/>
    <w:multiLevelType w:val="multilevel"/>
    <w:tmpl w:val="FD5EB7F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4"/>
  </w:num>
  <w:num w:numId="2">
    <w:abstractNumId w:val="21"/>
  </w:num>
  <w:num w:numId="3">
    <w:abstractNumId w:val="42"/>
  </w:num>
  <w:num w:numId="4">
    <w:abstractNumId w:val="3"/>
  </w:num>
  <w:num w:numId="5">
    <w:abstractNumId w:val="51"/>
  </w:num>
  <w:num w:numId="6">
    <w:abstractNumId w:val="27"/>
  </w:num>
  <w:num w:numId="7">
    <w:abstractNumId w:val="22"/>
  </w:num>
  <w:num w:numId="8">
    <w:abstractNumId w:val="14"/>
  </w:num>
  <w:num w:numId="9">
    <w:abstractNumId w:val="19"/>
  </w:num>
  <w:num w:numId="10">
    <w:abstractNumId w:val="52"/>
  </w:num>
  <w:num w:numId="11">
    <w:abstractNumId w:val="31"/>
  </w:num>
  <w:num w:numId="12">
    <w:abstractNumId w:val="54"/>
  </w:num>
  <w:num w:numId="13">
    <w:abstractNumId w:val="26"/>
  </w:num>
  <w:num w:numId="14">
    <w:abstractNumId w:val="38"/>
  </w:num>
  <w:num w:numId="15">
    <w:abstractNumId w:val="28"/>
  </w:num>
  <w:num w:numId="16">
    <w:abstractNumId w:val="41"/>
  </w:num>
  <w:num w:numId="17">
    <w:abstractNumId w:val="57"/>
  </w:num>
  <w:num w:numId="18">
    <w:abstractNumId w:val="46"/>
  </w:num>
  <w:num w:numId="19">
    <w:abstractNumId w:val="44"/>
  </w:num>
  <w:num w:numId="20">
    <w:abstractNumId w:val="50"/>
  </w:num>
  <w:num w:numId="21">
    <w:abstractNumId w:val="20"/>
  </w:num>
  <w:num w:numId="22">
    <w:abstractNumId w:val="9"/>
  </w:num>
  <w:num w:numId="23">
    <w:abstractNumId w:val="49"/>
  </w:num>
  <w:num w:numId="24">
    <w:abstractNumId w:val="11"/>
  </w:num>
  <w:num w:numId="25">
    <w:abstractNumId w:val="32"/>
  </w:num>
  <w:num w:numId="26">
    <w:abstractNumId w:val="25"/>
  </w:num>
  <w:num w:numId="27">
    <w:abstractNumId w:val="4"/>
  </w:num>
  <w:num w:numId="28">
    <w:abstractNumId w:val="56"/>
  </w:num>
  <w:num w:numId="29">
    <w:abstractNumId w:val="55"/>
  </w:num>
  <w:num w:numId="30">
    <w:abstractNumId w:val="18"/>
  </w:num>
  <w:num w:numId="31">
    <w:abstractNumId w:val="58"/>
  </w:num>
  <w:num w:numId="32">
    <w:abstractNumId w:val="33"/>
  </w:num>
  <w:num w:numId="33">
    <w:abstractNumId w:val="7"/>
  </w:num>
  <w:num w:numId="34">
    <w:abstractNumId w:val="43"/>
  </w:num>
  <w:num w:numId="35">
    <w:abstractNumId w:val="29"/>
  </w:num>
  <w:num w:numId="36">
    <w:abstractNumId w:val="47"/>
  </w:num>
  <w:num w:numId="37">
    <w:abstractNumId w:val="1"/>
  </w:num>
  <w:num w:numId="38">
    <w:abstractNumId w:val="35"/>
  </w:num>
  <w:num w:numId="39">
    <w:abstractNumId w:val="15"/>
  </w:num>
  <w:num w:numId="40">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41">
    <w:abstractNumId w:val="0"/>
    <w:lvlOverride w:ilvl="0">
      <w:lvl w:ilvl="0">
        <w:start w:val="65535"/>
        <w:numFmt w:val="bullet"/>
        <w:lvlText w:val="-"/>
        <w:legacy w:legacy="1" w:legacySpace="0" w:legacyIndent="138"/>
        <w:lvlJc w:val="left"/>
        <w:rPr>
          <w:rFonts w:ascii="Times New Roman" w:hAnsi="Times New Roman" w:cs="Times New Roman" w:hint="default"/>
        </w:rPr>
      </w:lvl>
    </w:lvlOverride>
  </w:num>
  <w:num w:numId="42">
    <w:abstractNumId w:val="0"/>
    <w:lvlOverride w:ilvl="0">
      <w:lvl w:ilvl="0">
        <w:start w:val="65535"/>
        <w:numFmt w:val="bullet"/>
        <w:lvlText w:val="•"/>
        <w:legacy w:legacy="1" w:legacySpace="0" w:legacyIndent="364"/>
        <w:lvlJc w:val="left"/>
        <w:rPr>
          <w:rFonts w:ascii="Times New Roman" w:hAnsi="Times New Roman" w:cs="Times New Roman" w:hint="default"/>
        </w:rPr>
      </w:lvl>
    </w:lvlOverride>
  </w:num>
  <w:num w:numId="43">
    <w:abstractNumId w:val="0"/>
    <w:lvlOverride w:ilvl="0">
      <w:lvl w:ilvl="0">
        <w:start w:val="65535"/>
        <w:numFmt w:val="bullet"/>
        <w:lvlText w:val="-"/>
        <w:legacy w:legacy="1" w:legacySpace="0" w:legacyIndent="229"/>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45">
    <w:abstractNumId w:val="2"/>
  </w:num>
  <w:num w:numId="46">
    <w:abstractNumId w:val="8"/>
  </w:num>
  <w:num w:numId="47">
    <w:abstractNumId w:val="16"/>
  </w:num>
  <w:num w:numId="48">
    <w:abstractNumId w:val="53"/>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num>
  <w:num w:numId="51">
    <w:abstractNumId w:val="45"/>
  </w:num>
  <w:num w:numId="52">
    <w:abstractNumId w:val="36"/>
  </w:num>
  <w:num w:numId="53">
    <w:abstractNumId w:val="5"/>
  </w:num>
  <w:num w:numId="54">
    <w:abstractNumId w:val="10"/>
  </w:num>
  <w:num w:numId="55">
    <w:abstractNumId w:val="6"/>
  </w:num>
  <w:num w:numId="56">
    <w:abstractNumId w:val="40"/>
  </w:num>
  <w:num w:numId="57">
    <w:abstractNumId w:val="37"/>
  </w:num>
  <w:num w:numId="58">
    <w:abstractNumId w:val="51"/>
  </w:num>
  <w:num w:numId="59">
    <w:abstractNumId w:val="48"/>
  </w:num>
  <w:num w:numId="60">
    <w:abstractNumId w:val="13"/>
  </w:num>
  <w:num w:numId="61">
    <w:abstractNumId w:val="51"/>
  </w:num>
  <w:num w:numId="62">
    <w:abstractNumId w:val="34"/>
  </w:num>
  <w:num w:numId="63">
    <w:abstractNumId w:val="12"/>
  </w:num>
  <w:num w:numId="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num>
  <w:num w:numId="67">
    <w:abstractNumId w:val="34"/>
    <w:lvlOverride w:ilvl="0">
      <w:startOverride w:val="2"/>
    </w:lvlOverride>
    <w:lvlOverride w:ilvl="1">
      <w:startOverride w:val="2"/>
    </w:lvlOverride>
  </w:num>
  <w:num w:numId="68">
    <w:abstractNumId w:val="48"/>
  </w:num>
  <w:num w:numId="69">
    <w:abstractNumId w:val="39"/>
  </w:num>
  <w:num w:numId="7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FB3"/>
    <w:rsid w:val="00000301"/>
    <w:rsid w:val="00000697"/>
    <w:rsid w:val="00001368"/>
    <w:rsid w:val="00003053"/>
    <w:rsid w:val="00004E3C"/>
    <w:rsid w:val="0000731E"/>
    <w:rsid w:val="00013B5B"/>
    <w:rsid w:val="0001653C"/>
    <w:rsid w:val="00020E4C"/>
    <w:rsid w:val="00025B4B"/>
    <w:rsid w:val="00026454"/>
    <w:rsid w:val="00027287"/>
    <w:rsid w:val="00031DDC"/>
    <w:rsid w:val="00037E74"/>
    <w:rsid w:val="0004166C"/>
    <w:rsid w:val="00043187"/>
    <w:rsid w:val="00047E45"/>
    <w:rsid w:val="00052B61"/>
    <w:rsid w:val="00053558"/>
    <w:rsid w:val="00057B31"/>
    <w:rsid w:val="00060367"/>
    <w:rsid w:val="0006548E"/>
    <w:rsid w:val="00065674"/>
    <w:rsid w:val="00066631"/>
    <w:rsid w:val="000678FD"/>
    <w:rsid w:val="00070B63"/>
    <w:rsid w:val="0007328B"/>
    <w:rsid w:val="00073394"/>
    <w:rsid w:val="000807D3"/>
    <w:rsid w:val="000820FB"/>
    <w:rsid w:val="00090629"/>
    <w:rsid w:val="000933C3"/>
    <w:rsid w:val="000A216D"/>
    <w:rsid w:val="000A3817"/>
    <w:rsid w:val="000A54DA"/>
    <w:rsid w:val="000A6719"/>
    <w:rsid w:val="000B059F"/>
    <w:rsid w:val="000B2C92"/>
    <w:rsid w:val="000B4BEE"/>
    <w:rsid w:val="000B76DF"/>
    <w:rsid w:val="000C341B"/>
    <w:rsid w:val="000C4795"/>
    <w:rsid w:val="000C623B"/>
    <w:rsid w:val="000D0193"/>
    <w:rsid w:val="000D1A64"/>
    <w:rsid w:val="000D5362"/>
    <w:rsid w:val="000E3EE7"/>
    <w:rsid w:val="000E6D3C"/>
    <w:rsid w:val="000E751B"/>
    <w:rsid w:val="000F0B4D"/>
    <w:rsid w:val="000F0BE3"/>
    <w:rsid w:val="000F4A65"/>
    <w:rsid w:val="000F6737"/>
    <w:rsid w:val="000F6758"/>
    <w:rsid w:val="001003F4"/>
    <w:rsid w:val="001006BD"/>
    <w:rsid w:val="00101BFD"/>
    <w:rsid w:val="00102F08"/>
    <w:rsid w:val="00103BD4"/>
    <w:rsid w:val="00105499"/>
    <w:rsid w:val="00112F8C"/>
    <w:rsid w:val="00115959"/>
    <w:rsid w:val="00116032"/>
    <w:rsid w:val="001178ED"/>
    <w:rsid w:val="00117E68"/>
    <w:rsid w:val="001225B5"/>
    <w:rsid w:val="00123198"/>
    <w:rsid w:val="00123DDB"/>
    <w:rsid w:val="00126F5B"/>
    <w:rsid w:val="00127DBB"/>
    <w:rsid w:val="00130E60"/>
    <w:rsid w:val="00133908"/>
    <w:rsid w:val="00142070"/>
    <w:rsid w:val="00143463"/>
    <w:rsid w:val="00144722"/>
    <w:rsid w:val="001471DB"/>
    <w:rsid w:val="0015127A"/>
    <w:rsid w:val="00151F46"/>
    <w:rsid w:val="00152DAC"/>
    <w:rsid w:val="00154E48"/>
    <w:rsid w:val="00155685"/>
    <w:rsid w:val="00156832"/>
    <w:rsid w:val="00163FA8"/>
    <w:rsid w:val="001654ED"/>
    <w:rsid w:val="001714BD"/>
    <w:rsid w:val="0017161F"/>
    <w:rsid w:val="00173C82"/>
    <w:rsid w:val="00175A6B"/>
    <w:rsid w:val="00190F57"/>
    <w:rsid w:val="00192312"/>
    <w:rsid w:val="00194335"/>
    <w:rsid w:val="001A1AAD"/>
    <w:rsid w:val="001A33AD"/>
    <w:rsid w:val="001A35B8"/>
    <w:rsid w:val="001B1781"/>
    <w:rsid w:val="001B22A8"/>
    <w:rsid w:val="001B2F4E"/>
    <w:rsid w:val="001B33FE"/>
    <w:rsid w:val="001B5530"/>
    <w:rsid w:val="001B7C57"/>
    <w:rsid w:val="001C2813"/>
    <w:rsid w:val="001C3974"/>
    <w:rsid w:val="001D05DE"/>
    <w:rsid w:val="001D12D8"/>
    <w:rsid w:val="001E4890"/>
    <w:rsid w:val="001E5A7E"/>
    <w:rsid w:val="001F094E"/>
    <w:rsid w:val="001F1979"/>
    <w:rsid w:val="001F33E4"/>
    <w:rsid w:val="001F6C76"/>
    <w:rsid w:val="00204652"/>
    <w:rsid w:val="0020596C"/>
    <w:rsid w:val="00210788"/>
    <w:rsid w:val="00211CA3"/>
    <w:rsid w:val="00212932"/>
    <w:rsid w:val="00212C5C"/>
    <w:rsid w:val="00215F46"/>
    <w:rsid w:val="00216D96"/>
    <w:rsid w:val="0021705D"/>
    <w:rsid w:val="00217589"/>
    <w:rsid w:val="0021797F"/>
    <w:rsid w:val="002179A0"/>
    <w:rsid w:val="002209CF"/>
    <w:rsid w:val="00224879"/>
    <w:rsid w:val="00227BE6"/>
    <w:rsid w:val="002300FE"/>
    <w:rsid w:val="00231955"/>
    <w:rsid w:val="00233F88"/>
    <w:rsid w:val="00236C5A"/>
    <w:rsid w:val="00242C59"/>
    <w:rsid w:val="002431A5"/>
    <w:rsid w:val="00246006"/>
    <w:rsid w:val="00250DF6"/>
    <w:rsid w:val="002520A3"/>
    <w:rsid w:val="00252676"/>
    <w:rsid w:val="0025356A"/>
    <w:rsid w:val="00253C60"/>
    <w:rsid w:val="0025567C"/>
    <w:rsid w:val="002629FB"/>
    <w:rsid w:val="00264F48"/>
    <w:rsid w:val="00265F04"/>
    <w:rsid w:val="00271457"/>
    <w:rsid w:val="00272355"/>
    <w:rsid w:val="00272CC8"/>
    <w:rsid w:val="00274495"/>
    <w:rsid w:val="002804A0"/>
    <w:rsid w:val="00281074"/>
    <w:rsid w:val="00285F97"/>
    <w:rsid w:val="002932B7"/>
    <w:rsid w:val="00296668"/>
    <w:rsid w:val="00297284"/>
    <w:rsid w:val="002A0C52"/>
    <w:rsid w:val="002A1971"/>
    <w:rsid w:val="002A46F6"/>
    <w:rsid w:val="002A5169"/>
    <w:rsid w:val="002A6605"/>
    <w:rsid w:val="002A6E9A"/>
    <w:rsid w:val="002B2C9C"/>
    <w:rsid w:val="002B3164"/>
    <w:rsid w:val="002B3224"/>
    <w:rsid w:val="002B75B8"/>
    <w:rsid w:val="002B7752"/>
    <w:rsid w:val="002C196A"/>
    <w:rsid w:val="002C1F9A"/>
    <w:rsid w:val="002C24AA"/>
    <w:rsid w:val="002C2E43"/>
    <w:rsid w:val="002C58A8"/>
    <w:rsid w:val="002D193D"/>
    <w:rsid w:val="002D25A7"/>
    <w:rsid w:val="002D2F13"/>
    <w:rsid w:val="002D3C5D"/>
    <w:rsid w:val="002D4BE4"/>
    <w:rsid w:val="002D7CF1"/>
    <w:rsid w:val="002E0F29"/>
    <w:rsid w:val="002E0F86"/>
    <w:rsid w:val="002E59F2"/>
    <w:rsid w:val="002E6A2F"/>
    <w:rsid w:val="002E75F5"/>
    <w:rsid w:val="002F0122"/>
    <w:rsid w:val="002F1102"/>
    <w:rsid w:val="002F168B"/>
    <w:rsid w:val="002F4726"/>
    <w:rsid w:val="00300435"/>
    <w:rsid w:val="00300B34"/>
    <w:rsid w:val="0030183C"/>
    <w:rsid w:val="00302670"/>
    <w:rsid w:val="00305C53"/>
    <w:rsid w:val="00305E64"/>
    <w:rsid w:val="0030618C"/>
    <w:rsid w:val="00317370"/>
    <w:rsid w:val="003216F1"/>
    <w:rsid w:val="0032338C"/>
    <w:rsid w:val="003244B0"/>
    <w:rsid w:val="00325997"/>
    <w:rsid w:val="0032727A"/>
    <w:rsid w:val="003326CD"/>
    <w:rsid w:val="00333354"/>
    <w:rsid w:val="003343BE"/>
    <w:rsid w:val="003366C4"/>
    <w:rsid w:val="00336F93"/>
    <w:rsid w:val="00340E18"/>
    <w:rsid w:val="00341020"/>
    <w:rsid w:val="00341785"/>
    <w:rsid w:val="00342D42"/>
    <w:rsid w:val="00343A43"/>
    <w:rsid w:val="0035000F"/>
    <w:rsid w:val="0035430D"/>
    <w:rsid w:val="00354DCE"/>
    <w:rsid w:val="003644F2"/>
    <w:rsid w:val="003723B3"/>
    <w:rsid w:val="003803C8"/>
    <w:rsid w:val="00380802"/>
    <w:rsid w:val="0038356F"/>
    <w:rsid w:val="00383FA1"/>
    <w:rsid w:val="003873CD"/>
    <w:rsid w:val="003913C5"/>
    <w:rsid w:val="00391AA8"/>
    <w:rsid w:val="0039532F"/>
    <w:rsid w:val="00395A53"/>
    <w:rsid w:val="003A14F3"/>
    <w:rsid w:val="003A61DB"/>
    <w:rsid w:val="003B3808"/>
    <w:rsid w:val="003B449B"/>
    <w:rsid w:val="003B7BE5"/>
    <w:rsid w:val="003C0F96"/>
    <w:rsid w:val="003C216B"/>
    <w:rsid w:val="003C41BD"/>
    <w:rsid w:val="003C4F98"/>
    <w:rsid w:val="003C5033"/>
    <w:rsid w:val="003C69F2"/>
    <w:rsid w:val="003D1D28"/>
    <w:rsid w:val="003D21A3"/>
    <w:rsid w:val="003E3184"/>
    <w:rsid w:val="003E40CF"/>
    <w:rsid w:val="003E4724"/>
    <w:rsid w:val="003E57C1"/>
    <w:rsid w:val="003F3803"/>
    <w:rsid w:val="003F7F8E"/>
    <w:rsid w:val="00400EE5"/>
    <w:rsid w:val="004036BA"/>
    <w:rsid w:val="0040454E"/>
    <w:rsid w:val="00404CC7"/>
    <w:rsid w:val="00405D4F"/>
    <w:rsid w:val="00413EDD"/>
    <w:rsid w:val="004156C6"/>
    <w:rsid w:val="00416066"/>
    <w:rsid w:val="00416EE4"/>
    <w:rsid w:val="00420079"/>
    <w:rsid w:val="0042393D"/>
    <w:rsid w:val="00423AEA"/>
    <w:rsid w:val="00427033"/>
    <w:rsid w:val="00431E2E"/>
    <w:rsid w:val="00434795"/>
    <w:rsid w:val="00434B06"/>
    <w:rsid w:val="0043629A"/>
    <w:rsid w:val="004438B3"/>
    <w:rsid w:val="004477BD"/>
    <w:rsid w:val="00450E4D"/>
    <w:rsid w:val="00454721"/>
    <w:rsid w:val="00455937"/>
    <w:rsid w:val="004569F7"/>
    <w:rsid w:val="004575A3"/>
    <w:rsid w:val="00461A0A"/>
    <w:rsid w:val="00463640"/>
    <w:rsid w:val="004700E2"/>
    <w:rsid w:val="00472596"/>
    <w:rsid w:val="00472E9D"/>
    <w:rsid w:val="00475C10"/>
    <w:rsid w:val="00476A70"/>
    <w:rsid w:val="00481A29"/>
    <w:rsid w:val="0048363D"/>
    <w:rsid w:val="00483B7B"/>
    <w:rsid w:val="00485396"/>
    <w:rsid w:val="004854EA"/>
    <w:rsid w:val="0048575F"/>
    <w:rsid w:val="0048579C"/>
    <w:rsid w:val="00485E75"/>
    <w:rsid w:val="00486C79"/>
    <w:rsid w:val="00486DB6"/>
    <w:rsid w:val="00490032"/>
    <w:rsid w:val="00494BB1"/>
    <w:rsid w:val="00494FE1"/>
    <w:rsid w:val="00496D34"/>
    <w:rsid w:val="00497F57"/>
    <w:rsid w:val="004A10F7"/>
    <w:rsid w:val="004A5E39"/>
    <w:rsid w:val="004B2BC1"/>
    <w:rsid w:val="004B46A4"/>
    <w:rsid w:val="004B6BE1"/>
    <w:rsid w:val="004C2705"/>
    <w:rsid w:val="004C78A4"/>
    <w:rsid w:val="004D1417"/>
    <w:rsid w:val="004D6F7B"/>
    <w:rsid w:val="004D736B"/>
    <w:rsid w:val="004E3D80"/>
    <w:rsid w:val="004E3DDF"/>
    <w:rsid w:val="004E6739"/>
    <w:rsid w:val="004F2E63"/>
    <w:rsid w:val="004F3A4E"/>
    <w:rsid w:val="004F512F"/>
    <w:rsid w:val="005001D5"/>
    <w:rsid w:val="00500832"/>
    <w:rsid w:val="00500FA1"/>
    <w:rsid w:val="00502402"/>
    <w:rsid w:val="00504D1A"/>
    <w:rsid w:val="00506043"/>
    <w:rsid w:val="0050661D"/>
    <w:rsid w:val="00507AA4"/>
    <w:rsid w:val="0051241B"/>
    <w:rsid w:val="00515889"/>
    <w:rsid w:val="00520779"/>
    <w:rsid w:val="005229E5"/>
    <w:rsid w:val="00522FA4"/>
    <w:rsid w:val="005237FF"/>
    <w:rsid w:val="00524D83"/>
    <w:rsid w:val="005256BC"/>
    <w:rsid w:val="00527488"/>
    <w:rsid w:val="00532594"/>
    <w:rsid w:val="005327F1"/>
    <w:rsid w:val="005348AB"/>
    <w:rsid w:val="00536093"/>
    <w:rsid w:val="005379DE"/>
    <w:rsid w:val="00540946"/>
    <w:rsid w:val="00541C17"/>
    <w:rsid w:val="00542D4B"/>
    <w:rsid w:val="005438CC"/>
    <w:rsid w:val="00546C4C"/>
    <w:rsid w:val="00550D1A"/>
    <w:rsid w:val="00552ADA"/>
    <w:rsid w:val="0055399B"/>
    <w:rsid w:val="0055757C"/>
    <w:rsid w:val="005627DA"/>
    <w:rsid w:val="005647E9"/>
    <w:rsid w:val="00564BFC"/>
    <w:rsid w:val="00567A1B"/>
    <w:rsid w:val="00571486"/>
    <w:rsid w:val="0057231E"/>
    <w:rsid w:val="005729AC"/>
    <w:rsid w:val="00574681"/>
    <w:rsid w:val="00574F4D"/>
    <w:rsid w:val="00575869"/>
    <w:rsid w:val="00577375"/>
    <w:rsid w:val="00587AB9"/>
    <w:rsid w:val="00590026"/>
    <w:rsid w:val="005900DE"/>
    <w:rsid w:val="00591E6D"/>
    <w:rsid w:val="0059521E"/>
    <w:rsid w:val="00596D19"/>
    <w:rsid w:val="00597392"/>
    <w:rsid w:val="005A0B9A"/>
    <w:rsid w:val="005A5421"/>
    <w:rsid w:val="005A5DA8"/>
    <w:rsid w:val="005A6676"/>
    <w:rsid w:val="005B1B17"/>
    <w:rsid w:val="005B2C5B"/>
    <w:rsid w:val="005B6492"/>
    <w:rsid w:val="005B69CD"/>
    <w:rsid w:val="005B6FB8"/>
    <w:rsid w:val="005C1740"/>
    <w:rsid w:val="005C1DC4"/>
    <w:rsid w:val="005D4A43"/>
    <w:rsid w:val="005D6387"/>
    <w:rsid w:val="005D77F3"/>
    <w:rsid w:val="005E3D62"/>
    <w:rsid w:val="005E5F6F"/>
    <w:rsid w:val="005F3E05"/>
    <w:rsid w:val="005F4393"/>
    <w:rsid w:val="005F660D"/>
    <w:rsid w:val="00602A22"/>
    <w:rsid w:val="0060646E"/>
    <w:rsid w:val="006102FF"/>
    <w:rsid w:val="00611557"/>
    <w:rsid w:val="00611618"/>
    <w:rsid w:val="00615052"/>
    <w:rsid w:val="006233E6"/>
    <w:rsid w:val="0064438E"/>
    <w:rsid w:val="00645EC4"/>
    <w:rsid w:val="00647DE6"/>
    <w:rsid w:val="00650205"/>
    <w:rsid w:val="00651D5F"/>
    <w:rsid w:val="0065327D"/>
    <w:rsid w:val="00656AA1"/>
    <w:rsid w:val="00657B9B"/>
    <w:rsid w:val="00661845"/>
    <w:rsid w:val="00662E53"/>
    <w:rsid w:val="00670D5F"/>
    <w:rsid w:val="00670FFA"/>
    <w:rsid w:val="006748EA"/>
    <w:rsid w:val="0067490F"/>
    <w:rsid w:val="00674A97"/>
    <w:rsid w:val="00677377"/>
    <w:rsid w:val="00680241"/>
    <w:rsid w:val="00680A07"/>
    <w:rsid w:val="00682EB2"/>
    <w:rsid w:val="006857AE"/>
    <w:rsid w:val="006859D9"/>
    <w:rsid w:val="0068704D"/>
    <w:rsid w:val="006911E4"/>
    <w:rsid w:val="00694CA3"/>
    <w:rsid w:val="00695331"/>
    <w:rsid w:val="0069787D"/>
    <w:rsid w:val="006A0CA8"/>
    <w:rsid w:val="006A16B6"/>
    <w:rsid w:val="006A3073"/>
    <w:rsid w:val="006A5E72"/>
    <w:rsid w:val="006A6112"/>
    <w:rsid w:val="006B238D"/>
    <w:rsid w:val="006B2CC2"/>
    <w:rsid w:val="006B32B4"/>
    <w:rsid w:val="006B430C"/>
    <w:rsid w:val="006B670F"/>
    <w:rsid w:val="006C12B6"/>
    <w:rsid w:val="006C1D5D"/>
    <w:rsid w:val="006C2ABA"/>
    <w:rsid w:val="006C3A68"/>
    <w:rsid w:val="006C7895"/>
    <w:rsid w:val="006D4CFE"/>
    <w:rsid w:val="006D6B95"/>
    <w:rsid w:val="006E0003"/>
    <w:rsid w:val="006E02DD"/>
    <w:rsid w:val="006E3999"/>
    <w:rsid w:val="006E63A1"/>
    <w:rsid w:val="006F1CBD"/>
    <w:rsid w:val="006F3FD4"/>
    <w:rsid w:val="00700632"/>
    <w:rsid w:val="00703FB2"/>
    <w:rsid w:val="0070432D"/>
    <w:rsid w:val="00705A90"/>
    <w:rsid w:val="0070735B"/>
    <w:rsid w:val="00710A0F"/>
    <w:rsid w:val="0071393C"/>
    <w:rsid w:val="00715398"/>
    <w:rsid w:val="00715EFB"/>
    <w:rsid w:val="00720897"/>
    <w:rsid w:val="007215FB"/>
    <w:rsid w:val="0072228E"/>
    <w:rsid w:val="007238D5"/>
    <w:rsid w:val="0072563D"/>
    <w:rsid w:val="00725D80"/>
    <w:rsid w:val="00726D4B"/>
    <w:rsid w:val="00730699"/>
    <w:rsid w:val="00730D72"/>
    <w:rsid w:val="00730FA2"/>
    <w:rsid w:val="007314EB"/>
    <w:rsid w:val="007325DF"/>
    <w:rsid w:val="00732814"/>
    <w:rsid w:val="00733996"/>
    <w:rsid w:val="0073522B"/>
    <w:rsid w:val="00736F31"/>
    <w:rsid w:val="007430E9"/>
    <w:rsid w:val="00751224"/>
    <w:rsid w:val="00752476"/>
    <w:rsid w:val="00756316"/>
    <w:rsid w:val="00761002"/>
    <w:rsid w:val="00761903"/>
    <w:rsid w:val="00772C9E"/>
    <w:rsid w:val="00774AC3"/>
    <w:rsid w:val="007757ED"/>
    <w:rsid w:val="00781263"/>
    <w:rsid w:val="0078309D"/>
    <w:rsid w:val="00784998"/>
    <w:rsid w:val="0078652E"/>
    <w:rsid w:val="00786BD4"/>
    <w:rsid w:val="007905DA"/>
    <w:rsid w:val="0079309E"/>
    <w:rsid w:val="0079548A"/>
    <w:rsid w:val="007A060C"/>
    <w:rsid w:val="007A3D77"/>
    <w:rsid w:val="007A6FE2"/>
    <w:rsid w:val="007B2B95"/>
    <w:rsid w:val="007B625F"/>
    <w:rsid w:val="007B645F"/>
    <w:rsid w:val="007B6972"/>
    <w:rsid w:val="007B6DC8"/>
    <w:rsid w:val="007B7ED9"/>
    <w:rsid w:val="007C4E1C"/>
    <w:rsid w:val="007C59FF"/>
    <w:rsid w:val="007C6DC9"/>
    <w:rsid w:val="007D005B"/>
    <w:rsid w:val="007D00B0"/>
    <w:rsid w:val="007D3976"/>
    <w:rsid w:val="007D455B"/>
    <w:rsid w:val="007E1BA3"/>
    <w:rsid w:val="007E45CA"/>
    <w:rsid w:val="007E4EB5"/>
    <w:rsid w:val="007F469A"/>
    <w:rsid w:val="008012EC"/>
    <w:rsid w:val="00801C53"/>
    <w:rsid w:val="00803242"/>
    <w:rsid w:val="008051B0"/>
    <w:rsid w:val="008055C6"/>
    <w:rsid w:val="00811219"/>
    <w:rsid w:val="00812BD8"/>
    <w:rsid w:val="0081600E"/>
    <w:rsid w:val="00816EF6"/>
    <w:rsid w:val="008211F9"/>
    <w:rsid w:val="00826E70"/>
    <w:rsid w:val="0083262C"/>
    <w:rsid w:val="0083593E"/>
    <w:rsid w:val="00842892"/>
    <w:rsid w:val="00843345"/>
    <w:rsid w:val="0084439E"/>
    <w:rsid w:val="00844CF6"/>
    <w:rsid w:val="008458D7"/>
    <w:rsid w:val="00846EE9"/>
    <w:rsid w:val="00853DA4"/>
    <w:rsid w:val="008547BB"/>
    <w:rsid w:val="00854BC5"/>
    <w:rsid w:val="00854DF4"/>
    <w:rsid w:val="0085733D"/>
    <w:rsid w:val="00861B13"/>
    <w:rsid w:val="00861E2F"/>
    <w:rsid w:val="008627B8"/>
    <w:rsid w:val="00864CA8"/>
    <w:rsid w:val="00865903"/>
    <w:rsid w:val="00865AE2"/>
    <w:rsid w:val="00870F68"/>
    <w:rsid w:val="00871019"/>
    <w:rsid w:val="00881B4B"/>
    <w:rsid w:val="008826BA"/>
    <w:rsid w:val="008828EA"/>
    <w:rsid w:val="00883A81"/>
    <w:rsid w:val="00883C8E"/>
    <w:rsid w:val="00885800"/>
    <w:rsid w:val="008862BB"/>
    <w:rsid w:val="00887BE7"/>
    <w:rsid w:val="00887F54"/>
    <w:rsid w:val="008918F6"/>
    <w:rsid w:val="00891ED7"/>
    <w:rsid w:val="00897738"/>
    <w:rsid w:val="008A0027"/>
    <w:rsid w:val="008A0C2C"/>
    <w:rsid w:val="008A2BB3"/>
    <w:rsid w:val="008A49B4"/>
    <w:rsid w:val="008A658E"/>
    <w:rsid w:val="008B0E75"/>
    <w:rsid w:val="008B1803"/>
    <w:rsid w:val="008B3227"/>
    <w:rsid w:val="008B6D1C"/>
    <w:rsid w:val="008C20D4"/>
    <w:rsid w:val="008C68C4"/>
    <w:rsid w:val="008C6DE1"/>
    <w:rsid w:val="008D0A51"/>
    <w:rsid w:val="008D5FCD"/>
    <w:rsid w:val="008D65BD"/>
    <w:rsid w:val="008D68FA"/>
    <w:rsid w:val="008D7AF9"/>
    <w:rsid w:val="008E6D63"/>
    <w:rsid w:val="008F4A57"/>
    <w:rsid w:val="008F739E"/>
    <w:rsid w:val="008F791C"/>
    <w:rsid w:val="00902994"/>
    <w:rsid w:val="00903B71"/>
    <w:rsid w:val="0091064D"/>
    <w:rsid w:val="009123AC"/>
    <w:rsid w:val="00930334"/>
    <w:rsid w:val="009305AF"/>
    <w:rsid w:val="0093489E"/>
    <w:rsid w:val="00935616"/>
    <w:rsid w:val="009366EB"/>
    <w:rsid w:val="00936F39"/>
    <w:rsid w:val="00936FC2"/>
    <w:rsid w:val="00940BA6"/>
    <w:rsid w:val="00942DF5"/>
    <w:rsid w:val="00943954"/>
    <w:rsid w:val="00944656"/>
    <w:rsid w:val="00951440"/>
    <w:rsid w:val="009519ED"/>
    <w:rsid w:val="00952533"/>
    <w:rsid w:val="00953C42"/>
    <w:rsid w:val="009567D9"/>
    <w:rsid w:val="00957C70"/>
    <w:rsid w:val="00960325"/>
    <w:rsid w:val="00961572"/>
    <w:rsid w:val="009616C5"/>
    <w:rsid w:val="00963879"/>
    <w:rsid w:val="00963B15"/>
    <w:rsid w:val="00966055"/>
    <w:rsid w:val="00966E8E"/>
    <w:rsid w:val="0097104F"/>
    <w:rsid w:val="00973C21"/>
    <w:rsid w:val="009752AE"/>
    <w:rsid w:val="00977266"/>
    <w:rsid w:val="0098068F"/>
    <w:rsid w:val="00980B15"/>
    <w:rsid w:val="00985361"/>
    <w:rsid w:val="00990A6F"/>
    <w:rsid w:val="00992EDF"/>
    <w:rsid w:val="00997239"/>
    <w:rsid w:val="009A5E65"/>
    <w:rsid w:val="009A72C1"/>
    <w:rsid w:val="009B1974"/>
    <w:rsid w:val="009B3F86"/>
    <w:rsid w:val="009B539E"/>
    <w:rsid w:val="009B55F9"/>
    <w:rsid w:val="009C3558"/>
    <w:rsid w:val="009C397F"/>
    <w:rsid w:val="009C59E1"/>
    <w:rsid w:val="009C69F7"/>
    <w:rsid w:val="009D1082"/>
    <w:rsid w:val="009D44F9"/>
    <w:rsid w:val="009D539F"/>
    <w:rsid w:val="009D58AA"/>
    <w:rsid w:val="009D723D"/>
    <w:rsid w:val="009E212A"/>
    <w:rsid w:val="009E2F60"/>
    <w:rsid w:val="009E34FE"/>
    <w:rsid w:val="009F4915"/>
    <w:rsid w:val="00A054BC"/>
    <w:rsid w:val="00A07C25"/>
    <w:rsid w:val="00A11353"/>
    <w:rsid w:val="00A1231B"/>
    <w:rsid w:val="00A14FBB"/>
    <w:rsid w:val="00A15468"/>
    <w:rsid w:val="00A20955"/>
    <w:rsid w:val="00A341F9"/>
    <w:rsid w:val="00A361D7"/>
    <w:rsid w:val="00A373A2"/>
    <w:rsid w:val="00A378E1"/>
    <w:rsid w:val="00A41C90"/>
    <w:rsid w:val="00A42DBE"/>
    <w:rsid w:val="00A4305A"/>
    <w:rsid w:val="00A45A67"/>
    <w:rsid w:val="00A47728"/>
    <w:rsid w:val="00A47DF4"/>
    <w:rsid w:val="00A501B4"/>
    <w:rsid w:val="00A5197D"/>
    <w:rsid w:val="00A51A4D"/>
    <w:rsid w:val="00A55255"/>
    <w:rsid w:val="00A552D0"/>
    <w:rsid w:val="00A56D31"/>
    <w:rsid w:val="00A643FB"/>
    <w:rsid w:val="00A66A45"/>
    <w:rsid w:val="00A71026"/>
    <w:rsid w:val="00A74F3E"/>
    <w:rsid w:val="00A7662A"/>
    <w:rsid w:val="00A76F4C"/>
    <w:rsid w:val="00A771B0"/>
    <w:rsid w:val="00A82379"/>
    <w:rsid w:val="00A829E9"/>
    <w:rsid w:val="00A847AA"/>
    <w:rsid w:val="00A91B1F"/>
    <w:rsid w:val="00A93286"/>
    <w:rsid w:val="00A9411C"/>
    <w:rsid w:val="00AA0850"/>
    <w:rsid w:val="00AA1195"/>
    <w:rsid w:val="00AA2968"/>
    <w:rsid w:val="00AA44F9"/>
    <w:rsid w:val="00AA51DA"/>
    <w:rsid w:val="00AA692C"/>
    <w:rsid w:val="00AB3F56"/>
    <w:rsid w:val="00AB4D72"/>
    <w:rsid w:val="00AB5598"/>
    <w:rsid w:val="00AC2240"/>
    <w:rsid w:val="00AC5298"/>
    <w:rsid w:val="00AE1868"/>
    <w:rsid w:val="00AE4886"/>
    <w:rsid w:val="00AE6D36"/>
    <w:rsid w:val="00AF0B3C"/>
    <w:rsid w:val="00AF4915"/>
    <w:rsid w:val="00AF62C4"/>
    <w:rsid w:val="00B1046A"/>
    <w:rsid w:val="00B12848"/>
    <w:rsid w:val="00B12B5B"/>
    <w:rsid w:val="00B17ED2"/>
    <w:rsid w:val="00B2213A"/>
    <w:rsid w:val="00B22AD4"/>
    <w:rsid w:val="00B50FCC"/>
    <w:rsid w:val="00B52D8E"/>
    <w:rsid w:val="00B5498A"/>
    <w:rsid w:val="00B61B2C"/>
    <w:rsid w:val="00B67E2C"/>
    <w:rsid w:val="00B72321"/>
    <w:rsid w:val="00B7243F"/>
    <w:rsid w:val="00B7413C"/>
    <w:rsid w:val="00B7500D"/>
    <w:rsid w:val="00B821A0"/>
    <w:rsid w:val="00B84ADD"/>
    <w:rsid w:val="00B91730"/>
    <w:rsid w:val="00B9260F"/>
    <w:rsid w:val="00B9359B"/>
    <w:rsid w:val="00BA29CF"/>
    <w:rsid w:val="00BA7223"/>
    <w:rsid w:val="00BB1690"/>
    <w:rsid w:val="00BB4E5B"/>
    <w:rsid w:val="00BB6A83"/>
    <w:rsid w:val="00BB73AF"/>
    <w:rsid w:val="00BB7A44"/>
    <w:rsid w:val="00BC256D"/>
    <w:rsid w:val="00BC412F"/>
    <w:rsid w:val="00BC52BF"/>
    <w:rsid w:val="00BD14B2"/>
    <w:rsid w:val="00BD372D"/>
    <w:rsid w:val="00BD46D7"/>
    <w:rsid w:val="00BD704D"/>
    <w:rsid w:val="00BD7E0F"/>
    <w:rsid w:val="00BE1606"/>
    <w:rsid w:val="00BE213D"/>
    <w:rsid w:val="00BE4736"/>
    <w:rsid w:val="00BE54CA"/>
    <w:rsid w:val="00BE7485"/>
    <w:rsid w:val="00BE781F"/>
    <w:rsid w:val="00BE7910"/>
    <w:rsid w:val="00BF4A58"/>
    <w:rsid w:val="00BF4AE0"/>
    <w:rsid w:val="00C04ED9"/>
    <w:rsid w:val="00C13471"/>
    <w:rsid w:val="00C16CDB"/>
    <w:rsid w:val="00C17CA0"/>
    <w:rsid w:val="00C21903"/>
    <w:rsid w:val="00C262F0"/>
    <w:rsid w:val="00C3541F"/>
    <w:rsid w:val="00C3733A"/>
    <w:rsid w:val="00C4016B"/>
    <w:rsid w:val="00C441AA"/>
    <w:rsid w:val="00C45A73"/>
    <w:rsid w:val="00C47B4D"/>
    <w:rsid w:val="00C50AD6"/>
    <w:rsid w:val="00C50D3E"/>
    <w:rsid w:val="00C54020"/>
    <w:rsid w:val="00C54D30"/>
    <w:rsid w:val="00C56A79"/>
    <w:rsid w:val="00C573B6"/>
    <w:rsid w:val="00C6122B"/>
    <w:rsid w:val="00C62F03"/>
    <w:rsid w:val="00C63961"/>
    <w:rsid w:val="00C63A1D"/>
    <w:rsid w:val="00C64CCF"/>
    <w:rsid w:val="00C73DBC"/>
    <w:rsid w:val="00C7552B"/>
    <w:rsid w:val="00C84BBF"/>
    <w:rsid w:val="00C85E55"/>
    <w:rsid w:val="00C86FA6"/>
    <w:rsid w:val="00C955FD"/>
    <w:rsid w:val="00C97C22"/>
    <w:rsid w:val="00CA3703"/>
    <w:rsid w:val="00CA5180"/>
    <w:rsid w:val="00CB5E09"/>
    <w:rsid w:val="00CB628B"/>
    <w:rsid w:val="00CB662C"/>
    <w:rsid w:val="00CB7451"/>
    <w:rsid w:val="00CC0BDB"/>
    <w:rsid w:val="00CC2B7A"/>
    <w:rsid w:val="00CC5319"/>
    <w:rsid w:val="00CD3F62"/>
    <w:rsid w:val="00CD4185"/>
    <w:rsid w:val="00CE43B5"/>
    <w:rsid w:val="00CE7443"/>
    <w:rsid w:val="00CE7DAC"/>
    <w:rsid w:val="00CF61D6"/>
    <w:rsid w:val="00CF771D"/>
    <w:rsid w:val="00D00E9D"/>
    <w:rsid w:val="00D013FF"/>
    <w:rsid w:val="00D01C64"/>
    <w:rsid w:val="00D02373"/>
    <w:rsid w:val="00D05BC0"/>
    <w:rsid w:val="00D072CF"/>
    <w:rsid w:val="00D13E41"/>
    <w:rsid w:val="00D14E7C"/>
    <w:rsid w:val="00D155B7"/>
    <w:rsid w:val="00D1673C"/>
    <w:rsid w:val="00D22F1E"/>
    <w:rsid w:val="00D2443B"/>
    <w:rsid w:val="00D313E2"/>
    <w:rsid w:val="00D3438A"/>
    <w:rsid w:val="00D35AB6"/>
    <w:rsid w:val="00D403E6"/>
    <w:rsid w:val="00D4105D"/>
    <w:rsid w:val="00D42AEE"/>
    <w:rsid w:val="00D44F15"/>
    <w:rsid w:val="00D45182"/>
    <w:rsid w:val="00D47D14"/>
    <w:rsid w:val="00D50504"/>
    <w:rsid w:val="00D50687"/>
    <w:rsid w:val="00D5082E"/>
    <w:rsid w:val="00D51AA4"/>
    <w:rsid w:val="00D5259F"/>
    <w:rsid w:val="00D52902"/>
    <w:rsid w:val="00D539C3"/>
    <w:rsid w:val="00D54133"/>
    <w:rsid w:val="00D55CCC"/>
    <w:rsid w:val="00D60A97"/>
    <w:rsid w:val="00D614FE"/>
    <w:rsid w:val="00D64E67"/>
    <w:rsid w:val="00D739AC"/>
    <w:rsid w:val="00D817DD"/>
    <w:rsid w:val="00D82EC4"/>
    <w:rsid w:val="00D846E3"/>
    <w:rsid w:val="00D854D0"/>
    <w:rsid w:val="00D869F6"/>
    <w:rsid w:val="00D923EC"/>
    <w:rsid w:val="00D92FBC"/>
    <w:rsid w:val="00DA3F05"/>
    <w:rsid w:val="00DA71DE"/>
    <w:rsid w:val="00DA71E7"/>
    <w:rsid w:val="00DA72DA"/>
    <w:rsid w:val="00DA7C42"/>
    <w:rsid w:val="00DB5C7F"/>
    <w:rsid w:val="00DB6FCC"/>
    <w:rsid w:val="00DB71D7"/>
    <w:rsid w:val="00DC3AA6"/>
    <w:rsid w:val="00DC42C4"/>
    <w:rsid w:val="00DC6D9B"/>
    <w:rsid w:val="00DD04CD"/>
    <w:rsid w:val="00DD12B4"/>
    <w:rsid w:val="00DD23F3"/>
    <w:rsid w:val="00DD3008"/>
    <w:rsid w:val="00DD7ADA"/>
    <w:rsid w:val="00DE3598"/>
    <w:rsid w:val="00DE7521"/>
    <w:rsid w:val="00DF084A"/>
    <w:rsid w:val="00DF1095"/>
    <w:rsid w:val="00DF2D39"/>
    <w:rsid w:val="00DF3AC6"/>
    <w:rsid w:val="00DF4988"/>
    <w:rsid w:val="00E03C04"/>
    <w:rsid w:val="00E048BC"/>
    <w:rsid w:val="00E05DC9"/>
    <w:rsid w:val="00E06BE4"/>
    <w:rsid w:val="00E07709"/>
    <w:rsid w:val="00E07DAD"/>
    <w:rsid w:val="00E10254"/>
    <w:rsid w:val="00E12890"/>
    <w:rsid w:val="00E15FFB"/>
    <w:rsid w:val="00E16445"/>
    <w:rsid w:val="00E20FB5"/>
    <w:rsid w:val="00E242D1"/>
    <w:rsid w:val="00E40DD6"/>
    <w:rsid w:val="00E40E17"/>
    <w:rsid w:val="00E44566"/>
    <w:rsid w:val="00E46A41"/>
    <w:rsid w:val="00E52270"/>
    <w:rsid w:val="00E557BA"/>
    <w:rsid w:val="00E566AA"/>
    <w:rsid w:val="00E60F3C"/>
    <w:rsid w:val="00E61748"/>
    <w:rsid w:val="00E632AB"/>
    <w:rsid w:val="00E65568"/>
    <w:rsid w:val="00E65AEF"/>
    <w:rsid w:val="00E76CBD"/>
    <w:rsid w:val="00E7745B"/>
    <w:rsid w:val="00E82D18"/>
    <w:rsid w:val="00E8788D"/>
    <w:rsid w:val="00E917AB"/>
    <w:rsid w:val="00E96962"/>
    <w:rsid w:val="00EA04B7"/>
    <w:rsid w:val="00EA4805"/>
    <w:rsid w:val="00EA4B94"/>
    <w:rsid w:val="00EA5491"/>
    <w:rsid w:val="00EA5B4E"/>
    <w:rsid w:val="00EA5EAC"/>
    <w:rsid w:val="00EA60D1"/>
    <w:rsid w:val="00EB142C"/>
    <w:rsid w:val="00EB2CAE"/>
    <w:rsid w:val="00EB771D"/>
    <w:rsid w:val="00EC0233"/>
    <w:rsid w:val="00EC2718"/>
    <w:rsid w:val="00EC4085"/>
    <w:rsid w:val="00EC6D0D"/>
    <w:rsid w:val="00EC73FC"/>
    <w:rsid w:val="00ED60DE"/>
    <w:rsid w:val="00ED7266"/>
    <w:rsid w:val="00EE0CA8"/>
    <w:rsid w:val="00EE0CBB"/>
    <w:rsid w:val="00EE27BE"/>
    <w:rsid w:val="00EE3F3B"/>
    <w:rsid w:val="00EE7ADA"/>
    <w:rsid w:val="00EF0BA4"/>
    <w:rsid w:val="00EF0D1B"/>
    <w:rsid w:val="00EF3D48"/>
    <w:rsid w:val="00EF4041"/>
    <w:rsid w:val="00EF5C9C"/>
    <w:rsid w:val="00EF64DA"/>
    <w:rsid w:val="00EF7295"/>
    <w:rsid w:val="00F0566E"/>
    <w:rsid w:val="00F06BC7"/>
    <w:rsid w:val="00F10EC0"/>
    <w:rsid w:val="00F11CEB"/>
    <w:rsid w:val="00F11D4C"/>
    <w:rsid w:val="00F128D2"/>
    <w:rsid w:val="00F12CD1"/>
    <w:rsid w:val="00F15C23"/>
    <w:rsid w:val="00F16424"/>
    <w:rsid w:val="00F22318"/>
    <w:rsid w:val="00F23541"/>
    <w:rsid w:val="00F23BE5"/>
    <w:rsid w:val="00F30746"/>
    <w:rsid w:val="00F36F46"/>
    <w:rsid w:val="00F4063D"/>
    <w:rsid w:val="00F43A23"/>
    <w:rsid w:val="00F467E1"/>
    <w:rsid w:val="00F5099A"/>
    <w:rsid w:val="00F51071"/>
    <w:rsid w:val="00F513D5"/>
    <w:rsid w:val="00F5155C"/>
    <w:rsid w:val="00F55370"/>
    <w:rsid w:val="00F576A7"/>
    <w:rsid w:val="00F6030C"/>
    <w:rsid w:val="00F6186B"/>
    <w:rsid w:val="00F648CD"/>
    <w:rsid w:val="00F70355"/>
    <w:rsid w:val="00F703EC"/>
    <w:rsid w:val="00F72620"/>
    <w:rsid w:val="00F754F7"/>
    <w:rsid w:val="00F77B22"/>
    <w:rsid w:val="00F816FA"/>
    <w:rsid w:val="00F84F4D"/>
    <w:rsid w:val="00F86A5D"/>
    <w:rsid w:val="00F91A0E"/>
    <w:rsid w:val="00F91AEF"/>
    <w:rsid w:val="00F91FC9"/>
    <w:rsid w:val="00F97B34"/>
    <w:rsid w:val="00FA116F"/>
    <w:rsid w:val="00FA1AEA"/>
    <w:rsid w:val="00FA2DF2"/>
    <w:rsid w:val="00FA601F"/>
    <w:rsid w:val="00FB053E"/>
    <w:rsid w:val="00FB16F3"/>
    <w:rsid w:val="00FB2217"/>
    <w:rsid w:val="00FB2AA1"/>
    <w:rsid w:val="00FB5879"/>
    <w:rsid w:val="00FC1264"/>
    <w:rsid w:val="00FC59D1"/>
    <w:rsid w:val="00FD326C"/>
    <w:rsid w:val="00FD34E8"/>
    <w:rsid w:val="00FD4CFD"/>
    <w:rsid w:val="00FD55DA"/>
    <w:rsid w:val="00FD5FB3"/>
    <w:rsid w:val="00FD6490"/>
    <w:rsid w:val="00FD6DA7"/>
    <w:rsid w:val="00FD751F"/>
    <w:rsid w:val="00FE0677"/>
    <w:rsid w:val="00FE16EA"/>
    <w:rsid w:val="00FE4C5E"/>
    <w:rsid w:val="00FF191B"/>
    <w:rsid w:val="00FF329A"/>
    <w:rsid w:val="00FF3F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2986E"/>
  <w15:chartTrackingRefBased/>
  <w15:docId w15:val="{ACEA9991-3F46-46FA-BD6A-5F83CF58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D5FB3"/>
  </w:style>
  <w:style w:type="paragraph" w:styleId="1">
    <w:name w:val="heading 1"/>
    <w:basedOn w:val="a1"/>
    <w:next w:val="a1"/>
    <w:link w:val="10"/>
    <w:uiPriority w:val="9"/>
    <w:qFormat/>
    <w:rsid w:val="00130E60"/>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1"/>
    <w:next w:val="a1"/>
    <w:link w:val="20"/>
    <w:autoRedefine/>
    <w:unhideWhenUsed/>
    <w:qFormat/>
    <w:rsid w:val="00EF64DA"/>
    <w:pPr>
      <w:keepNext/>
      <w:keepLines/>
      <w:numPr>
        <w:ilvl w:val="1"/>
        <w:numId w:val="59"/>
      </w:numPr>
      <w:spacing w:after="0"/>
      <w:jc w:val="both"/>
      <w:outlineLvl w:val="1"/>
    </w:pPr>
    <w:rPr>
      <w:rFonts w:ascii="Times New Roman" w:eastAsia="Times New Roman" w:hAnsi="Times New Roman" w:cs="Times New Roman"/>
      <w:b/>
      <w:sz w:val="28"/>
      <w:szCs w:val="28"/>
      <w:lang w:eastAsia="ru-RU"/>
    </w:rPr>
  </w:style>
  <w:style w:type="paragraph" w:styleId="3">
    <w:name w:val="heading 3"/>
    <w:basedOn w:val="a1"/>
    <w:next w:val="a1"/>
    <w:link w:val="30"/>
    <w:autoRedefine/>
    <w:unhideWhenUsed/>
    <w:qFormat/>
    <w:rsid w:val="00DA3F05"/>
    <w:pPr>
      <w:keepNext/>
      <w:keepLines/>
      <w:numPr>
        <w:ilvl w:val="2"/>
        <w:numId w:val="58"/>
      </w:numPr>
      <w:spacing w:after="0" w:line="240" w:lineRule="auto"/>
      <w:jc w:val="both"/>
      <w:outlineLvl w:val="2"/>
    </w:pPr>
    <w:rPr>
      <w:rFonts w:ascii="Times New Roman" w:eastAsia="Times New Roman" w:hAnsi="Times New Roman" w:cs="Times New Roman"/>
      <w:b/>
      <w:sz w:val="28"/>
      <w:szCs w:val="28"/>
      <w:lang w:eastAsia="ru-RU"/>
    </w:rPr>
  </w:style>
  <w:style w:type="paragraph" w:styleId="4">
    <w:name w:val="heading 4"/>
    <w:basedOn w:val="a1"/>
    <w:next w:val="a1"/>
    <w:link w:val="40"/>
    <w:unhideWhenUsed/>
    <w:qFormat/>
    <w:rsid w:val="005C1D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semiHidden/>
    <w:unhideWhenUsed/>
    <w:qFormat/>
    <w:rsid w:val="00025B4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025B4B"/>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025B4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025B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025B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C1DC4"/>
    <w:rPr>
      <w:rFonts w:ascii="Times New Roman" w:eastAsiaTheme="majorEastAsia" w:hAnsi="Times New Roman" w:cstheme="majorBidi"/>
      <w:b/>
      <w:sz w:val="28"/>
      <w:szCs w:val="32"/>
    </w:rPr>
  </w:style>
  <w:style w:type="character" w:customStyle="1" w:styleId="20">
    <w:name w:val="Заголовок 2 Знак"/>
    <w:basedOn w:val="a2"/>
    <w:link w:val="2"/>
    <w:rsid w:val="00EF64DA"/>
    <w:rPr>
      <w:rFonts w:ascii="Times New Roman" w:eastAsia="Times New Roman" w:hAnsi="Times New Roman" w:cs="Times New Roman"/>
      <w:b/>
      <w:sz w:val="28"/>
      <w:szCs w:val="28"/>
      <w:lang w:eastAsia="ru-RU"/>
    </w:rPr>
  </w:style>
  <w:style w:type="character" w:customStyle="1" w:styleId="30">
    <w:name w:val="Заголовок 3 Знак"/>
    <w:basedOn w:val="a2"/>
    <w:link w:val="3"/>
    <w:rsid w:val="00DA3F05"/>
    <w:rPr>
      <w:rFonts w:ascii="Times New Roman" w:eastAsia="Times New Roman" w:hAnsi="Times New Roman" w:cs="Times New Roman"/>
      <w:b/>
      <w:sz w:val="28"/>
      <w:szCs w:val="28"/>
      <w:lang w:eastAsia="ru-RU"/>
    </w:rPr>
  </w:style>
  <w:style w:type="character" w:customStyle="1" w:styleId="40">
    <w:name w:val="Заголовок 4 Знак"/>
    <w:basedOn w:val="a2"/>
    <w:link w:val="4"/>
    <w:rsid w:val="005C1DC4"/>
    <w:rPr>
      <w:rFonts w:asciiTheme="majorHAnsi" w:eastAsiaTheme="majorEastAsia" w:hAnsiTheme="majorHAnsi" w:cstheme="majorBidi"/>
      <w:i/>
      <w:iCs/>
      <w:color w:val="2E74B5" w:themeColor="accent1" w:themeShade="BF"/>
    </w:rPr>
  </w:style>
  <w:style w:type="paragraph" w:styleId="a5">
    <w:name w:val="List Paragraph"/>
    <w:aliases w:val="текст документа,СПИСОК,ОБЫЧНЫЙ,Второй абзац списка,ПАРАГРАФ,Bullet List,FooterText,numbered"/>
    <w:basedOn w:val="a1"/>
    <w:link w:val="a6"/>
    <w:uiPriority w:val="34"/>
    <w:qFormat/>
    <w:rsid w:val="00FD5FB3"/>
    <w:pPr>
      <w:ind w:left="720"/>
      <w:contextualSpacing/>
    </w:pPr>
  </w:style>
  <w:style w:type="paragraph" w:styleId="a7">
    <w:name w:val="footer"/>
    <w:basedOn w:val="a1"/>
    <w:link w:val="a8"/>
    <w:uiPriority w:val="99"/>
    <w:unhideWhenUsed/>
    <w:rsid w:val="00FD5FB3"/>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D5FB3"/>
  </w:style>
  <w:style w:type="paragraph" w:styleId="a9">
    <w:name w:val="Balloon Text"/>
    <w:basedOn w:val="a1"/>
    <w:link w:val="aa"/>
    <w:uiPriority w:val="99"/>
    <w:semiHidden/>
    <w:unhideWhenUsed/>
    <w:rsid w:val="00427033"/>
    <w:pPr>
      <w:spacing w:after="0" w:line="240" w:lineRule="auto"/>
    </w:pPr>
    <w:rPr>
      <w:rFonts w:ascii="Segoe UI" w:hAnsi="Segoe UI" w:cs="Segoe UI"/>
      <w:sz w:val="18"/>
      <w:szCs w:val="18"/>
    </w:rPr>
  </w:style>
  <w:style w:type="character" w:customStyle="1" w:styleId="aa">
    <w:name w:val="Текст выноски Знак"/>
    <w:basedOn w:val="a2"/>
    <w:link w:val="a9"/>
    <w:uiPriority w:val="99"/>
    <w:semiHidden/>
    <w:rsid w:val="00427033"/>
    <w:rPr>
      <w:rFonts w:ascii="Segoe UI" w:hAnsi="Segoe UI" w:cs="Segoe UI"/>
      <w:sz w:val="18"/>
      <w:szCs w:val="18"/>
    </w:rPr>
  </w:style>
  <w:style w:type="paragraph" w:styleId="ab">
    <w:name w:val="Normal (Web)"/>
    <w:aliases w:val="Обычный (Web)"/>
    <w:basedOn w:val="a1"/>
    <w:link w:val="ac"/>
    <w:uiPriority w:val="99"/>
    <w:unhideWhenUsed/>
    <w:rsid w:val="005900DE"/>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Web) Знак"/>
    <w:link w:val="ab"/>
    <w:uiPriority w:val="99"/>
    <w:locked/>
    <w:rsid w:val="00EA5B4E"/>
    <w:rPr>
      <w:rFonts w:ascii="Times New Roman" w:eastAsia="Times New Roman" w:hAnsi="Times New Roman" w:cs="Times New Roman"/>
      <w:sz w:val="24"/>
      <w:szCs w:val="24"/>
      <w:lang w:eastAsia="ru-RU"/>
    </w:rPr>
  </w:style>
  <w:style w:type="paragraph" w:styleId="ad">
    <w:name w:val="TOC Heading"/>
    <w:basedOn w:val="1"/>
    <w:next w:val="a1"/>
    <w:uiPriority w:val="39"/>
    <w:unhideWhenUsed/>
    <w:qFormat/>
    <w:rsid w:val="007C6DC9"/>
    <w:pPr>
      <w:outlineLvl w:val="9"/>
    </w:pPr>
    <w:rPr>
      <w:rFonts w:ascii="Calibri Light" w:eastAsia="Times New Roman" w:hAnsi="Calibri Light" w:cs="Times New Roman"/>
      <w:color w:val="2E74B5"/>
      <w:lang w:eastAsia="ru-RU"/>
    </w:rPr>
  </w:style>
  <w:style w:type="paragraph" w:styleId="ae">
    <w:name w:val="footnote text"/>
    <w:aliases w:val="Char,ft Char Char,ft Char Char Char,ft Char,ft Char Char Char Char,ft,ft Char Char Char Char Char,Footnote Text Char2 Char,Footnote Text Char Char Char1,Footnote Text Char1 Char Char Char,fn,Footnotes,Footnote ak,fn Cha,Footnote,Ch,Fußnot"/>
    <w:basedOn w:val="a1"/>
    <w:link w:val="af"/>
    <w:uiPriority w:val="99"/>
    <w:unhideWhenUsed/>
    <w:rsid w:val="00883C8E"/>
    <w:pPr>
      <w:spacing w:after="0" w:line="240" w:lineRule="auto"/>
    </w:pPr>
    <w:rPr>
      <w:sz w:val="20"/>
      <w:szCs w:val="20"/>
    </w:rPr>
  </w:style>
  <w:style w:type="character" w:customStyle="1" w:styleId="af">
    <w:name w:val="Текст сноски Знак"/>
    <w:aliases w:val="Char Знак,ft Char Char Знак,ft Char Char Char Знак,ft Char Знак,ft Char Char Char Char Знак,ft Знак,ft Char Char Char Char Char Знак,Footnote Text Char2 Char Знак,Footnote Text Char Char Char1 Знак,fn Знак,Footnotes Знак,fn Cha Знак"/>
    <w:basedOn w:val="a2"/>
    <w:link w:val="ae"/>
    <w:uiPriority w:val="99"/>
    <w:rsid w:val="00883C8E"/>
    <w:rPr>
      <w:sz w:val="20"/>
      <w:szCs w:val="20"/>
    </w:rPr>
  </w:style>
  <w:style w:type="character" w:styleId="af0">
    <w:name w:val="footnote reference"/>
    <w:aliases w:val="Ref,de nota al pie,FR,footnumber,Footnotemark,Footnotemark1,Footnotemark2,FR1,Footnotemark3,FR2,Footnotemark4,FR3,Footnotemark5,FR4,Footnotemark6,Footnotemark7,Footnotemark8,FR5,Footnotemark11,Footnotemark21,FR11,Footnotemark31,FR21,fr"/>
    <w:basedOn w:val="a2"/>
    <w:uiPriority w:val="99"/>
    <w:unhideWhenUsed/>
    <w:rsid w:val="00883C8E"/>
    <w:rPr>
      <w:vertAlign w:val="superscript"/>
    </w:rPr>
  </w:style>
  <w:style w:type="paragraph" w:customStyle="1" w:styleId="Default">
    <w:name w:val="Default"/>
    <w:rsid w:val="00883C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1"/>
    <w:uiPriority w:val="99"/>
    <w:rsid w:val="00EA5B4E"/>
    <w:pPr>
      <w:suppressAutoHyphens/>
      <w:spacing w:line="256" w:lineRule="auto"/>
      <w:ind w:left="720" w:firstLine="709"/>
      <w:jc w:val="both"/>
    </w:pPr>
    <w:rPr>
      <w:rFonts w:ascii="Calibri" w:eastAsia="SimSun" w:hAnsi="Calibri" w:cs="Calibri"/>
      <w:kern w:val="2"/>
      <w:lang w:eastAsia="ar-SA"/>
    </w:rPr>
  </w:style>
  <w:style w:type="character" w:customStyle="1" w:styleId="ConsPlusNormal">
    <w:name w:val="ConsPlusNormal Знак"/>
    <w:link w:val="ConsPlusNormal0"/>
    <w:locked/>
    <w:rsid w:val="00EA5B4E"/>
    <w:rPr>
      <w:rFonts w:ascii="Calibri" w:eastAsia="Times New Roman" w:hAnsi="Calibri" w:cs="Calibri"/>
      <w:szCs w:val="20"/>
      <w:lang w:eastAsia="ru-RU"/>
    </w:rPr>
  </w:style>
  <w:style w:type="paragraph" w:customStyle="1" w:styleId="ConsPlusNormal0">
    <w:name w:val="ConsPlusNormal"/>
    <w:link w:val="ConsPlusNormal"/>
    <w:rsid w:val="00EA5B4E"/>
    <w:pPr>
      <w:widowControl w:val="0"/>
      <w:autoSpaceDE w:val="0"/>
      <w:autoSpaceDN w:val="0"/>
      <w:spacing w:after="0" w:line="240" w:lineRule="auto"/>
    </w:pPr>
    <w:rPr>
      <w:rFonts w:ascii="Calibri" w:eastAsia="Times New Roman" w:hAnsi="Calibri" w:cs="Calibri"/>
      <w:szCs w:val="20"/>
      <w:lang w:eastAsia="ru-RU"/>
    </w:rPr>
  </w:style>
  <w:style w:type="character" w:styleId="af1">
    <w:name w:val="Hyperlink"/>
    <w:basedOn w:val="a2"/>
    <w:uiPriority w:val="99"/>
    <w:unhideWhenUsed/>
    <w:rsid w:val="00B91730"/>
    <w:rPr>
      <w:color w:val="0000FF"/>
      <w:u w:val="single"/>
    </w:rPr>
  </w:style>
  <w:style w:type="character" w:styleId="af2">
    <w:name w:val="Emphasis"/>
    <w:basedOn w:val="a2"/>
    <w:uiPriority w:val="20"/>
    <w:qFormat/>
    <w:rsid w:val="00647DE6"/>
    <w:rPr>
      <w:i/>
      <w:iCs/>
    </w:rPr>
  </w:style>
  <w:style w:type="paragraph" w:styleId="a">
    <w:name w:val="Subtitle"/>
    <w:basedOn w:val="a1"/>
    <w:next w:val="a1"/>
    <w:link w:val="af3"/>
    <w:uiPriority w:val="11"/>
    <w:qFormat/>
    <w:rsid w:val="004575A3"/>
    <w:pPr>
      <w:numPr>
        <w:numId w:val="4"/>
      </w:numPr>
    </w:pPr>
    <w:rPr>
      <w:rFonts w:ascii="Times New Roman" w:eastAsiaTheme="minorEastAsia" w:hAnsi="Times New Roman"/>
      <w:sz w:val="28"/>
    </w:rPr>
  </w:style>
  <w:style w:type="character" w:customStyle="1" w:styleId="af3">
    <w:name w:val="Подзаголовок Знак"/>
    <w:basedOn w:val="a2"/>
    <w:link w:val="a"/>
    <w:uiPriority w:val="11"/>
    <w:rsid w:val="004575A3"/>
    <w:rPr>
      <w:rFonts w:ascii="Times New Roman" w:eastAsiaTheme="minorEastAsia" w:hAnsi="Times New Roman"/>
      <w:sz w:val="28"/>
    </w:rPr>
  </w:style>
  <w:style w:type="paragraph" w:styleId="12">
    <w:name w:val="toc 1"/>
    <w:basedOn w:val="a1"/>
    <w:next w:val="a1"/>
    <w:autoRedefine/>
    <w:uiPriority w:val="39"/>
    <w:unhideWhenUsed/>
    <w:rsid w:val="000F6758"/>
    <w:pPr>
      <w:tabs>
        <w:tab w:val="right" w:leader="dot" w:pos="9344"/>
      </w:tabs>
      <w:spacing w:before="360" w:after="0"/>
    </w:pPr>
    <w:rPr>
      <w:rFonts w:asciiTheme="majorHAnsi" w:hAnsiTheme="majorHAnsi"/>
      <w:b/>
      <w:bCs/>
      <w:caps/>
      <w:sz w:val="24"/>
      <w:szCs w:val="24"/>
    </w:rPr>
  </w:style>
  <w:style w:type="paragraph" w:styleId="21">
    <w:name w:val="toc 2"/>
    <w:basedOn w:val="a1"/>
    <w:next w:val="a1"/>
    <w:autoRedefine/>
    <w:uiPriority w:val="39"/>
    <w:unhideWhenUsed/>
    <w:rsid w:val="00A42DBE"/>
    <w:pPr>
      <w:spacing w:before="240" w:after="0"/>
    </w:pPr>
    <w:rPr>
      <w:b/>
      <w:bCs/>
      <w:sz w:val="20"/>
      <w:szCs w:val="20"/>
    </w:rPr>
  </w:style>
  <w:style w:type="paragraph" w:styleId="31">
    <w:name w:val="toc 3"/>
    <w:basedOn w:val="a1"/>
    <w:next w:val="a1"/>
    <w:autoRedefine/>
    <w:uiPriority w:val="39"/>
    <w:unhideWhenUsed/>
    <w:rsid w:val="00A42DBE"/>
    <w:pPr>
      <w:spacing w:after="0"/>
      <w:ind w:left="220"/>
    </w:pPr>
    <w:rPr>
      <w:sz w:val="20"/>
      <w:szCs w:val="20"/>
    </w:rPr>
  </w:style>
  <w:style w:type="paragraph" w:styleId="41">
    <w:name w:val="toc 4"/>
    <w:basedOn w:val="a1"/>
    <w:next w:val="a1"/>
    <w:autoRedefine/>
    <w:uiPriority w:val="39"/>
    <w:unhideWhenUsed/>
    <w:rsid w:val="007C59FF"/>
    <w:pPr>
      <w:spacing w:after="0"/>
      <w:ind w:left="440"/>
    </w:pPr>
    <w:rPr>
      <w:sz w:val="20"/>
      <w:szCs w:val="20"/>
    </w:rPr>
  </w:style>
  <w:style w:type="paragraph" w:styleId="51">
    <w:name w:val="toc 5"/>
    <w:basedOn w:val="a1"/>
    <w:next w:val="a1"/>
    <w:autoRedefine/>
    <w:uiPriority w:val="39"/>
    <w:unhideWhenUsed/>
    <w:rsid w:val="007C59FF"/>
    <w:pPr>
      <w:spacing w:after="0"/>
      <w:ind w:left="660"/>
    </w:pPr>
    <w:rPr>
      <w:sz w:val="20"/>
      <w:szCs w:val="20"/>
    </w:rPr>
  </w:style>
  <w:style w:type="paragraph" w:styleId="61">
    <w:name w:val="toc 6"/>
    <w:basedOn w:val="a1"/>
    <w:next w:val="a1"/>
    <w:autoRedefine/>
    <w:uiPriority w:val="39"/>
    <w:unhideWhenUsed/>
    <w:rsid w:val="007C59FF"/>
    <w:pPr>
      <w:spacing w:after="0"/>
      <w:ind w:left="880"/>
    </w:pPr>
    <w:rPr>
      <w:sz w:val="20"/>
      <w:szCs w:val="20"/>
    </w:rPr>
  </w:style>
  <w:style w:type="paragraph" w:styleId="71">
    <w:name w:val="toc 7"/>
    <w:basedOn w:val="a1"/>
    <w:next w:val="a1"/>
    <w:autoRedefine/>
    <w:uiPriority w:val="39"/>
    <w:unhideWhenUsed/>
    <w:rsid w:val="007C59FF"/>
    <w:pPr>
      <w:spacing w:after="0"/>
      <w:ind w:left="1100"/>
    </w:pPr>
    <w:rPr>
      <w:sz w:val="20"/>
      <w:szCs w:val="20"/>
    </w:rPr>
  </w:style>
  <w:style w:type="paragraph" w:styleId="81">
    <w:name w:val="toc 8"/>
    <w:basedOn w:val="a1"/>
    <w:next w:val="a1"/>
    <w:autoRedefine/>
    <w:uiPriority w:val="39"/>
    <w:unhideWhenUsed/>
    <w:rsid w:val="007C59FF"/>
    <w:pPr>
      <w:spacing w:after="0"/>
      <w:ind w:left="1320"/>
    </w:pPr>
    <w:rPr>
      <w:sz w:val="20"/>
      <w:szCs w:val="20"/>
    </w:rPr>
  </w:style>
  <w:style w:type="paragraph" w:styleId="91">
    <w:name w:val="toc 9"/>
    <w:basedOn w:val="a1"/>
    <w:next w:val="a1"/>
    <w:autoRedefine/>
    <w:uiPriority w:val="39"/>
    <w:unhideWhenUsed/>
    <w:rsid w:val="007C59FF"/>
    <w:pPr>
      <w:spacing w:after="0"/>
      <w:ind w:left="1540"/>
    </w:pPr>
    <w:rPr>
      <w:sz w:val="20"/>
      <w:szCs w:val="20"/>
    </w:rPr>
  </w:style>
  <w:style w:type="paragraph" w:customStyle="1" w:styleId="Textbody">
    <w:name w:val="Text body"/>
    <w:basedOn w:val="a1"/>
    <w:rsid w:val="00A771B0"/>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msolistparagraphmailrucssattributepostfixmailrucssattributepostfix">
    <w:name w:val="msolistparagraph_mailru_css_attribute_postfix_mailru_css_attribute_postfix"/>
    <w:basedOn w:val="a1"/>
    <w:uiPriority w:val="99"/>
    <w:rsid w:val="00A771B0"/>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4">
    <w:name w:val="Основной текст_"/>
    <w:basedOn w:val="a2"/>
    <w:link w:val="13"/>
    <w:rsid w:val="00A771B0"/>
    <w:rPr>
      <w:rFonts w:ascii="Times New Roman" w:eastAsia="Times New Roman" w:hAnsi="Times New Roman" w:cs="Times New Roman"/>
      <w:sz w:val="21"/>
      <w:szCs w:val="21"/>
      <w:shd w:val="clear" w:color="auto" w:fill="FFFFFF"/>
    </w:rPr>
  </w:style>
  <w:style w:type="paragraph" w:customStyle="1" w:styleId="13">
    <w:name w:val="Основной текст1"/>
    <w:basedOn w:val="a1"/>
    <w:link w:val="af4"/>
    <w:rsid w:val="00A771B0"/>
    <w:pPr>
      <w:shd w:val="clear" w:color="auto" w:fill="FFFFFF"/>
      <w:spacing w:before="360" w:after="0" w:line="295" w:lineRule="exact"/>
      <w:jc w:val="both"/>
    </w:pPr>
    <w:rPr>
      <w:rFonts w:ascii="Times New Roman" w:eastAsia="Times New Roman" w:hAnsi="Times New Roman" w:cs="Times New Roman"/>
      <w:sz w:val="21"/>
      <w:szCs w:val="21"/>
    </w:rPr>
  </w:style>
  <w:style w:type="paragraph" w:customStyle="1" w:styleId="Standard">
    <w:name w:val="Standard"/>
    <w:rsid w:val="00A771B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6">
    <w:name w:val="Абзац списка Знак"/>
    <w:aliases w:val="текст документа Знак,СПИСОК Знак,ОБЫЧНЫЙ Знак,Второй абзац списка Знак,ПАРАГРАФ Знак,Bullet List Знак,FooterText Знак,numbered Знак"/>
    <w:link w:val="a5"/>
    <w:uiPriority w:val="34"/>
    <w:locked/>
    <w:rsid w:val="004F2E63"/>
  </w:style>
  <w:style w:type="paragraph" w:customStyle="1" w:styleId="western">
    <w:name w:val="western"/>
    <w:basedOn w:val="a1"/>
    <w:rsid w:val="00090629"/>
    <w:pPr>
      <w:suppressAutoHyphens/>
      <w:spacing w:before="280" w:after="280" w:line="240" w:lineRule="auto"/>
      <w:jc w:val="both"/>
    </w:pPr>
    <w:rPr>
      <w:rFonts w:ascii="Times New Roman" w:eastAsia="Times New Roman" w:hAnsi="Times New Roman" w:cs="Times New Roman"/>
      <w:sz w:val="28"/>
      <w:szCs w:val="28"/>
      <w:lang w:eastAsia="ar-SA"/>
    </w:rPr>
  </w:style>
  <w:style w:type="character" w:styleId="af5">
    <w:name w:val="Strong"/>
    <w:basedOn w:val="a2"/>
    <w:uiPriority w:val="22"/>
    <w:qFormat/>
    <w:rsid w:val="00A501B4"/>
    <w:rPr>
      <w:b/>
      <w:bCs/>
    </w:rPr>
  </w:style>
  <w:style w:type="paragraph" w:styleId="af6">
    <w:name w:val="Body Text"/>
    <w:basedOn w:val="a1"/>
    <w:link w:val="af7"/>
    <w:rsid w:val="004A10F7"/>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7">
    <w:name w:val="Основной текст Знак"/>
    <w:basedOn w:val="a2"/>
    <w:link w:val="af6"/>
    <w:rsid w:val="004A10F7"/>
    <w:rPr>
      <w:rFonts w:ascii="Times New Roman" w:eastAsia="SimSun" w:hAnsi="Times New Roman" w:cs="Mangal"/>
      <w:kern w:val="1"/>
      <w:sz w:val="24"/>
      <w:szCs w:val="24"/>
      <w:lang w:eastAsia="hi-IN" w:bidi="hi-IN"/>
    </w:rPr>
  </w:style>
  <w:style w:type="paragraph" w:styleId="af8">
    <w:name w:val="header"/>
    <w:basedOn w:val="a1"/>
    <w:link w:val="af9"/>
    <w:uiPriority w:val="99"/>
    <w:rsid w:val="00CD4185"/>
    <w:pPr>
      <w:suppressAutoHyphens/>
      <w:spacing w:after="0" w:line="240" w:lineRule="auto"/>
    </w:pPr>
    <w:rPr>
      <w:rFonts w:ascii="Calibri" w:eastAsia="Calibri" w:hAnsi="Calibri" w:cs="Times New Roman"/>
      <w:lang w:eastAsia="ar-SA"/>
    </w:rPr>
  </w:style>
  <w:style w:type="character" w:customStyle="1" w:styleId="af9">
    <w:name w:val="Верхний колонтитул Знак"/>
    <w:basedOn w:val="a2"/>
    <w:link w:val="af8"/>
    <w:uiPriority w:val="99"/>
    <w:rsid w:val="00CD4185"/>
    <w:rPr>
      <w:rFonts w:ascii="Calibri" w:eastAsia="Calibri" w:hAnsi="Calibri" w:cs="Times New Roman"/>
      <w:lang w:eastAsia="ar-SA"/>
    </w:rPr>
  </w:style>
  <w:style w:type="paragraph" w:styleId="22">
    <w:name w:val="Body Text 2"/>
    <w:basedOn w:val="a1"/>
    <w:link w:val="23"/>
    <w:uiPriority w:val="99"/>
    <w:semiHidden/>
    <w:unhideWhenUsed/>
    <w:rsid w:val="004D6F7B"/>
    <w:pPr>
      <w:spacing w:after="120" w:line="480" w:lineRule="auto"/>
    </w:pPr>
  </w:style>
  <w:style w:type="character" w:customStyle="1" w:styleId="23">
    <w:name w:val="Основной текст 2 Знак"/>
    <w:basedOn w:val="a2"/>
    <w:link w:val="22"/>
    <w:uiPriority w:val="99"/>
    <w:semiHidden/>
    <w:rsid w:val="004D6F7B"/>
  </w:style>
  <w:style w:type="table" w:customStyle="1" w:styleId="14">
    <w:name w:val="Сетка таблицы1"/>
    <w:basedOn w:val="a3"/>
    <w:next w:val="afa"/>
    <w:rsid w:val="004477B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a">
    <w:name w:val="Table Grid"/>
    <w:basedOn w:val="a3"/>
    <w:uiPriority w:val="39"/>
    <w:rsid w:val="00447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 Знак"/>
    <w:basedOn w:val="a1"/>
    <w:rsid w:val="00B72321"/>
    <w:pPr>
      <w:spacing w:line="240" w:lineRule="exact"/>
    </w:pPr>
    <w:rPr>
      <w:rFonts w:ascii="Verdana" w:eastAsia="Times New Roman" w:hAnsi="Verdana" w:cs="Verdana"/>
      <w:sz w:val="20"/>
      <w:szCs w:val="20"/>
      <w:lang w:val="en-US"/>
    </w:rPr>
  </w:style>
  <w:style w:type="character" w:customStyle="1" w:styleId="24">
    <w:name w:val="Основной текст (2)_"/>
    <w:link w:val="25"/>
    <w:rsid w:val="00B72321"/>
    <w:rPr>
      <w:sz w:val="28"/>
      <w:szCs w:val="28"/>
      <w:shd w:val="clear" w:color="auto" w:fill="FFFFFF"/>
    </w:rPr>
  </w:style>
  <w:style w:type="character" w:customStyle="1" w:styleId="2BookmanOldStyle13pt">
    <w:name w:val="Основной текст (2) + Bookman Old Style;13 pt;Полужирный;Курсив"/>
    <w:rsid w:val="00B72321"/>
    <w:rPr>
      <w:rFonts w:ascii="Bookman Old Style" w:eastAsia="Bookman Old Style" w:hAnsi="Bookman Old Style" w:cs="Bookman Old Style"/>
      <w:b/>
      <w:bCs/>
      <w:i/>
      <w:iCs/>
      <w:smallCaps w:val="0"/>
      <w:strike w:val="0"/>
      <w:color w:val="000000"/>
      <w:spacing w:val="0"/>
      <w:w w:val="100"/>
      <w:position w:val="0"/>
      <w:sz w:val="26"/>
      <w:szCs w:val="26"/>
      <w:u w:val="none"/>
      <w:lang w:val="ru-RU" w:eastAsia="ru-RU" w:bidi="ru-RU"/>
    </w:rPr>
  </w:style>
  <w:style w:type="paragraph" w:customStyle="1" w:styleId="25">
    <w:name w:val="Основной текст (2)"/>
    <w:basedOn w:val="a1"/>
    <w:link w:val="24"/>
    <w:rsid w:val="00B72321"/>
    <w:pPr>
      <w:widowControl w:val="0"/>
      <w:shd w:val="clear" w:color="auto" w:fill="FFFFFF"/>
      <w:spacing w:after="0" w:line="317" w:lineRule="exact"/>
      <w:jc w:val="both"/>
    </w:pPr>
    <w:rPr>
      <w:sz w:val="28"/>
      <w:szCs w:val="28"/>
    </w:rPr>
  </w:style>
  <w:style w:type="character" w:customStyle="1" w:styleId="wbformattributevalue">
    <w:name w:val="wbform_attributevalue"/>
    <w:basedOn w:val="a2"/>
    <w:rsid w:val="0048363D"/>
  </w:style>
  <w:style w:type="paragraph" w:customStyle="1" w:styleId="26">
    <w:name w:val="Основной текст2"/>
    <w:basedOn w:val="a1"/>
    <w:rsid w:val="0048363D"/>
    <w:pPr>
      <w:widowControl w:val="0"/>
      <w:shd w:val="clear" w:color="auto" w:fill="FFFFFF"/>
      <w:spacing w:before="780" w:after="0" w:line="485" w:lineRule="exact"/>
      <w:jc w:val="both"/>
    </w:pPr>
    <w:rPr>
      <w:rFonts w:ascii="Times New Roman" w:eastAsia="Times New Roman" w:hAnsi="Times New Roman" w:cs="Times New Roman"/>
      <w:color w:val="000000"/>
      <w:spacing w:val="-1"/>
      <w:sz w:val="26"/>
      <w:szCs w:val="26"/>
      <w:lang w:eastAsia="ru-RU"/>
    </w:rPr>
  </w:style>
  <w:style w:type="character" w:customStyle="1" w:styleId="0pt">
    <w:name w:val="Основной текст + Курсив;Интервал 0 pt"/>
    <w:basedOn w:val="af4"/>
    <w:rsid w:val="00C47B4D"/>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ru-RU"/>
    </w:rPr>
  </w:style>
  <w:style w:type="numbering" w:customStyle="1" w:styleId="16">
    <w:name w:val="Нет списка1"/>
    <w:next w:val="a4"/>
    <w:uiPriority w:val="99"/>
    <w:semiHidden/>
    <w:unhideWhenUsed/>
    <w:rsid w:val="00151F46"/>
  </w:style>
  <w:style w:type="paragraph" w:styleId="afb">
    <w:name w:val="Body Text Indent"/>
    <w:basedOn w:val="a1"/>
    <w:link w:val="afc"/>
    <w:unhideWhenUsed/>
    <w:rsid w:val="00E10254"/>
    <w:pPr>
      <w:spacing w:after="120"/>
      <w:ind w:left="283"/>
    </w:pPr>
  </w:style>
  <w:style w:type="character" w:customStyle="1" w:styleId="afc">
    <w:name w:val="Основной текст с отступом Знак"/>
    <w:basedOn w:val="a2"/>
    <w:link w:val="afb"/>
    <w:uiPriority w:val="99"/>
    <w:semiHidden/>
    <w:rsid w:val="00E10254"/>
  </w:style>
  <w:style w:type="character" w:customStyle="1" w:styleId="50">
    <w:name w:val="Заголовок 5 Знак"/>
    <w:basedOn w:val="a2"/>
    <w:link w:val="5"/>
    <w:uiPriority w:val="9"/>
    <w:semiHidden/>
    <w:rsid w:val="00025B4B"/>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semiHidden/>
    <w:rsid w:val="00025B4B"/>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semiHidden/>
    <w:rsid w:val="00025B4B"/>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semiHidden/>
    <w:rsid w:val="00025B4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025B4B"/>
    <w:rPr>
      <w:rFonts w:asciiTheme="majorHAnsi" w:eastAsiaTheme="majorEastAsia" w:hAnsiTheme="majorHAnsi" w:cstheme="majorBidi"/>
      <w:i/>
      <w:iCs/>
      <w:color w:val="272727" w:themeColor="text1" w:themeTint="D8"/>
      <w:sz w:val="21"/>
      <w:szCs w:val="21"/>
    </w:rPr>
  </w:style>
  <w:style w:type="table" w:customStyle="1" w:styleId="27">
    <w:name w:val="Сетка таблицы2"/>
    <w:basedOn w:val="a3"/>
    <w:next w:val="afa"/>
    <w:uiPriority w:val="59"/>
    <w:rsid w:val="009D1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 Spacing"/>
    <w:link w:val="afe"/>
    <w:uiPriority w:val="1"/>
    <w:qFormat/>
    <w:rsid w:val="00992EDF"/>
    <w:pPr>
      <w:spacing w:after="0" w:line="240" w:lineRule="auto"/>
    </w:pPr>
  </w:style>
  <w:style w:type="numbering" w:customStyle="1" w:styleId="28">
    <w:name w:val="Нет списка2"/>
    <w:next w:val="a4"/>
    <w:semiHidden/>
    <w:rsid w:val="0050661D"/>
  </w:style>
  <w:style w:type="paragraph" w:styleId="32">
    <w:name w:val="Body Text 3"/>
    <w:basedOn w:val="a1"/>
    <w:link w:val="33"/>
    <w:rsid w:val="0050661D"/>
    <w:pPr>
      <w:spacing w:after="0" w:line="240" w:lineRule="auto"/>
      <w:jc w:val="center"/>
    </w:pPr>
    <w:rPr>
      <w:rFonts w:ascii="Times New Roman" w:eastAsia="Times New Roman" w:hAnsi="Times New Roman" w:cs="Times New Roman"/>
      <w:b/>
      <w:sz w:val="24"/>
      <w:szCs w:val="20"/>
      <w:lang w:eastAsia="ru-RU"/>
    </w:rPr>
  </w:style>
  <w:style w:type="character" w:customStyle="1" w:styleId="33">
    <w:name w:val="Основной текст 3 Знак"/>
    <w:basedOn w:val="a2"/>
    <w:link w:val="32"/>
    <w:rsid w:val="0050661D"/>
    <w:rPr>
      <w:rFonts w:ascii="Times New Roman" w:eastAsia="Times New Roman" w:hAnsi="Times New Roman" w:cs="Times New Roman"/>
      <w:b/>
      <w:sz w:val="24"/>
      <w:szCs w:val="20"/>
      <w:lang w:eastAsia="ru-RU"/>
    </w:rPr>
  </w:style>
  <w:style w:type="paragraph" w:customStyle="1" w:styleId="aff">
    <w:name w:val="Ст. без интервала"/>
    <w:basedOn w:val="a1"/>
    <w:qFormat/>
    <w:rsid w:val="0050661D"/>
    <w:pPr>
      <w:spacing w:after="0" w:line="240" w:lineRule="auto"/>
      <w:ind w:firstLine="709"/>
      <w:jc w:val="both"/>
    </w:pPr>
    <w:rPr>
      <w:rFonts w:ascii="Times New Roman" w:eastAsia="Calibri" w:hAnsi="Times New Roman" w:cs="Times New Roman"/>
      <w:sz w:val="28"/>
      <w:szCs w:val="28"/>
      <w:lang w:eastAsia="ru-RU"/>
    </w:rPr>
  </w:style>
  <w:style w:type="character" w:styleId="aff0">
    <w:name w:val="page number"/>
    <w:basedOn w:val="a2"/>
    <w:rsid w:val="0050661D"/>
  </w:style>
  <w:style w:type="paragraph" w:customStyle="1" w:styleId="ConsPlusTitle">
    <w:name w:val="ConsPlusTitle"/>
    <w:rsid w:val="0050661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1">
    <w:name w:val="Знак Знак Знак"/>
    <w:basedOn w:val="a1"/>
    <w:rsid w:val="0050661D"/>
    <w:pPr>
      <w:spacing w:line="240" w:lineRule="exact"/>
    </w:pPr>
    <w:rPr>
      <w:rFonts w:ascii="Verdana" w:eastAsia="Times New Roman" w:hAnsi="Verdana" w:cs="Times New Roman"/>
      <w:sz w:val="20"/>
      <w:szCs w:val="20"/>
      <w:lang w:val="en-US"/>
    </w:rPr>
  </w:style>
  <w:style w:type="character" w:customStyle="1" w:styleId="apple-converted-space">
    <w:name w:val="apple-converted-space"/>
    <w:rsid w:val="0050661D"/>
  </w:style>
  <w:style w:type="paragraph" w:customStyle="1" w:styleId="ConsPlusNonformat">
    <w:name w:val="ConsPlusNonformat"/>
    <w:uiPriority w:val="99"/>
    <w:rsid w:val="0050661D"/>
    <w:pPr>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4">
    <w:name w:val="Сетка таблицы3"/>
    <w:basedOn w:val="a3"/>
    <w:next w:val="afa"/>
    <w:rsid w:val="00506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ж) Тире"/>
    <w:basedOn w:val="a5"/>
    <w:link w:val="aff2"/>
    <w:qFormat/>
    <w:rsid w:val="0050661D"/>
    <w:pPr>
      <w:numPr>
        <w:numId w:val="38"/>
      </w:numPr>
      <w:spacing w:before="120" w:after="120" w:line="360" w:lineRule="auto"/>
      <w:jc w:val="both"/>
    </w:pPr>
    <w:rPr>
      <w:rFonts w:ascii="Times New Roman" w:eastAsia="Times New Roman" w:hAnsi="Times New Roman" w:cs="Times New Roman"/>
      <w:sz w:val="24"/>
      <w:szCs w:val="24"/>
      <w:lang w:val="x-none" w:eastAsia="x-none"/>
    </w:rPr>
  </w:style>
  <w:style w:type="character" w:customStyle="1" w:styleId="aff2">
    <w:name w:val="ж) Тире Знак"/>
    <w:link w:val="a0"/>
    <w:rsid w:val="0050661D"/>
    <w:rPr>
      <w:rFonts w:ascii="Times New Roman" w:eastAsia="Times New Roman" w:hAnsi="Times New Roman" w:cs="Times New Roman"/>
      <w:sz w:val="24"/>
      <w:szCs w:val="24"/>
      <w:lang w:val="x-none" w:eastAsia="x-none"/>
    </w:rPr>
  </w:style>
  <w:style w:type="paragraph" w:customStyle="1" w:styleId="aff3">
    <w:name w:val="Стиль табличный"/>
    <w:basedOn w:val="a1"/>
    <w:rsid w:val="0050661D"/>
    <w:pPr>
      <w:spacing w:after="0" w:line="240" w:lineRule="auto"/>
    </w:pPr>
    <w:rPr>
      <w:rFonts w:ascii="Times New Roman" w:eastAsia="Times New Roman" w:hAnsi="Times New Roman" w:cs="Times New Roman"/>
      <w:sz w:val="20"/>
      <w:szCs w:val="20"/>
      <w:lang w:eastAsia="ru-RU"/>
    </w:rPr>
  </w:style>
  <w:style w:type="paragraph" w:customStyle="1" w:styleId="aff4">
    <w:name w:val="Письмо"/>
    <w:basedOn w:val="a1"/>
    <w:rsid w:val="0050661D"/>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consplusnormal1">
    <w:name w:val="consplusnormal"/>
    <w:basedOn w:val="a1"/>
    <w:rsid w:val="0050661D"/>
    <w:pPr>
      <w:spacing w:after="150" w:line="240" w:lineRule="auto"/>
    </w:pPr>
    <w:rPr>
      <w:rFonts w:ascii="Times New Roman" w:eastAsia="Times New Roman" w:hAnsi="Times New Roman" w:cs="Times New Roman"/>
      <w:sz w:val="24"/>
      <w:szCs w:val="24"/>
      <w:lang w:eastAsia="ru-RU"/>
    </w:rPr>
  </w:style>
  <w:style w:type="character" w:styleId="aff5">
    <w:name w:val="annotation reference"/>
    <w:uiPriority w:val="99"/>
    <w:unhideWhenUsed/>
    <w:rsid w:val="0050661D"/>
    <w:rPr>
      <w:sz w:val="16"/>
      <w:szCs w:val="16"/>
    </w:rPr>
  </w:style>
  <w:style w:type="paragraph" w:styleId="aff6">
    <w:name w:val="annotation text"/>
    <w:basedOn w:val="a1"/>
    <w:link w:val="aff7"/>
    <w:uiPriority w:val="99"/>
    <w:unhideWhenUsed/>
    <w:rsid w:val="0050661D"/>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2"/>
    <w:link w:val="aff6"/>
    <w:uiPriority w:val="99"/>
    <w:rsid w:val="0050661D"/>
    <w:rPr>
      <w:rFonts w:ascii="Times New Roman" w:eastAsia="Times New Roman" w:hAnsi="Times New Roman" w:cs="Times New Roman"/>
      <w:sz w:val="20"/>
      <w:szCs w:val="20"/>
      <w:lang w:eastAsia="ru-RU"/>
    </w:rPr>
  </w:style>
  <w:style w:type="paragraph" w:customStyle="1" w:styleId="PreformattedText">
    <w:name w:val="Preformatted Text"/>
    <w:basedOn w:val="a1"/>
    <w:rsid w:val="0050661D"/>
    <w:pPr>
      <w:widowControl w:val="0"/>
      <w:suppressAutoHyphens/>
      <w:spacing w:after="0" w:line="240" w:lineRule="auto"/>
    </w:pPr>
    <w:rPr>
      <w:rFonts w:ascii="Times New Roman" w:eastAsia="Times New Roman" w:hAnsi="Times New Roman" w:cs="Times New Roman"/>
      <w:sz w:val="20"/>
      <w:szCs w:val="20"/>
      <w:lang w:eastAsia="ru-RU"/>
    </w:rPr>
  </w:style>
  <w:style w:type="paragraph" w:customStyle="1" w:styleId="aff8">
    <w:name w:val="консультант плюс"/>
    <w:basedOn w:val="a1"/>
    <w:rsid w:val="00502402"/>
    <w:pPr>
      <w:spacing w:after="0" w:line="360" w:lineRule="auto"/>
      <w:ind w:firstLine="709"/>
    </w:pPr>
    <w:rPr>
      <w:rFonts w:ascii="Times New Roman" w:eastAsia="Times New Roman" w:hAnsi="Times New Roman" w:cs="Times New Roman"/>
      <w:sz w:val="24"/>
      <w:szCs w:val="24"/>
      <w:lang w:eastAsia="ru-RU"/>
    </w:rPr>
  </w:style>
  <w:style w:type="table" w:customStyle="1" w:styleId="42">
    <w:name w:val="Сетка таблицы4"/>
    <w:basedOn w:val="a3"/>
    <w:next w:val="afa"/>
    <w:rsid w:val="002300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pt">
    <w:name w:val="Основной текст + 11;5 pt"/>
    <w:rsid w:val="00F11D4C"/>
    <w:rPr>
      <w:rFonts w:ascii="Times New Roman" w:eastAsia="Times New Roman" w:hAnsi="Times New Roman" w:cs="Times New Roman"/>
      <w:color w:val="000000"/>
      <w:spacing w:val="0"/>
      <w:w w:val="100"/>
      <w:position w:val="0"/>
      <w:sz w:val="23"/>
      <w:szCs w:val="23"/>
      <w:vertAlign w:val="baseline"/>
      <w:lang w:val="ru-RU"/>
    </w:rPr>
  </w:style>
  <w:style w:type="paragraph" w:styleId="aff9">
    <w:name w:val="annotation subject"/>
    <w:basedOn w:val="aff6"/>
    <w:next w:val="aff6"/>
    <w:link w:val="affa"/>
    <w:uiPriority w:val="99"/>
    <w:semiHidden/>
    <w:unhideWhenUsed/>
    <w:rsid w:val="006A3073"/>
    <w:pPr>
      <w:spacing w:after="160"/>
    </w:pPr>
    <w:rPr>
      <w:rFonts w:asciiTheme="minorHAnsi" w:eastAsiaTheme="minorHAnsi" w:hAnsiTheme="minorHAnsi" w:cstheme="minorBidi"/>
      <w:b/>
      <w:bCs/>
      <w:lang w:eastAsia="en-US"/>
    </w:rPr>
  </w:style>
  <w:style w:type="character" w:customStyle="1" w:styleId="affa">
    <w:name w:val="Тема примечания Знак"/>
    <w:basedOn w:val="aff7"/>
    <w:link w:val="aff9"/>
    <w:uiPriority w:val="99"/>
    <w:semiHidden/>
    <w:rsid w:val="006A3073"/>
    <w:rPr>
      <w:rFonts w:ascii="Times New Roman" w:eastAsia="Times New Roman" w:hAnsi="Times New Roman" w:cs="Times New Roman"/>
      <w:b/>
      <w:bCs/>
      <w:sz w:val="20"/>
      <w:szCs w:val="20"/>
      <w:lang w:eastAsia="ru-RU"/>
    </w:rPr>
  </w:style>
  <w:style w:type="paragraph" w:customStyle="1" w:styleId="Style2">
    <w:name w:val="Style2"/>
    <w:basedOn w:val="a1"/>
    <w:rsid w:val="005D4A43"/>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afe">
    <w:name w:val="Без интервала Знак"/>
    <w:basedOn w:val="a2"/>
    <w:link w:val="afd"/>
    <w:uiPriority w:val="1"/>
    <w:rsid w:val="005D4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9034">
      <w:bodyDiv w:val="1"/>
      <w:marLeft w:val="0"/>
      <w:marRight w:val="0"/>
      <w:marTop w:val="0"/>
      <w:marBottom w:val="0"/>
      <w:divBdr>
        <w:top w:val="none" w:sz="0" w:space="0" w:color="auto"/>
        <w:left w:val="none" w:sz="0" w:space="0" w:color="auto"/>
        <w:bottom w:val="none" w:sz="0" w:space="0" w:color="auto"/>
        <w:right w:val="none" w:sz="0" w:space="0" w:color="auto"/>
      </w:divBdr>
    </w:div>
    <w:div w:id="35398209">
      <w:bodyDiv w:val="1"/>
      <w:marLeft w:val="0"/>
      <w:marRight w:val="0"/>
      <w:marTop w:val="0"/>
      <w:marBottom w:val="0"/>
      <w:divBdr>
        <w:top w:val="none" w:sz="0" w:space="0" w:color="auto"/>
        <w:left w:val="none" w:sz="0" w:space="0" w:color="auto"/>
        <w:bottom w:val="none" w:sz="0" w:space="0" w:color="auto"/>
        <w:right w:val="none" w:sz="0" w:space="0" w:color="auto"/>
      </w:divBdr>
      <w:divsChild>
        <w:div w:id="392696834">
          <w:marLeft w:val="0"/>
          <w:marRight w:val="0"/>
          <w:marTop w:val="0"/>
          <w:marBottom w:val="0"/>
          <w:divBdr>
            <w:top w:val="none" w:sz="0" w:space="0" w:color="auto"/>
            <w:left w:val="none" w:sz="0" w:space="0" w:color="auto"/>
            <w:bottom w:val="none" w:sz="0" w:space="0" w:color="auto"/>
            <w:right w:val="none" w:sz="0" w:space="0" w:color="auto"/>
          </w:divBdr>
        </w:div>
        <w:div w:id="782655581">
          <w:marLeft w:val="0"/>
          <w:marRight w:val="0"/>
          <w:marTop w:val="0"/>
          <w:marBottom w:val="0"/>
          <w:divBdr>
            <w:top w:val="none" w:sz="0" w:space="0" w:color="auto"/>
            <w:left w:val="none" w:sz="0" w:space="0" w:color="auto"/>
            <w:bottom w:val="none" w:sz="0" w:space="0" w:color="auto"/>
            <w:right w:val="none" w:sz="0" w:space="0" w:color="auto"/>
          </w:divBdr>
        </w:div>
        <w:div w:id="1642035283">
          <w:marLeft w:val="0"/>
          <w:marRight w:val="0"/>
          <w:marTop w:val="0"/>
          <w:marBottom w:val="0"/>
          <w:divBdr>
            <w:top w:val="none" w:sz="0" w:space="0" w:color="auto"/>
            <w:left w:val="none" w:sz="0" w:space="0" w:color="auto"/>
            <w:bottom w:val="none" w:sz="0" w:space="0" w:color="auto"/>
            <w:right w:val="none" w:sz="0" w:space="0" w:color="auto"/>
          </w:divBdr>
        </w:div>
        <w:div w:id="591159239">
          <w:marLeft w:val="0"/>
          <w:marRight w:val="0"/>
          <w:marTop w:val="0"/>
          <w:marBottom w:val="0"/>
          <w:divBdr>
            <w:top w:val="none" w:sz="0" w:space="0" w:color="auto"/>
            <w:left w:val="none" w:sz="0" w:space="0" w:color="auto"/>
            <w:bottom w:val="none" w:sz="0" w:space="0" w:color="auto"/>
            <w:right w:val="none" w:sz="0" w:space="0" w:color="auto"/>
          </w:divBdr>
        </w:div>
      </w:divsChild>
    </w:div>
    <w:div w:id="55325236">
      <w:bodyDiv w:val="1"/>
      <w:marLeft w:val="0"/>
      <w:marRight w:val="0"/>
      <w:marTop w:val="0"/>
      <w:marBottom w:val="0"/>
      <w:divBdr>
        <w:top w:val="none" w:sz="0" w:space="0" w:color="auto"/>
        <w:left w:val="none" w:sz="0" w:space="0" w:color="auto"/>
        <w:bottom w:val="none" w:sz="0" w:space="0" w:color="auto"/>
        <w:right w:val="none" w:sz="0" w:space="0" w:color="auto"/>
      </w:divBdr>
      <w:divsChild>
        <w:div w:id="1010065863">
          <w:marLeft w:val="0"/>
          <w:marRight w:val="0"/>
          <w:marTop w:val="0"/>
          <w:marBottom w:val="0"/>
          <w:divBdr>
            <w:top w:val="none" w:sz="0" w:space="0" w:color="auto"/>
            <w:left w:val="none" w:sz="0" w:space="0" w:color="auto"/>
            <w:bottom w:val="none" w:sz="0" w:space="0" w:color="auto"/>
            <w:right w:val="none" w:sz="0" w:space="0" w:color="auto"/>
          </w:divBdr>
        </w:div>
        <w:div w:id="906646144">
          <w:marLeft w:val="0"/>
          <w:marRight w:val="0"/>
          <w:marTop w:val="0"/>
          <w:marBottom w:val="0"/>
          <w:divBdr>
            <w:top w:val="none" w:sz="0" w:space="0" w:color="auto"/>
            <w:left w:val="none" w:sz="0" w:space="0" w:color="auto"/>
            <w:bottom w:val="none" w:sz="0" w:space="0" w:color="auto"/>
            <w:right w:val="none" w:sz="0" w:space="0" w:color="auto"/>
          </w:divBdr>
        </w:div>
        <w:div w:id="373963256">
          <w:marLeft w:val="0"/>
          <w:marRight w:val="0"/>
          <w:marTop w:val="0"/>
          <w:marBottom w:val="0"/>
          <w:divBdr>
            <w:top w:val="none" w:sz="0" w:space="0" w:color="auto"/>
            <w:left w:val="none" w:sz="0" w:space="0" w:color="auto"/>
            <w:bottom w:val="none" w:sz="0" w:space="0" w:color="auto"/>
            <w:right w:val="none" w:sz="0" w:space="0" w:color="auto"/>
          </w:divBdr>
        </w:div>
      </w:divsChild>
    </w:div>
    <w:div w:id="172457865">
      <w:bodyDiv w:val="1"/>
      <w:marLeft w:val="0"/>
      <w:marRight w:val="0"/>
      <w:marTop w:val="0"/>
      <w:marBottom w:val="0"/>
      <w:divBdr>
        <w:top w:val="none" w:sz="0" w:space="0" w:color="auto"/>
        <w:left w:val="none" w:sz="0" w:space="0" w:color="auto"/>
        <w:bottom w:val="none" w:sz="0" w:space="0" w:color="auto"/>
        <w:right w:val="none" w:sz="0" w:space="0" w:color="auto"/>
      </w:divBdr>
      <w:divsChild>
        <w:div w:id="820315117">
          <w:marLeft w:val="0"/>
          <w:marRight w:val="0"/>
          <w:marTop w:val="0"/>
          <w:marBottom w:val="111"/>
          <w:divBdr>
            <w:top w:val="none" w:sz="0" w:space="0" w:color="auto"/>
            <w:left w:val="none" w:sz="0" w:space="0" w:color="auto"/>
            <w:bottom w:val="none" w:sz="0" w:space="0" w:color="auto"/>
            <w:right w:val="none" w:sz="0" w:space="0" w:color="auto"/>
          </w:divBdr>
        </w:div>
        <w:div w:id="2084716306">
          <w:marLeft w:val="0"/>
          <w:marRight w:val="0"/>
          <w:marTop w:val="0"/>
          <w:marBottom w:val="111"/>
          <w:divBdr>
            <w:top w:val="none" w:sz="0" w:space="0" w:color="auto"/>
            <w:left w:val="none" w:sz="0" w:space="0" w:color="auto"/>
            <w:bottom w:val="none" w:sz="0" w:space="0" w:color="auto"/>
            <w:right w:val="none" w:sz="0" w:space="0" w:color="auto"/>
          </w:divBdr>
        </w:div>
        <w:div w:id="434980525">
          <w:marLeft w:val="0"/>
          <w:marRight w:val="0"/>
          <w:marTop w:val="0"/>
          <w:marBottom w:val="111"/>
          <w:divBdr>
            <w:top w:val="none" w:sz="0" w:space="0" w:color="auto"/>
            <w:left w:val="none" w:sz="0" w:space="0" w:color="auto"/>
            <w:bottom w:val="none" w:sz="0" w:space="0" w:color="auto"/>
            <w:right w:val="none" w:sz="0" w:space="0" w:color="auto"/>
          </w:divBdr>
        </w:div>
      </w:divsChild>
    </w:div>
    <w:div w:id="234240783">
      <w:bodyDiv w:val="1"/>
      <w:marLeft w:val="0"/>
      <w:marRight w:val="0"/>
      <w:marTop w:val="0"/>
      <w:marBottom w:val="0"/>
      <w:divBdr>
        <w:top w:val="none" w:sz="0" w:space="0" w:color="auto"/>
        <w:left w:val="none" w:sz="0" w:space="0" w:color="auto"/>
        <w:bottom w:val="none" w:sz="0" w:space="0" w:color="auto"/>
        <w:right w:val="none" w:sz="0" w:space="0" w:color="auto"/>
      </w:divBdr>
      <w:divsChild>
        <w:div w:id="778261036">
          <w:marLeft w:val="0"/>
          <w:marRight w:val="0"/>
          <w:marTop w:val="0"/>
          <w:marBottom w:val="0"/>
          <w:divBdr>
            <w:top w:val="none" w:sz="0" w:space="0" w:color="auto"/>
            <w:left w:val="none" w:sz="0" w:space="0" w:color="auto"/>
            <w:bottom w:val="none" w:sz="0" w:space="0" w:color="auto"/>
            <w:right w:val="none" w:sz="0" w:space="0" w:color="auto"/>
          </w:divBdr>
        </w:div>
        <w:div w:id="12804913">
          <w:marLeft w:val="0"/>
          <w:marRight w:val="0"/>
          <w:marTop w:val="0"/>
          <w:marBottom w:val="0"/>
          <w:divBdr>
            <w:top w:val="none" w:sz="0" w:space="0" w:color="auto"/>
            <w:left w:val="none" w:sz="0" w:space="0" w:color="auto"/>
            <w:bottom w:val="none" w:sz="0" w:space="0" w:color="auto"/>
            <w:right w:val="none" w:sz="0" w:space="0" w:color="auto"/>
          </w:divBdr>
        </w:div>
        <w:div w:id="78866696">
          <w:marLeft w:val="0"/>
          <w:marRight w:val="0"/>
          <w:marTop w:val="0"/>
          <w:marBottom w:val="0"/>
          <w:divBdr>
            <w:top w:val="none" w:sz="0" w:space="0" w:color="auto"/>
            <w:left w:val="none" w:sz="0" w:space="0" w:color="auto"/>
            <w:bottom w:val="none" w:sz="0" w:space="0" w:color="auto"/>
            <w:right w:val="none" w:sz="0" w:space="0" w:color="auto"/>
          </w:divBdr>
        </w:div>
      </w:divsChild>
    </w:div>
    <w:div w:id="357705750">
      <w:bodyDiv w:val="1"/>
      <w:marLeft w:val="0"/>
      <w:marRight w:val="0"/>
      <w:marTop w:val="0"/>
      <w:marBottom w:val="0"/>
      <w:divBdr>
        <w:top w:val="none" w:sz="0" w:space="0" w:color="auto"/>
        <w:left w:val="none" w:sz="0" w:space="0" w:color="auto"/>
        <w:bottom w:val="none" w:sz="0" w:space="0" w:color="auto"/>
        <w:right w:val="none" w:sz="0" w:space="0" w:color="auto"/>
      </w:divBdr>
    </w:div>
    <w:div w:id="374308226">
      <w:bodyDiv w:val="1"/>
      <w:marLeft w:val="0"/>
      <w:marRight w:val="0"/>
      <w:marTop w:val="0"/>
      <w:marBottom w:val="0"/>
      <w:divBdr>
        <w:top w:val="none" w:sz="0" w:space="0" w:color="auto"/>
        <w:left w:val="none" w:sz="0" w:space="0" w:color="auto"/>
        <w:bottom w:val="none" w:sz="0" w:space="0" w:color="auto"/>
        <w:right w:val="none" w:sz="0" w:space="0" w:color="auto"/>
      </w:divBdr>
    </w:div>
    <w:div w:id="405106143">
      <w:bodyDiv w:val="1"/>
      <w:marLeft w:val="0"/>
      <w:marRight w:val="0"/>
      <w:marTop w:val="0"/>
      <w:marBottom w:val="0"/>
      <w:divBdr>
        <w:top w:val="none" w:sz="0" w:space="0" w:color="auto"/>
        <w:left w:val="none" w:sz="0" w:space="0" w:color="auto"/>
        <w:bottom w:val="none" w:sz="0" w:space="0" w:color="auto"/>
        <w:right w:val="none" w:sz="0" w:space="0" w:color="auto"/>
      </w:divBdr>
      <w:divsChild>
        <w:div w:id="1612321401">
          <w:marLeft w:val="547"/>
          <w:marRight w:val="0"/>
          <w:marTop w:val="115"/>
          <w:marBottom w:val="120"/>
          <w:divBdr>
            <w:top w:val="none" w:sz="0" w:space="0" w:color="auto"/>
            <w:left w:val="none" w:sz="0" w:space="0" w:color="auto"/>
            <w:bottom w:val="none" w:sz="0" w:space="0" w:color="auto"/>
            <w:right w:val="none" w:sz="0" w:space="0" w:color="auto"/>
          </w:divBdr>
        </w:div>
        <w:div w:id="631711225">
          <w:marLeft w:val="1109"/>
          <w:marRight w:val="0"/>
          <w:marTop w:val="115"/>
          <w:marBottom w:val="120"/>
          <w:divBdr>
            <w:top w:val="none" w:sz="0" w:space="0" w:color="auto"/>
            <w:left w:val="none" w:sz="0" w:space="0" w:color="auto"/>
            <w:bottom w:val="none" w:sz="0" w:space="0" w:color="auto"/>
            <w:right w:val="none" w:sz="0" w:space="0" w:color="auto"/>
          </w:divBdr>
        </w:div>
        <w:div w:id="1188446017">
          <w:marLeft w:val="1670"/>
          <w:marRight w:val="0"/>
          <w:marTop w:val="115"/>
          <w:marBottom w:val="120"/>
          <w:divBdr>
            <w:top w:val="none" w:sz="0" w:space="0" w:color="auto"/>
            <w:left w:val="none" w:sz="0" w:space="0" w:color="auto"/>
            <w:bottom w:val="none" w:sz="0" w:space="0" w:color="auto"/>
            <w:right w:val="none" w:sz="0" w:space="0" w:color="auto"/>
          </w:divBdr>
        </w:div>
        <w:div w:id="1041056500">
          <w:marLeft w:val="2246"/>
          <w:marRight w:val="0"/>
          <w:marTop w:val="115"/>
          <w:marBottom w:val="120"/>
          <w:divBdr>
            <w:top w:val="none" w:sz="0" w:space="0" w:color="auto"/>
            <w:left w:val="none" w:sz="0" w:space="0" w:color="auto"/>
            <w:bottom w:val="none" w:sz="0" w:space="0" w:color="auto"/>
            <w:right w:val="none" w:sz="0" w:space="0" w:color="auto"/>
          </w:divBdr>
        </w:div>
      </w:divsChild>
    </w:div>
    <w:div w:id="472647263">
      <w:bodyDiv w:val="1"/>
      <w:marLeft w:val="0"/>
      <w:marRight w:val="0"/>
      <w:marTop w:val="0"/>
      <w:marBottom w:val="0"/>
      <w:divBdr>
        <w:top w:val="none" w:sz="0" w:space="0" w:color="auto"/>
        <w:left w:val="none" w:sz="0" w:space="0" w:color="auto"/>
        <w:bottom w:val="none" w:sz="0" w:space="0" w:color="auto"/>
        <w:right w:val="none" w:sz="0" w:space="0" w:color="auto"/>
      </w:divBdr>
    </w:div>
    <w:div w:id="474376132">
      <w:bodyDiv w:val="1"/>
      <w:marLeft w:val="0"/>
      <w:marRight w:val="0"/>
      <w:marTop w:val="0"/>
      <w:marBottom w:val="0"/>
      <w:divBdr>
        <w:top w:val="none" w:sz="0" w:space="0" w:color="auto"/>
        <w:left w:val="none" w:sz="0" w:space="0" w:color="auto"/>
        <w:bottom w:val="none" w:sz="0" w:space="0" w:color="auto"/>
        <w:right w:val="none" w:sz="0" w:space="0" w:color="auto"/>
      </w:divBdr>
    </w:div>
    <w:div w:id="760832405">
      <w:bodyDiv w:val="1"/>
      <w:marLeft w:val="0"/>
      <w:marRight w:val="0"/>
      <w:marTop w:val="0"/>
      <w:marBottom w:val="0"/>
      <w:divBdr>
        <w:top w:val="none" w:sz="0" w:space="0" w:color="auto"/>
        <w:left w:val="none" w:sz="0" w:space="0" w:color="auto"/>
        <w:bottom w:val="none" w:sz="0" w:space="0" w:color="auto"/>
        <w:right w:val="none" w:sz="0" w:space="0" w:color="auto"/>
      </w:divBdr>
      <w:divsChild>
        <w:div w:id="254097057">
          <w:marLeft w:val="0"/>
          <w:marRight w:val="0"/>
          <w:marTop w:val="0"/>
          <w:marBottom w:val="0"/>
          <w:divBdr>
            <w:top w:val="none" w:sz="0" w:space="0" w:color="auto"/>
            <w:left w:val="none" w:sz="0" w:space="0" w:color="auto"/>
            <w:bottom w:val="none" w:sz="0" w:space="0" w:color="auto"/>
            <w:right w:val="none" w:sz="0" w:space="0" w:color="auto"/>
          </w:divBdr>
        </w:div>
        <w:div w:id="1150753368">
          <w:marLeft w:val="0"/>
          <w:marRight w:val="0"/>
          <w:marTop w:val="0"/>
          <w:marBottom w:val="0"/>
          <w:divBdr>
            <w:top w:val="none" w:sz="0" w:space="0" w:color="auto"/>
            <w:left w:val="none" w:sz="0" w:space="0" w:color="auto"/>
            <w:bottom w:val="none" w:sz="0" w:space="0" w:color="auto"/>
            <w:right w:val="none" w:sz="0" w:space="0" w:color="auto"/>
          </w:divBdr>
        </w:div>
      </w:divsChild>
    </w:div>
    <w:div w:id="928078665">
      <w:bodyDiv w:val="1"/>
      <w:marLeft w:val="0"/>
      <w:marRight w:val="0"/>
      <w:marTop w:val="0"/>
      <w:marBottom w:val="0"/>
      <w:divBdr>
        <w:top w:val="none" w:sz="0" w:space="0" w:color="auto"/>
        <w:left w:val="none" w:sz="0" w:space="0" w:color="auto"/>
        <w:bottom w:val="none" w:sz="0" w:space="0" w:color="auto"/>
        <w:right w:val="none" w:sz="0" w:space="0" w:color="auto"/>
      </w:divBdr>
      <w:divsChild>
        <w:div w:id="65761989">
          <w:marLeft w:val="1670"/>
          <w:marRight w:val="0"/>
          <w:marTop w:val="115"/>
          <w:marBottom w:val="0"/>
          <w:divBdr>
            <w:top w:val="none" w:sz="0" w:space="0" w:color="auto"/>
            <w:left w:val="none" w:sz="0" w:space="0" w:color="auto"/>
            <w:bottom w:val="none" w:sz="0" w:space="0" w:color="auto"/>
            <w:right w:val="none" w:sz="0" w:space="0" w:color="auto"/>
          </w:divBdr>
        </w:div>
        <w:div w:id="1994406444">
          <w:marLeft w:val="1670"/>
          <w:marRight w:val="0"/>
          <w:marTop w:val="115"/>
          <w:marBottom w:val="0"/>
          <w:divBdr>
            <w:top w:val="none" w:sz="0" w:space="0" w:color="auto"/>
            <w:left w:val="none" w:sz="0" w:space="0" w:color="auto"/>
            <w:bottom w:val="none" w:sz="0" w:space="0" w:color="auto"/>
            <w:right w:val="none" w:sz="0" w:space="0" w:color="auto"/>
          </w:divBdr>
        </w:div>
        <w:div w:id="853541221">
          <w:marLeft w:val="1670"/>
          <w:marRight w:val="0"/>
          <w:marTop w:val="115"/>
          <w:marBottom w:val="0"/>
          <w:divBdr>
            <w:top w:val="none" w:sz="0" w:space="0" w:color="auto"/>
            <w:left w:val="none" w:sz="0" w:space="0" w:color="auto"/>
            <w:bottom w:val="none" w:sz="0" w:space="0" w:color="auto"/>
            <w:right w:val="none" w:sz="0" w:space="0" w:color="auto"/>
          </w:divBdr>
        </w:div>
        <w:div w:id="786313875">
          <w:marLeft w:val="1670"/>
          <w:marRight w:val="0"/>
          <w:marTop w:val="115"/>
          <w:marBottom w:val="0"/>
          <w:divBdr>
            <w:top w:val="none" w:sz="0" w:space="0" w:color="auto"/>
            <w:left w:val="none" w:sz="0" w:space="0" w:color="auto"/>
            <w:bottom w:val="none" w:sz="0" w:space="0" w:color="auto"/>
            <w:right w:val="none" w:sz="0" w:space="0" w:color="auto"/>
          </w:divBdr>
        </w:div>
      </w:divsChild>
    </w:div>
    <w:div w:id="1072585109">
      <w:bodyDiv w:val="1"/>
      <w:marLeft w:val="0"/>
      <w:marRight w:val="0"/>
      <w:marTop w:val="0"/>
      <w:marBottom w:val="0"/>
      <w:divBdr>
        <w:top w:val="none" w:sz="0" w:space="0" w:color="auto"/>
        <w:left w:val="none" w:sz="0" w:space="0" w:color="auto"/>
        <w:bottom w:val="none" w:sz="0" w:space="0" w:color="auto"/>
        <w:right w:val="none" w:sz="0" w:space="0" w:color="auto"/>
      </w:divBdr>
      <w:divsChild>
        <w:div w:id="69354571">
          <w:marLeft w:val="0"/>
          <w:marRight w:val="0"/>
          <w:marTop w:val="0"/>
          <w:marBottom w:val="0"/>
          <w:divBdr>
            <w:top w:val="none" w:sz="0" w:space="0" w:color="auto"/>
            <w:left w:val="none" w:sz="0" w:space="0" w:color="auto"/>
            <w:bottom w:val="none" w:sz="0" w:space="0" w:color="auto"/>
            <w:right w:val="none" w:sz="0" w:space="0" w:color="auto"/>
          </w:divBdr>
        </w:div>
        <w:div w:id="35127398">
          <w:marLeft w:val="0"/>
          <w:marRight w:val="0"/>
          <w:marTop w:val="0"/>
          <w:marBottom w:val="0"/>
          <w:divBdr>
            <w:top w:val="none" w:sz="0" w:space="0" w:color="auto"/>
            <w:left w:val="none" w:sz="0" w:space="0" w:color="auto"/>
            <w:bottom w:val="none" w:sz="0" w:space="0" w:color="auto"/>
            <w:right w:val="none" w:sz="0" w:space="0" w:color="auto"/>
          </w:divBdr>
        </w:div>
        <w:div w:id="1083910904">
          <w:marLeft w:val="0"/>
          <w:marRight w:val="0"/>
          <w:marTop w:val="0"/>
          <w:marBottom w:val="0"/>
          <w:divBdr>
            <w:top w:val="none" w:sz="0" w:space="0" w:color="auto"/>
            <w:left w:val="none" w:sz="0" w:space="0" w:color="auto"/>
            <w:bottom w:val="none" w:sz="0" w:space="0" w:color="auto"/>
            <w:right w:val="none" w:sz="0" w:space="0" w:color="auto"/>
          </w:divBdr>
        </w:div>
        <w:div w:id="329602098">
          <w:marLeft w:val="0"/>
          <w:marRight w:val="0"/>
          <w:marTop w:val="0"/>
          <w:marBottom w:val="0"/>
          <w:divBdr>
            <w:top w:val="none" w:sz="0" w:space="0" w:color="auto"/>
            <w:left w:val="none" w:sz="0" w:space="0" w:color="auto"/>
            <w:bottom w:val="none" w:sz="0" w:space="0" w:color="auto"/>
            <w:right w:val="none" w:sz="0" w:space="0" w:color="auto"/>
          </w:divBdr>
        </w:div>
        <w:div w:id="547375857">
          <w:marLeft w:val="0"/>
          <w:marRight w:val="0"/>
          <w:marTop w:val="0"/>
          <w:marBottom w:val="0"/>
          <w:divBdr>
            <w:top w:val="none" w:sz="0" w:space="0" w:color="auto"/>
            <w:left w:val="none" w:sz="0" w:space="0" w:color="auto"/>
            <w:bottom w:val="none" w:sz="0" w:space="0" w:color="auto"/>
            <w:right w:val="none" w:sz="0" w:space="0" w:color="auto"/>
          </w:divBdr>
        </w:div>
        <w:div w:id="664865098">
          <w:marLeft w:val="0"/>
          <w:marRight w:val="0"/>
          <w:marTop w:val="0"/>
          <w:marBottom w:val="0"/>
          <w:divBdr>
            <w:top w:val="none" w:sz="0" w:space="0" w:color="auto"/>
            <w:left w:val="none" w:sz="0" w:space="0" w:color="auto"/>
            <w:bottom w:val="none" w:sz="0" w:space="0" w:color="auto"/>
            <w:right w:val="none" w:sz="0" w:space="0" w:color="auto"/>
          </w:divBdr>
        </w:div>
        <w:div w:id="1419407239">
          <w:marLeft w:val="0"/>
          <w:marRight w:val="0"/>
          <w:marTop w:val="0"/>
          <w:marBottom w:val="0"/>
          <w:divBdr>
            <w:top w:val="none" w:sz="0" w:space="0" w:color="auto"/>
            <w:left w:val="none" w:sz="0" w:space="0" w:color="auto"/>
            <w:bottom w:val="none" w:sz="0" w:space="0" w:color="auto"/>
            <w:right w:val="none" w:sz="0" w:space="0" w:color="auto"/>
          </w:divBdr>
        </w:div>
        <w:div w:id="1115637322">
          <w:marLeft w:val="0"/>
          <w:marRight w:val="0"/>
          <w:marTop w:val="0"/>
          <w:marBottom w:val="0"/>
          <w:divBdr>
            <w:top w:val="none" w:sz="0" w:space="0" w:color="auto"/>
            <w:left w:val="none" w:sz="0" w:space="0" w:color="auto"/>
            <w:bottom w:val="none" w:sz="0" w:space="0" w:color="auto"/>
            <w:right w:val="none" w:sz="0" w:space="0" w:color="auto"/>
          </w:divBdr>
        </w:div>
        <w:div w:id="771516868">
          <w:marLeft w:val="0"/>
          <w:marRight w:val="0"/>
          <w:marTop w:val="0"/>
          <w:marBottom w:val="0"/>
          <w:divBdr>
            <w:top w:val="none" w:sz="0" w:space="0" w:color="auto"/>
            <w:left w:val="none" w:sz="0" w:space="0" w:color="auto"/>
            <w:bottom w:val="none" w:sz="0" w:space="0" w:color="auto"/>
            <w:right w:val="none" w:sz="0" w:space="0" w:color="auto"/>
          </w:divBdr>
        </w:div>
        <w:div w:id="1055590303">
          <w:marLeft w:val="0"/>
          <w:marRight w:val="0"/>
          <w:marTop w:val="0"/>
          <w:marBottom w:val="0"/>
          <w:divBdr>
            <w:top w:val="none" w:sz="0" w:space="0" w:color="auto"/>
            <w:left w:val="none" w:sz="0" w:space="0" w:color="auto"/>
            <w:bottom w:val="none" w:sz="0" w:space="0" w:color="auto"/>
            <w:right w:val="none" w:sz="0" w:space="0" w:color="auto"/>
          </w:divBdr>
        </w:div>
        <w:div w:id="1526408611">
          <w:marLeft w:val="0"/>
          <w:marRight w:val="0"/>
          <w:marTop w:val="0"/>
          <w:marBottom w:val="0"/>
          <w:divBdr>
            <w:top w:val="none" w:sz="0" w:space="0" w:color="auto"/>
            <w:left w:val="none" w:sz="0" w:space="0" w:color="auto"/>
            <w:bottom w:val="none" w:sz="0" w:space="0" w:color="auto"/>
            <w:right w:val="none" w:sz="0" w:space="0" w:color="auto"/>
          </w:divBdr>
        </w:div>
        <w:div w:id="1774669740">
          <w:marLeft w:val="0"/>
          <w:marRight w:val="0"/>
          <w:marTop w:val="0"/>
          <w:marBottom w:val="0"/>
          <w:divBdr>
            <w:top w:val="none" w:sz="0" w:space="0" w:color="auto"/>
            <w:left w:val="none" w:sz="0" w:space="0" w:color="auto"/>
            <w:bottom w:val="none" w:sz="0" w:space="0" w:color="auto"/>
            <w:right w:val="none" w:sz="0" w:space="0" w:color="auto"/>
          </w:divBdr>
        </w:div>
        <w:div w:id="698508569">
          <w:marLeft w:val="0"/>
          <w:marRight w:val="0"/>
          <w:marTop w:val="0"/>
          <w:marBottom w:val="0"/>
          <w:divBdr>
            <w:top w:val="none" w:sz="0" w:space="0" w:color="auto"/>
            <w:left w:val="none" w:sz="0" w:space="0" w:color="auto"/>
            <w:bottom w:val="none" w:sz="0" w:space="0" w:color="auto"/>
            <w:right w:val="none" w:sz="0" w:space="0" w:color="auto"/>
          </w:divBdr>
        </w:div>
        <w:div w:id="205219393">
          <w:marLeft w:val="0"/>
          <w:marRight w:val="0"/>
          <w:marTop w:val="0"/>
          <w:marBottom w:val="0"/>
          <w:divBdr>
            <w:top w:val="none" w:sz="0" w:space="0" w:color="auto"/>
            <w:left w:val="none" w:sz="0" w:space="0" w:color="auto"/>
            <w:bottom w:val="none" w:sz="0" w:space="0" w:color="auto"/>
            <w:right w:val="none" w:sz="0" w:space="0" w:color="auto"/>
          </w:divBdr>
        </w:div>
        <w:div w:id="1827744323">
          <w:marLeft w:val="0"/>
          <w:marRight w:val="0"/>
          <w:marTop w:val="0"/>
          <w:marBottom w:val="0"/>
          <w:divBdr>
            <w:top w:val="none" w:sz="0" w:space="0" w:color="auto"/>
            <w:left w:val="none" w:sz="0" w:space="0" w:color="auto"/>
            <w:bottom w:val="none" w:sz="0" w:space="0" w:color="auto"/>
            <w:right w:val="none" w:sz="0" w:space="0" w:color="auto"/>
          </w:divBdr>
        </w:div>
        <w:div w:id="1669673430">
          <w:marLeft w:val="0"/>
          <w:marRight w:val="0"/>
          <w:marTop w:val="0"/>
          <w:marBottom w:val="0"/>
          <w:divBdr>
            <w:top w:val="none" w:sz="0" w:space="0" w:color="auto"/>
            <w:left w:val="none" w:sz="0" w:space="0" w:color="auto"/>
            <w:bottom w:val="none" w:sz="0" w:space="0" w:color="auto"/>
            <w:right w:val="none" w:sz="0" w:space="0" w:color="auto"/>
          </w:divBdr>
        </w:div>
        <w:div w:id="1945843857">
          <w:marLeft w:val="0"/>
          <w:marRight w:val="0"/>
          <w:marTop w:val="0"/>
          <w:marBottom w:val="0"/>
          <w:divBdr>
            <w:top w:val="none" w:sz="0" w:space="0" w:color="auto"/>
            <w:left w:val="none" w:sz="0" w:space="0" w:color="auto"/>
            <w:bottom w:val="none" w:sz="0" w:space="0" w:color="auto"/>
            <w:right w:val="none" w:sz="0" w:space="0" w:color="auto"/>
          </w:divBdr>
        </w:div>
        <w:div w:id="808665238">
          <w:marLeft w:val="0"/>
          <w:marRight w:val="0"/>
          <w:marTop w:val="0"/>
          <w:marBottom w:val="0"/>
          <w:divBdr>
            <w:top w:val="none" w:sz="0" w:space="0" w:color="auto"/>
            <w:left w:val="none" w:sz="0" w:space="0" w:color="auto"/>
            <w:bottom w:val="none" w:sz="0" w:space="0" w:color="auto"/>
            <w:right w:val="none" w:sz="0" w:space="0" w:color="auto"/>
          </w:divBdr>
        </w:div>
        <w:div w:id="1301690677">
          <w:marLeft w:val="0"/>
          <w:marRight w:val="0"/>
          <w:marTop w:val="0"/>
          <w:marBottom w:val="0"/>
          <w:divBdr>
            <w:top w:val="none" w:sz="0" w:space="0" w:color="auto"/>
            <w:left w:val="none" w:sz="0" w:space="0" w:color="auto"/>
            <w:bottom w:val="none" w:sz="0" w:space="0" w:color="auto"/>
            <w:right w:val="none" w:sz="0" w:space="0" w:color="auto"/>
          </w:divBdr>
        </w:div>
        <w:div w:id="964232687">
          <w:marLeft w:val="0"/>
          <w:marRight w:val="0"/>
          <w:marTop w:val="0"/>
          <w:marBottom w:val="0"/>
          <w:divBdr>
            <w:top w:val="none" w:sz="0" w:space="0" w:color="auto"/>
            <w:left w:val="none" w:sz="0" w:space="0" w:color="auto"/>
            <w:bottom w:val="none" w:sz="0" w:space="0" w:color="auto"/>
            <w:right w:val="none" w:sz="0" w:space="0" w:color="auto"/>
          </w:divBdr>
        </w:div>
        <w:div w:id="594635399">
          <w:marLeft w:val="0"/>
          <w:marRight w:val="0"/>
          <w:marTop w:val="0"/>
          <w:marBottom w:val="0"/>
          <w:divBdr>
            <w:top w:val="none" w:sz="0" w:space="0" w:color="auto"/>
            <w:left w:val="none" w:sz="0" w:space="0" w:color="auto"/>
            <w:bottom w:val="none" w:sz="0" w:space="0" w:color="auto"/>
            <w:right w:val="none" w:sz="0" w:space="0" w:color="auto"/>
          </w:divBdr>
        </w:div>
        <w:div w:id="1770463831">
          <w:marLeft w:val="0"/>
          <w:marRight w:val="0"/>
          <w:marTop w:val="0"/>
          <w:marBottom w:val="0"/>
          <w:divBdr>
            <w:top w:val="none" w:sz="0" w:space="0" w:color="auto"/>
            <w:left w:val="none" w:sz="0" w:space="0" w:color="auto"/>
            <w:bottom w:val="none" w:sz="0" w:space="0" w:color="auto"/>
            <w:right w:val="none" w:sz="0" w:space="0" w:color="auto"/>
          </w:divBdr>
        </w:div>
        <w:div w:id="125509360">
          <w:marLeft w:val="0"/>
          <w:marRight w:val="0"/>
          <w:marTop w:val="0"/>
          <w:marBottom w:val="0"/>
          <w:divBdr>
            <w:top w:val="none" w:sz="0" w:space="0" w:color="auto"/>
            <w:left w:val="none" w:sz="0" w:space="0" w:color="auto"/>
            <w:bottom w:val="none" w:sz="0" w:space="0" w:color="auto"/>
            <w:right w:val="none" w:sz="0" w:space="0" w:color="auto"/>
          </w:divBdr>
        </w:div>
        <w:div w:id="1618487009">
          <w:marLeft w:val="0"/>
          <w:marRight w:val="0"/>
          <w:marTop w:val="0"/>
          <w:marBottom w:val="0"/>
          <w:divBdr>
            <w:top w:val="none" w:sz="0" w:space="0" w:color="auto"/>
            <w:left w:val="none" w:sz="0" w:space="0" w:color="auto"/>
            <w:bottom w:val="none" w:sz="0" w:space="0" w:color="auto"/>
            <w:right w:val="none" w:sz="0" w:space="0" w:color="auto"/>
          </w:divBdr>
        </w:div>
        <w:div w:id="630088770">
          <w:marLeft w:val="0"/>
          <w:marRight w:val="0"/>
          <w:marTop w:val="0"/>
          <w:marBottom w:val="0"/>
          <w:divBdr>
            <w:top w:val="none" w:sz="0" w:space="0" w:color="auto"/>
            <w:left w:val="none" w:sz="0" w:space="0" w:color="auto"/>
            <w:bottom w:val="none" w:sz="0" w:space="0" w:color="auto"/>
            <w:right w:val="none" w:sz="0" w:space="0" w:color="auto"/>
          </w:divBdr>
        </w:div>
        <w:div w:id="1329093283">
          <w:marLeft w:val="0"/>
          <w:marRight w:val="0"/>
          <w:marTop w:val="0"/>
          <w:marBottom w:val="0"/>
          <w:divBdr>
            <w:top w:val="none" w:sz="0" w:space="0" w:color="auto"/>
            <w:left w:val="none" w:sz="0" w:space="0" w:color="auto"/>
            <w:bottom w:val="none" w:sz="0" w:space="0" w:color="auto"/>
            <w:right w:val="none" w:sz="0" w:space="0" w:color="auto"/>
          </w:divBdr>
        </w:div>
      </w:divsChild>
    </w:div>
    <w:div w:id="1084256593">
      <w:bodyDiv w:val="1"/>
      <w:marLeft w:val="0"/>
      <w:marRight w:val="0"/>
      <w:marTop w:val="0"/>
      <w:marBottom w:val="0"/>
      <w:divBdr>
        <w:top w:val="none" w:sz="0" w:space="0" w:color="auto"/>
        <w:left w:val="none" w:sz="0" w:space="0" w:color="auto"/>
        <w:bottom w:val="none" w:sz="0" w:space="0" w:color="auto"/>
        <w:right w:val="none" w:sz="0" w:space="0" w:color="auto"/>
      </w:divBdr>
      <w:divsChild>
        <w:div w:id="631516694">
          <w:marLeft w:val="547"/>
          <w:marRight w:val="0"/>
          <w:marTop w:val="96"/>
          <w:marBottom w:val="0"/>
          <w:divBdr>
            <w:top w:val="none" w:sz="0" w:space="0" w:color="auto"/>
            <w:left w:val="none" w:sz="0" w:space="0" w:color="auto"/>
            <w:bottom w:val="none" w:sz="0" w:space="0" w:color="auto"/>
            <w:right w:val="none" w:sz="0" w:space="0" w:color="auto"/>
          </w:divBdr>
        </w:div>
        <w:div w:id="447742175">
          <w:marLeft w:val="1109"/>
          <w:marRight w:val="0"/>
          <w:marTop w:val="96"/>
          <w:marBottom w:val="0"/>
          <w:divBdr>
            <w:top w:val="none" w:sz="0" w:space="0" w:color="auto"/>
            <w:left w:val="none" w:sz="0" w:space="0" w:color="auto"/>
            <w:bottom w:val="none" w:sz="0" w:space="0" w:color="auto"/>
            <w:right w:val="none" w:sz="0" w:space="0" w:color="auto"/>
          </w:divBdr>
        </w:div>
        <w:div w:id="1351450174">
          <w:marLeft w:val="1670"/>
          <w:marRight w:val="0"/>
          <w:marTop w:val="96"/>
          <w:marBottom w:val="0"/>
          <w:divBdr>
            <w:top w:val="none" w:sz="0" w:space="0" w:color="auto"/>
            <w:left w:val="none" w:sz="0" w:space="0" w:color="auto"/>
            <w:bottom w:val="none" w:sz="0" w:space="0" w:color="auto"/>
            <w:right w:val="none" w:sz="0" w:space="0" w:color="auto"/>
          </w:divBdr>
        </w:div>
      </w:divsChild>
    </w:div>
    <w:div w:id="1087926033">
      <w:bodyDiv w:val="1"/>
      <w:marLeft w:val="0"/>
      <w:marRight w:val="0"/>
      <w:marTop w:val="0"/>
      <w:marBottom w:val="0"/>
      <w:divBdr>
        <w:top w:val="none" w:sz="0" w:space="0" w:color="auto"/>
        <w:left w:val="none" w:sz="0" w:space="0" w:color="auto"/>
        <w:bottom w:val="none" w:sz="0" w:space="0" w:color="auto"/>
        <w:right w:val="none" w:sz="0" w:space="0" w:color="auto"/>
      </w:divBdr>
    </w:div>
    <w:div w:id="1113328221">
      <w:bodyDiv w:val="1"/>
      <w:marLeft w:val="0"/>
      <w:marRight w:val="0"/>
      <w:marTop w:val="0"/>
      <w:marBottom w:val="0"/>
      <w:divBdr>
        <w:top w:val="none" w:sz="0" w:space="0" w:color="auto"/>
        <w:left w:val="none" w:sz="0" w:space="0" w:color="auto"/>
        <w:bottom w:val="none" w:sz="0" w:space="0" w:color="auto"/>
        <w:right w:val="none" w:sz="0" w:space="0" w:color="auto"/>
      </w:divBdr>
      <w:divsChild>
        <w:div w:id="1950316796">
          <w:marLeft w:val="0"/>
          <w:marRight w:val="0"/>
          <w:marTop w:val="0"/>
          <w:marBottom w:val="0"/>
          <w:divBdr>
            <w:top w:val="none" w:sz="0" w:space="0" w:color="auto"/>
            <w:left w:val="none" w:sz="0" w:space="0" w:color="auto"/>
            <w:bottom w:val="none" w:sz="0" w:space="0" w:color="auto"/>
            <w:right w:val="none" w:sz="0" w:space="0" w:color="auto"/>
          </w:divBdr>
        </w:div>
        <w:div w:id="97912084">
          <w:marLeft w:val="0"/>
          <w:marRight w:val="0"/>
          <w:marTop w:val="0"/>
          <w:marBottom w:val="0"/>
          <w:divBdr>
            <w:top w:val="none" w:sz="0" w:space="0" w:color="auto"/>
            <w:left w:val="none" w:sz="0" w:space="0" w:color="auto"/>
            <w:bottom w:val="none" w:sz="0" w:space="0" w:color="auto"/>
            <w:right w:val="none" w:sz="0" w:space="0" w:color="auto"/>
          </w:divBdr>
        </w:div>
        <w:div w:id="1593006309">
          <w:marLeft w:val="0"/>
          <w:marRight w:val="0"/>
          <w:marTop w:val="0"/>
          <w:marBottom w:val="0"/>
          <w:divBdr>
            <w:top w:val="none" w:sz="0" w:space="0" w:color="auto"/>
            <w:left w:val="none" w:sz="0" w:space="0" w:color="auto"/>
            <w:bottom w:val="none" w:sz="0" w:space="0" w:color="auto"/>
            <w:right w:val="none" w:sz="0" w:space="0" w:color="auto"/>
          </w:divBdr>
        </w:div>
        <w:div w:id="2125074943">
          <w:marLeft w:val="0"/>
          <w:marRight w:val="0"/>
          <w:marTop w:val="0"/>
          <w:marBottom w:val="0"/>
          <w:divBdr>
            <w:top w:val="none" w:sz="0" w:space="0" w:color="auto"/>
            <w:left w:val="none" w:sz="0" w:space="0" w:color="auto"/>
            <w:bottom w:val="none" w:sz="0" w:space="0" w:color="auto"/>
            <w:right w:val="none" w:sz="0" w:space="0" w:color="auto"/>
          </w:divBdr>
        </w:div>
        <w:div w:id="2043435673">
          <w:marLeft w:val="0"/>
          <w:marRight w:val="0"/>
          <w:marTop w:val="0"/>
          <w:marBottom w:val="0"/>
          <w:divBdr>
            <w:top w:val="none" w:sz="0" w:space="0" w:color="auto"/>
            <w:left w:val="none" w:sz="0" w:space="0" w:color="auto"/>
            <w:bottom w:val="none" w:sz="0" w:space="0" w:color="auto"/>
            <w:right w:val="none" w:sz="0" w:space="0" w:color="auto"/>
          </w:divBdr>
        </w:div>
        <w:div w:id="996421033">
          <w:marLeft w:val="0"/>
          <w:marRight w:val="0"/>
          <w:marTop w:val="0"/>
          <w:marBottom w:val="0"/>
          <w:divBdr>
            <w:top w:val="none" w:sz="0" w:space="0" w:color="auto"/>
            <w:left w:val="none" w:sz="0" w:space="0" w:color="auto"/>
            <w:bottom w:val="none" w:sz="0" w:space="0" w:color="auto"/>
            <w:right w:val="none" w:sz="0" w:space="0" w:color="auto"/>
          </w:divBdr>
        </w:div>
        <w:div w:id="878472795">
          <w:marLeft w:val="0"/>
          <w:marRight w:val="0"/>
          <w:marTop w:val="0"/>
          <w:marBottom w:val="0"/>
          <w:divBdr>
            <w:top w:val="none" w:sz="0" w:space="0" w:color="auto"/>
            <w:left w:val="none" w:sz="0" w:space="0" w:color="auto"/>
            <w:bottom w:val="none" w:sz="0" w:space="0" w:color="auto"/>
            <w:right w:val="none" w:sz="0" w:space="0" w:color="auto"/>
          </w:divBdr>
        </w:div>
      </w:divsChild>
    </w:div>
    <w:div w:id="1127704705">
      <w:bodyDiv w:val="1"/>
      <w:marLeft w:val="0"/>
      <w:marRight w:val="0"/>
      <w:marTop w:val="0"/>
      <w:marBottom w:val="0"/>
      <w:divBdr>
        <w:top w:val="none" w:sz="0" w:space="0" w:color="auto"/>
        <w:left w:val="none" w:sz="0" w:space="0" w:color="auto"/>
        <w:bottom w:val="none" w:sz="0" w:space="0" w:color="auto"/>
        <w:right w:val="none" w:sz="0" w:space="0" w:color="auto"/>
      </w:divBdr>
      <w:divsChild>
        <w:div w:id="470559913">
          <w:marLeft w:val="547"/>
          <w:marRight w:val="0"/>
          <w:marTop w:val="106"/>
          <w:marBottom w:val="0"/>
          <w:divBdr>
            <w:top w:val="none" w:sz="0" w:space="0" w:color="auto"/>
            <w:left w:val="none" w:sz="0" w:space="0" w:color="auto"/>
            <w:bottom w:val="none" w:sz="0" w:space="0" w:color="auto"/>
            <w:right w:val="none" w:sz="0" w:space="0" w:color="auto"/>
          </w:divBdr>
        </w:div>
        <w:div w:id="1542742717">
          <w:marLeft w:val="547"/>
          <w:marRight w:val="0"/>
          <w:marTop w:val="106"/>
          <w:marBottom w:val="0"/>
          <w:divBdr>
            <w:top w:val="none" w:sz="0" w:space="0" w:color="auto"/>
            <w:left w:val="none" w:sz="0" w:space="0" w:color="auto"/>
            <w:bottom w:val="none" w:sz="0" w:space="0" w:color="auto"/>
            <w:right w:val="none" w:sz="0" w:space="0" w:color="auto"/>
          </w:divBdr>
        </w:div>
        <w:div w:id="1235429905">
          <w:marLeft w:val="547"/>
          <w:marRight w:val="0"/>
          <w:marTop w:val="106"/>
          <w:marBottom w:val="0"/>
          <w:divBdr>
            <w:top w:val="none" w:sz="0" w:space="0" w:color="auto"/>
            <w:left w:val="none" w:sz="0" w:space="0" w:color="auto"/>
            <w:bottom w:val="none" w:sz="0" w:space="0" w:color="auto"/>
            <w:right w:val="none" w:sz="0" w:space="0" w:color="auto"/>
          </w:divBdr>
        </w:div>
        <w:div w:id="791245807">
          <w:marLeft w:val="547"/>
          <w:marRight w:val="0"/>
          <w:marTop w:val="106"/>
          <w:marBottom w:val="0"/>
          <w:divBdr>
            <w:top w:val="none" w:sz="0" w:space="0" w:color="auto"/>
            <w:left w:val="none" w:sz="0" w:space="0" w:color="auto"/>
            <w:bottom w:val="none" w:sz="0" w:space="0" w:color="auto"/>
            <w:right w:val="none" w:sz="0" w:space="0" w:color="auto"/>
          </w:divBdr>
        </w:div>
      </w:divsChild>
    </w:div>
    <w:div w:id="1200750694">
      <w:bodyDiv w:val="1"/>
      <w:marLeft w:val="0"/>
      <w:marRight w:val="0"/>
      <w:marTop w:val="0"/>
      <w:marBottom w:val="0"/>
      <w:divBdr>
        <w:top w:val="none" w:sz="0" w:space="0" w:color="auto"/>
        <w:left w:val="none" w:sz="0" w:space="0" w:color="auto"/>
        <w:bottom w:val="none" w:sz="0" w:space="0" w:color="auto"/>
        <w:right w:val="none" w:sz="0" w:space="0" w:color="auto"/>
      </w:divBdr>
    </w:div>
    <w:div w:id="1226990478">
      <w:bodyDiv w:val="1"/>
      <w:marLeft w:val="0"/>
      <w:marRight w:val="0"/>
      <w:marTop w:val="0"/>
      <w:marBottom w:val="0"/>
      <w:divBdr>
        <w:top w:val="none" w:sz="0" w:space="0" w:color="auto"/>
        <w:left w:val="none" w:sz="0" w:space="0" w:color="auto"/>
        <w:bottom w:val="none" w:sz="0" w:space="0" w:color="auto"/>
        <w:right w:val="none" w:sz="0" w:space="0" w:color="auto"/>
      </w:divBdr>
    </w:div>
    <w:div w:id="1463424548">
      <w:bodyDiv w:val="1"/>
      <w:marLeft w:val="0"/>
      <w:marRight w:val="0"/>
      <w:marTop w:val="0"/>
      <w:marBottom w:val="0"/>
      <w:divBdr>
        <w:top w:val="none" w:sz="0" w:space="0" w:color="auto"/>
        <w:left w:val="none" w:sz="0" w:space="0" w:color="auto"/>
        <w:bottom w:val="none" w:sz="0" w:space="0" w:color="auto"/>
        <w:right w:val="none" w:sz="0" w:space="0" w:color="auto"/>
      </w:divBdr>
      <w:divsChild>
        <w:div w:id="780148143">
          <w:marLeft w:val="0"/>
          <w:marRight w:val="0"/>
          <w:marTop w:val="0"/>
          <w:marBottom w:val="0"/>
          <w:divBdr>
            <w:top w:val="none" w:sz="0" w:space="0" w:color="auto"/>
            <w:left w:val="none" w:sz="0" w:space="0" w:color="auto"/>
            <w:bottom w:val="none" w:sz="0" w:space="0" w:color="auto"/>
            <w:right w:val="none" w:sz="0" w:space="0" w:color="auto"/>
          </w:divBdr>
        </w:div>
        <w:div w:id="1394310687">
          <w:marLeft w:val="0"/>
          <w:marRight w:val="0"/>
          <w:marTop w:val="0"/>
          <w:marBottom w:val="0"/>
          <w:divBdr>
            <w:top w:val="none" w:sz="0" w:space="0" w:color="auto"/>
            <w:left w:val="none" w:sz="0" w:space="0" w:color="auto"/>
            <w:bottom w:val="none" w:sz="0" w:space="0" w:color="auto"/>
            <w:right w:val="none" w:sz="0" w:space="0" w:color="auto"/>
          </w:divBdr>
        </w:div>
        <w:div w:id="538249278">
          <w:marLeft w:val="0"/>
          <w:marRight w:val="0"/>
          <w:marTop w:val="0"/>
          <w:marBottom w:val="0"/>
          <w:divBdr>
            <w:top w:val="none" w:sz="0" w:space="0" w:color="auto"/>
            <w:left w:val="none" w:sz="0" w:space="0" w:color="auto"/>
            <w:bottom w:val="none" w:sz="0" w:space="0" w:color="auto"/>
            <w:right w:val="none" w:sz="0" w:space="0" w:color="auto"/>
          </w:divBdr>
        </w:div>
        <w:div w:id="861821736">
          <w:marLeft w:val="0"/>
          <w:marRight w:val="0"/>
          <w:marTop w:val="0"/>
          <w:marBottom w:val="0"/>
          <w:divBdr>
            <w:top w:val="none" w:sz="0" w:space="0" w:color="auto"/>
            <w:left w:val="none" w:sz="0" w:space="0" w:color="auto"/>
            <w:bottom w:val="none" w:sz="0" w:space="0" w:color="auto"/>
            <w:right w:val="none" w:sz="0" w:space="0" w:color="auto"/>
          </w:divBdr>
        </w:div>
        <w:div w:id="917442860">
          <w:marLeft w:val="0"/>
          <w:marRight w:val="0"/>
          <w:marTop w:val="0"/>
          <w:marBottom w:val="0"/>
          <w:divBdr>
            <w:top w:val="none" w:sz="0" w:space="0" w:color="auto"/>
            <w:left w:val="none" w:sz="0" w:space="0" w:color="auto"/>
            <w:bottom w:val="none" w:sz="0" w:space="0" w:color="auto"/>
            <w:right w:val="none" w:sz="0" w:space="0" w:color="auto"/>
          </w:divBdr>
        </w:div>
      </w:divsChild>
    </w:div>
    <w:div w:id="1539587719">
      <w:bodyDiv w:val="1"/>
      <w:marLeft w:val="0"/>
      <w:marRight w:val="0"/>
      <w:marTop w:val="0"/>
      <w:marBottom w:val="0"/>
      <w:divBdr>
        <w:top w:val="none" w:sz="0" w:space="0" w:color="auto"/>
        <w:left w:val="none" w:sz="0" w:space="0" w:color="auto"/>
        <w:bottom w:val="none" w:sz="0" w:space="0" w:color="auto"/>
        <w:right w:val="none" w:sz="0" w:space="0" w:color="auto"/>
      </w:divBdr>
    </w:div>
    <w:div w:id="1638409981">
      <w:bodyDiv w:val="1"/>
      <w:marLeft w:val="0"/>
      <w:marRight w:val="0"/>
      <w:marTop w:val="0"/>
      <w:marBottom w:val="0"/>
      <w:divBdr>
        <w:top w:val="none" w:sz="0" w:space="0" w:color="auto"/>
        <w:left w:val="none" w:sz="0" w:space="0" w:color="auto"/>
        <w:bottom w:val="none" w:sz="0" w:space="0" w:color="auto"/>
        <w:right w:val="none" w:sz="0" w:space="0" w:color="auto"/>
      </w:divBdr>
    </w:div>
    <w:div w:id="1747922946">
      <w:bodyDiv w:val="1"/>
      <w:marLeft w:val="0"/>
      <w:marRight w:val="0"/>
      <w:marTop w:val="0"/>
      <w:marBottom w:val="0"/>
      <w:divBdr>
        <w:top w:val="none" w:sz="0" w:space="0" w:color="auto"/>
        <w:left w:val="none" w:sz="0" w:space="0" w:color="auto"/>
        <w:bottom w:val="none" w:sz="0" w:space="0" w:color="auto"/>
        <w:right w:val="none" w:sz="0" w:space="0" w:color="auto"/>
      </w:divBdr>
    </w:div>
    <w:div w:id="1765566479">
      <w:bodyDiv w:val="1"/>
      <w:marLeft w:val="0"/>
      <w:marRight w:val="0"/>
      <w:marTop w:val="0"/>
      <w:marBottom w:val="0"/>
      <w:divBdr>
        <w:top w:val="none" w:sz="0" w:space="0" w:color="auto"/>
        <w:left w:val="none" w:sz="0" w:space="0" w:color="auto"/>
        <w:bottom w:val="none" w:sz="0" w:space="0" w:color="auto"/>
        <w:right w:val="none" w:sz="0" w:space="0" w:color="auto"/>
      </w:divBdr>
    </w:div>
    <w:div w:id="1875654138">
      <w:bodyDiv w:val="1"/>
      <w:marLeft w:val="0"/>
      <w:marRight w:val="0"/>
      <w:marTop w:val="0"/>
      <w:marBottom w:val="0"/>
      <w:divBdr>
        <w:top w:val="none" w:sz="0" w:space="0" w:color="auto"/>
        <w:left w:val="none" w:sz="0" w:space="0" w:color="auto"/>
        <w:bottom w:val="none" w:sz="0" w:space="0" w:color="auto"/>
        <w:right w:val="none" w:sz="0" w:space="0" w:color="auto"/>
      </w:divBdr>
    </w:div>
    <w:div w:id="1973318166">
      <w:bodyDiv w:val="1"/>
      <w:marLeft w:val="0"/>
      <w:marRight w:val="0"/>
      <w:marTop w:val="0"/>
      <w:marBottom w:val="0"/>
      <w:divBdr>
        <w:top w:val="none" w:sz="0" w:space="0" w:color="auto"/>
        <w:left w:val="none" w:sz="0" w:space="0" w:color="auto"/>
        <w:bottom w:val="none" w:sz="0" w:space="0" w:color="auto"/>
        <w:right w:val="none" w:sz="0" w:space="0" w:color="auto"/>
      </w:divBdr>
    </w:div>
    <w:div w:id="209284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consultantplus://offline/ref=6F81F83FE4E6349F4EF77857E051E26988DFAA5B025448C81B682AA3312519964F18E5A42C58F1A0C4ZEN" TargetMode="External"/><Relationship Id="rId42" Type="http://schemas.openxmlformats.org/officeDocument/2006/relationships/chart" Target="charts/chart18.xml"/><Relationship Id="rId47" Type="http://schemas.openxmlformats.org/officeDocument/2006/relationships/chart" Target="charts/chart23.xml"/><Relationship Id="rId68" Type="http://schemas.openxmlformats.org/officeDocument/2006/relationships/image" Target="media/image19.png"/><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hyperlink" Target="https://www.rostrud.ru/rostrud/deyatelnost/?CAT_ID=10283" TargetMode="External"/><Relationship Id="rId7" Type="http://schemas.openxmlformats.org/officeDocument/2006/relationships/endnotes" Target="endnotes.xml"/><Relationship Id="rId71" Type="http://schemas.openxmlformats.org/officeDocument/2006/relationships/hyperlink" Target="consultantplus://offline/ref=896A70EC12363BC556C8E3135D06E0364080652260D32087D907125445078489560A7B80E9CE28B308DE1FA32BF60BN" TargetMode="External"/><Relationship Id="rId92"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5.xml"/><Relationship Id="rId107" Type="http://schemas.openxmlformats.org/officeDocument/2006/relationships/image" Target="media/image50.jpeg"/><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image" Target="media/image15.png"/><Relationship Id="rId66" Type="http://schemas.openxmlformats.org/officeDocument/2006/relationships/image" Target="media/image12.png"/><Relationship Id="rId74" Type="http://schemas.openxmlformats.org/officeDocument/2006/relationships/hyperlink" Target="consultantplus://offline/ref=5310B0BC95B51B15E5F20E453B32DE97772CA08906EA40E5AC740258389EF8807002AFEBEF9C4DFBEA52ED80970263BDEA983775CD69EA7En0ZAL" TargetMode="External"/><Relationship Id="rId79" Type="http://schemas.openxmlformats.org/officeDocument/2006/relationships/image" Target="media/image22.png"/><Relationship Id="rId87" Type="http://schemas.openxmlformats.org/officeDocument/2006/relationships/image" Target="media/image30.png"/><Relationship Id="rId102" Type="http://schemas.openxmlformats.org/officeDocument/2006/relationships/image" Target="media/image45.jpeg"/><Relationship Id="rId110" Type="http://schemas.openxmlformats.org/officeDocument/2006/relationships/hyperlink" Target="http://vitrinari.ru" TargetMode="External"/><Relationship Id="rId115" Type="http://schemas.openxmlformats.org/officeDocument/2006/relationships/fontTable" Target="fontTable.xml"/><Relationship Id="rId5" Type="http://schemas.openxmlformats.org/officeDocument/2006/relationships/webSettings" Target="webSettings.xml"/><Relationship Id="rId82" Type="http://schemas.openxmlformats.org/officeDocument/2006/relationships/image" Target="media/image25.png"/><Relationship Id="rId90" Type="http://schemas.openxmlformats.org/officeDocument/2006/relationships/image" Target="media/image33.png"/><Relationship Id="rId95" Type="http://schemas.openxmlformats.org/officeDocument/2006/relationships/image" Target="media/image38.jpeg"/><Relationship Id="rId19" Type="http://schemas.openxmlformats.org/officeDocument/2006/relationships/hyperlink" Target="consultantplus://offline/ref=0D19E24DAA0A63FEAAAD5FB3820E34434950C5B108F2956840ED83F8A66A0310684DF8830CF1E883064D45FBB3FEEB36D0688D6E3559BF6EvFU8G" TargetMode="External"/><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69" Type="http://schemas.openxmlformats.org/officeDocument/2006/relationships/image" Target="media/image20.png"/><Relationship Id="rId77" Type="http://schemas.openxmlformats.org/officeDocument/2006/relationships/hyperlink" Target="consultantplus://offline/ref=E73BEC7BF62CDFDA9FB0329E16C019D17F34BCF282E714FE790D2861268B16E6053FF626DE85FD9BBE2F9F30C0702EAE4D199264E5C6922E0F56P" TargetMode="External"/><Relationship Id="rId100" Type="http://schemas.openxmlformats.org/officeDocument/2006/relationships/image" Target="media/image43.jpeg"/><Relationship Id="rId105" Type="http://schemas.openxmlformats.org/officeDocument/2006/relationships/image" Target="media/image48.jpeg"/><Relationship Id="rId113"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hart" Target="charts/chart27.xml"/><Relationship Id="rId72" Type="http://schemas.openxmlformats.org/officeDocument/2006/relationships/hyperlink" Target="consultantplus://offline/ref=7EA720AAA4730EF6024A0E7D64CEEB05A5D1FF2D07A0B63414196B6A31A78FC7B232AF610B813880C11259CFB462a9L" TargetMode="External"/><Relationship Id="rId80" Type="http://schemas.openxmlformats.org/officeDocument/2006/relationships/image" Target="media/image23.png"/><Relationship Id="rId85" Type="http://schemas.openxmlformats.org/officeDocument/2006/relationships/image" Target="media/image28.png"/><Relationship Id="rId93" Type="http://schemas.openxmlformats.org/officeDocument/2006/relationships/image" Target="media/image36.jpeg"/><Relationship Id="rId98"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emf"/><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67" Type="http://schemas.openxmlformats.org/officeDocument/2006/relationships/image" Target="media/image18.png"/><Relationship Id="rId103" Type="http://schemas.openxmlformats.org/officeDocument/2006/relationships/image" Target="media/image46.jpeg"/><Relationship Id="rId108" Type="http://schemas.openxmlformats.org/officeDocument/2006/relationships/hyperlink" Target="http://gzhi.mosreg.ru/dokumenty/grazhdanam/reyting-upravlyayuschih-organizaciy/23-07-2018-10-48-58-reyting-upravlyayushchikh-organizatsiy-moskovskoy" TargetMode="External"/><Relationship Id="rId11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chart" Target="charts/chart17.xml"/><Relationship Id="rId54" Type="http://schemas.openxmlformats.org/officeDocument/2006/relationships/image" Target="media/image16.png"/><Relationship Id="rId70" Type="http://schemas.openxmlformats.org/officeDocument/2006/relationships/image" Target="media/image21.png"/><Relationship Id="rId75" Type="http://schemas.openxmlformats.org/officeDocument/2006/relationships/hyperlink" Target="consultantplus://offline/ref=09A05273BA8CCFC109E835478F789C85739335C69ECD7E8930583D3D2B66495C523326D27FB2ABF8202DB529EA571CE52E0EEC116C6B622D0B33P" TargetMode="External"/><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image" Target="media/image39.jpeg"/><Relationship Id="rId111" Type="http://schemas.openxmlformats.org/officeDocument/2006/relationships/hyperlink" Target="consultantplus://offline/ref=434FD81A4CA212A3CA62727183DA68ADE1A0E7D186770C436EE086B352E117EDDBDBF2D0E7A09BEE83BE6D4C423D7F13161C79DB152BDF79x0cA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106" Type="http://schemas.openxmlformats.org/officeDocument/2006/relationships/image" Target="media/image49.jpeg"/><Relationship Id="rId114"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8.xml"/><Relationship Id="rId65" Type="http://schemas.openxmlformats.org/officeDocument/2006/relationships/image" Target="media/image11.png"/><Relationship Id="rId73" Type="http://schemas.openxmlformats.org/officeDocument/2006/relationships/hyperlink" Target="consultantplus://offline/ref=5310B0BC95B51B15E5F20E453B32DE97772CA08906EA40E5AC740258389EF8807002AFEBEF9C4EFBE352ED80970263BDEA983775CD69EA7En0ZAL" TargetMode="External"/><Relationship Id="rId78" Type="http://schemas.openxmlformats.org/officeDocument/2006/relationships/hyperlink" Target="https://f.datasrvr.com/fr1/719/85395/Parallel_import_bill.pdf" TargetMode="External"/><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yperlink" Target="consultantplus://offline/ref=C98A562F25A3D769931A364A509E9248369ECC9130FE5D47F8D8F71C7C2B7E79FC2E373C66B5B10B8EEA96D8CF34D362B9F18BC452iADCI" TargetMode="External"/><Relationship Id="rId39" Type="http://schemas.openxmlformats.org/officeDocument/2006/relationships/chart" Target="charts/chart15.xml"/><Relationship Id="rId109" Type="http://schemas.openxmlformats.org/officeDocument/2006/relationships/hyperlink" Target="http://MySteel.net" TargetMode="External"/><Relationship Id="rId34" Type="http://schemas.openxmlformats.org/officeDocument/2006/relationships/chart" Target="charts/chart10.xml"/><Relationship Id="rId50" Type="http://schemas.openxmlformats.org/officeDocument/2006/relationships/chart" Target="charts/chart26.xml"/><Relationship Id="rId55" Type="http://schemas.openxmlformats.org/officeDocument/2006/relationships/image" Target="media/image17.png"/><Relationship Id="rId76" Type="http://schemas.openxmlformats.org/officeDocument/2006/relationships/hyperlink" Target="consultantplus://offline/ref=EFC3EAE866D845CE56C731C9CDA0815826FBEA26AB8CD77614C37BDF75FB1CDD6BE6220924B2FEEC8ADD1224E0582B58888C231E170EAA27M553P" TargetMode="External"/><Relationship Id="rId97" Type="http://schemas.openxmlformats.org/officeDocument/2006/relationships/image" Target="media/image40.jpeg"/><Relationship Id="rId104" Type="http://schemas.openxmlformats.org/officeDocument/2006/relationships/image" Target="media/image47.jpeg"/></Relationships>
</file>

<file path=word/_rels/footnotes.xml.rels><?xml version="1.0" encoding="UTF-8" standalone="yes"?>
<Relationships xmlns="http://schemas.openxmlformats.org/package/2006/relationships"><Relationship Id="rId1" Type="http://schemas.openxmlformats.org/officeDocument/2006/relationships/hyperlink" Target="https://rmsp.nalog.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1.xml"/><Relationship Id="rId4" Type="http://schemas.openxmlformats.org/officeDocument/2006/relationships/package" Target="../embeddings/_____Microsoft_Excel2.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2.xml"/><Relationship Id="rId4" Type="http://schemas.openxmlformats.org/officeDocument/2006/relationships/package" Target="../embeddings/_____Microsoft_Excel3.xlsx"/></Relationships>
</file>

<file path=word/charts/_rels/chart24.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96365219283926"/>
          <c:y val="1.9673499357683272E-2"/>
          <c:w val="0.79454579412436244"/>
          <c:h val="0.77047709974988565"/>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E40-EF41-B7B0-2B28D1478A0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E40-EF41-B7B0-2B28D1478A0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E40-EF41-B7B0-2B28D1478A0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E40-EF41-B7B0-2B28D1478A0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E40-EF41-B7B0-2B28D1478A09}"/>
              </c:ext>
            </c:extLst>
          </c:dPt>
          <c:dPt>
            <c:idx val="5"/>
            <c:bubble3D val="0"/>
            <c:explosion val="7"/>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7E40-EF41-B7B0-2B28D1478A0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7E40-EF41-B7B0-2B28D1478A09}"/>
              </c:ext>
            </c:extLst>
          </c:dPt>
          <c:dLbls>
            <c:dLbl>
              <c:idx val="0"/>
              <c:layout>
                <c:manualLayout>
                  <c:x val="-0.27593649745323989"/>
                  <c:y val="-4.064318440982425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E40-EF41-B7B0-2B28D1478A09}"/>
                </c:ext>
                <c:ext xmlns:c15="http://schemas.microsoft.com/office/drawing/2012/chart" uri="{CE6537A1-D6FC-4f65-9D91-7224C49458BB}">
                  <c15:spPr xmlns:c15="http://schemas.microsoft.com/office/drawing/2012/chart">
                    <a:prstGeom prst="wedgeRectCallout">
                      <a:avLst/>
                    </a:prstGeom>
                  </c15:spPr>
                  <c15:layout>
                    <c:manualLayout>
                      <c:w val="0.23556306995367909"/>
                      <c:h val="9.7728143459191771E-2"/>
                    </c:manualLayout>
                  </c15:layout>
                </c:ext>
              </c:extLst>
            </c:dLbl>
            <c:dLbl>
              <c:idx val="1"/>
              <c:layout>
                <c:manualLayout>
                  <c:x val="-0.12492214126238912"/>
                  <c:y val="-3.563840505899811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E40-EF41-B7B0-2B28D1478A09}"/>
                </c:ext>
                <c:ext xmlns:c15="http://schemas.microsoft.com/office/drawing/2012/chart" uri="{CE6537A1-D6FC-4f65-9D91-7224C49458BB}">
                  <c15:spPr xmlns:c15="http://schemas.microsoft.com/office/drawing/2012/chart">
                    <a:prstGeom prst="wedgeRectCallout">
                      <a:avLst/>
                    </a:prstGeom>
                  </c15:spPr>
                  <c15:layout>
                    <c:manualLayout>
                      <c:w val="0.24469048730871831"/>
                      <c:h val="9.7260162741095252E-2"/>
                    </c:manualLayout>
                  </c15:layout>
                </c:ext>
              </c:extLst>
            </c:dLbl>
            <c:dLbl>
              <c:idx val="2"/>
              <c:layout>
                <c:manualLayout>
                  <c:x val="3.9618878180479062E-4"/>
                  <c:y val="-7.4836566721572045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E40-EF41-B7B0-2B28D1478A09}"/>
                </c:ext>
                <c:ext xmlns:c15="http://schemas.microsoft.com/office/drawing/2012/chart" uri="{CE6537A1-D6FC-4f65-9D91-7224C49458BB}">
                  <c15:spPr xmlns:c15="http://schemas.microsoft.com/office/drawing/2012/chart">
                    <a:prstGeom prst="wedgeRectCallout">
                      <a:avLst/>
                    </a:prstGeom>
                  </c15:spPr>
                  <c15:layout>
                    <c:manualLayout>
                      <c:w val="0.22643608199281839"/>
                      <c:h val="0.16780562560398901"/>
                    </c:manualLayout>
                  </c15:layout>
                </c:ext>
              </c:extLst>
            </c:dLbl>
            <c:dLbl>
              <c:idx val="3"/>
              <c:layout>
                <c:manualLayout>
                  <c:x val="-2.2130341815381187E-3"/>
                  <c:y val="0.3097766141090554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7E40-EF41-B7B0-2B28D1478A09}"/>
                </c:ext>
                <c:ext xmlns:c15="http://schemas.microsoft.com/office/drawing/2012/chart" uri="{CE6537A1-D6FC-4f65-9D91-7224C49458BB}">
                  <c15:spPr xmlns:c15="http://schemas.microsoft.com/office/drawing/2012/chart">
                    <a:prstGeom prst="wedgeRectCallout">
                      <a:avLst/>
                    </a:prstGeom>
                  </c15:spPr>
                  <c15:layout>
                    <c:manualLayout>
                      <c:w val="0.18865497641015735"/>
                      <c:h val="0.15953407784811213"/>
                    </c:manualLayout>
                  </c15:layout>
                </c:ext>
              </c:extLst>
            </c:dLbl>
            <c:dLbl>
              <c:idx val="4"/>
              <c:layout>
                <c:manualLayout>
                  <c:x val="-0.21255383617588353"/>
                  <c:y val="0.3201669779052679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7E40-EF41-B7B0-2B28D1478A09}"/>
                </c:ext>
                <c:ext xmlns:c15="http://schemas.microsoft.com/office/drawing/2012/chart" uri="{CE6537A1-D6FC-4f65-9D91-7224C49458BB}">
                  <c15:spPr xmlns:c15="http://schemas.microsoft.com/office/drawing/2012/chart">
                    <a:prstGeom prst="wedgeRectCallout">
                      <a:avLst/>
                    </a:prstGeom>
                  </c15:spPr>
                  <c15:layout>
                    <c:manualLayout>
                      <c:w val="0.17667230246525931"/>
                      <c:h val="9.4209596349475913E-2"/>
                    </c:manualLayout>
                  </c15:layout>
                </c:ext>
              </c:extLst>
            </c:dLbl>
            <c:dLbl>
              <c:idx val="5"/>
              <c:layout>
                <c:manualLayout>
                  <c:x val="-8.1688944270644395E-2"/>
                  <c:y val="0.10158714905924363"/>
                </c:manualLayout>
              </c:layout>
              <c:spPr>
                <a:solidFill>
                  <a:prstClr val="white"/>
                </a:solidFill>
                <a:ln>
                  <a:solidFill>
                    <a:srgbClr val="4F81BD"/>
                  </a:solidFill>
                </a:ln>
                <a:effectLst/>
              </c:spPr>
              <c:txPr>
                <a:bodyPr wrap="square" lIns="38100" tIns="19050" rIns="38100" bIns="19050" anchor="ctr">
                  <a:noAutofit/>
                </a:bodyPr>
                <a:lstStyle/>
                <a:p>
                  <a:pPr>
                    <a:defRPr sz="900" b="1">
                      <a:solidFill>
                        <a:srgbClr val="C00000"/>
                      </a:solidFill>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c15:spPr>
                  <c15:layout>
                    <c:manualLayout>
                      <c:w val="0.35184988379520044"/>
                      <c:h val="0.12626513189119332"/>
                    </c:manualLayout>
                  </c15:layout>
                </c:ext>
              </c:extLst>
            </c:dLbl>
            <c:dLbl>
              <c:idx val="6"/>
              <c:layout>
                <c:manualLayout>
                  <c:x val="1.9756989835729975E-3"/>
                  <c:y val="0.10055766256601788"/>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7E40-EF41-B7B0-2B28D1478A09}"/>
                </c:ext>
                <c:ext xmlns:c15="http://schemas.microsoft.com/office/drawing/2012/chart" uri="{CE6537A1-D6FC-4f65-9D91-7224C49458BB}">
                  <c15:spPr xmlns:c15="http://schemas.microsoft.com/office/drawing/2012/chart">
                    <a:prstGeom prst="wedgeRectCallout">
                      <a:avLst/>
                    </a:prstGeom>
                  </c15:spPr>
                  <c15:layout>
                    <c:manualLayout>
                      <c:w val="0.23874488081627834"/>
                      <c:h val="0.12609884548745132"/>
                    </c:manualLayout>
                  </c15:layout>
                </c:ext>
              </c:extLst>
            </c:dLbl>
            <c:dLbl>
              <c:idx val="7"/>
              <c:layout>
                <c:manualLayout>
                  <c:x val="-7.4576341277614533E-2"/>
                  <c:y val="7.1316244298062006E-2"/>
                </c:manualLayout>
              </c:layout>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E-7E40-EF41-B7B0-2B28D1478A09}"/>
                </c:ext>
                <c:ext xmlns:c15="http://schemas.microsoft.com/office/drawing/2012/chart" uri="{CE6537A1-D6FC-4f65-9D91-7224C49458BB}"/>
              </c:extLst>
            </c:dLbl>
            <c:dLbl>
              <c:idx val="8"/>
              <c:layout>
                <c:manualLayout>
                  <c:x val="-0.24448600344517335"/>
                  <c:y val="5.0866805211082639E-3"/>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7E40-EF41-B7B0-2B28D1478A09}"/>
                </c:ext>
                <c:ext xmlns:c15="http://schemas.microsoft.com/office/drawing/2012/chart" uri="{CE6537A1-D6FC-4f65-9D91-7224C49458BB}">
                  <c15:spPr xmlns:c15="http://schemas.microsoft.com/office/drawing/2012/chart">
                    <a:prstGeom prst="wedgeRectCallout">
                      <a:avLst/>
                    </a:prstGeom>
                  </c15:spPr>
                  <c15:layout>
                    <c:manualLayout>
                      <c:w val="0.17393255290941392"/>
                      <c:h val="0.13938002847683256"/>
                    </c:manualLayout>
                  </c15:layout>
                </c:ext>
              </c:extLst>
            </c:dLbl>
            <c:dLbl>
              <c:idx val="9"/>
              <c:delete val="1"/>
              <c:extLst xmlns:c16r2="http://schemas.microsoft.com/office/drawing/2015/06/chart">
                <c:ext xmlns:c16="http://schemas.microsoft.com/office/drawing/2014/chart" uri="{C3380CC4-5D6E-409C-BE32-E72D297353CC}">
                  <c16:uniqueId val="{00000010-7E40-EF41-B7B0-2B28D1478A09}"/>
                </c:ext>
                <c:ext xmlns:c15="http://schemas.microsoft.com/office/drawing/2012/chart" uri="{CE6537A1-D6FC-4f65-9D91-7224C49458BB}"/>
              </c:extLst>
            </c:dLbl>
            <c:spPr>
              <a:solidFill>
                <a:prstClr val="white"/>
              </a:solidFill>
              <a:ln>
                <a:solidFill>
                  <a:srgbClr val="4F81BD"/>
                </a:solidFill>
              </a:ln>
              <a:effectLst/>
            </c:spPr>
            <c:txPr>
              <a:bodyPr wrap="square" lIns="38100" tIns="19050" rIns="38100" bIns="19050" anchor="ctr">
                <a:spAutoFit/>
              </a:bodyPr>
              <a:lstStyle/>
              <a:p>
                <a:pPr>
                  <a:defRPr sz="900"/>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Лист1!$A$2:$A$11</c:f>
              <c:strCache>
                <c:ptCount val="10"/>
                <c:pt idx="0">
                  <c:v>Предоставление услуг ЖКХ</c:v>
                </c:pt>
                <c:pt idx="1">
                  <c:v>IT, компьютерная и оргтехника</c:v>
                </c:pt>
                <c:pt idx="2">
                  <c:v>Лекарственные препараты и медицинские изделия</c:v>
                </c:pt>
                <c:pt idx="3">
                  <c:v>Транспорт и пассажирские перевозки</c:v>
                </c:pt>
                <c:pt idx="4">
                  <c:v>Продукты питания</c:v>
                </c:pt>
                <c:pt idx="5">
                  <c:v>Строительный комплекс (в т.ч. строительство, ремонт и обслуживание дорог)</c:v>
                </c:pt>
                <c:pt idx="6">
                  <c:v>Сделки с недвижимостью</c:v>
                </c:pt>
                <c:pt idx="7">
                  <c:v>Прочее</c:v>
                </c:pt>
                <c:pt idx="8">
                  <c:v>Горюче-смазочные материалы</c:v>
                </c:pt>
                <c:pt idx="9">
                  <c:v>Охрана и безопасность</c:v>
                </c:pt>
              </c:strCache>
            </c:strRef>
          </c:cat>
          <c:val>
            <c:numRef>
              <c:f>Лист1!$B$2:$B$11</c:f>
              <c:numCache>
                <c:formatCode>0.00%</c:formatCode>
                <c:ptCount val="10"/>
                <c:pt idx="0">
                  <c:v>0.03</c:v>
                </c:pt>
                <c:pt idx="1">
                  <c:v>0.02</c:v>
                </c:pt>
                <c:pt idx="2">
                  <c:v>0.16</c:v>
                </c:pt>
                <c:pt idx="3">
                  <c:v>7.0000000000000007E-2</c:v>
                </c:pt>
                <c:pt idx="4">
                  <c:v>0.08</c:v>
                </c:pt>
                <c:pt idx="5">
                  <c:v>0.28999999999999998</c:v>
                </c:pt>
                <c:pt idx="6">
                  <c:v>7.0000000000000007E-2</c:v>
                </c:pt>
                <c:pt idx="7">
                  <c:v>0.23</c:v>
                </c:pt>
                <c:pt idx="8">
                  <c:v>0.02</c:v>
                </c:pt>
                <c:pt idx="9" formatCode="0%">
                  <c:v>0.03</c:v>
                </c:pt>
              </c:numCache>
            </c:numRef>
          </c:val>
          <c:extLst xmlns:c16r2="http://schemas.microsoft.com/office/drawing/2015/06/chart">
            <c:ext xmlns:c16="http://schemas.microsoft.com/office/drawing/2014/chart" uri="{C3380CC4-5D6E-409C-BE32-E72D297353CC}">
              <c16:uniqueId val="{00000011-7E40-EF41-B7B0-2B28D1478A09}"/>
            </c:ext>
          </c:extLst>
        </c:ser>
        <c:dLbls>
          <c:dLblPos val="outEnd"/>
          <c:showLegendKey val="0"/>
          <c:showVal val="0"/>
          <c:showCatName val="1"/>
          <c:showSerName val="0"/>
          <c:showPercent val="0"/>
          <c:showBubbleSize val="0"/>
          <c:showLeaderLines val="0"/>
        </c:dLbls>
      </c:pie3DChart>
      <c:spPr>
        <a:noFill/>
        <a:ln w="25400">
          <a:noFill/>
        </a:ln>
        <a:effectLst/>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 (редакция с 09.04.2019).xlsx]8'!$G$4</c:f>
              <c:strCache>
                <c:ptCount val="1"/>
                <c:pt idx="0">
                  <c:v>направлено предостережений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09.04.2019).xlsx]8'!$H$4:$L$4</c:f>
              <c:numCache>
                <c:formatCode>General</c:formatCode>
                <c:ptCount val="5"/>
                <c:pt idx="0">
                  <c:v>91</c:v>
                </c:pt>
                <c:pt idx="1">
                  <c:v>49</c:v>
                </c:pt>
                <c:pt idx="2">
                  <c:v>90</c:v>
                </c:pt>
                <c:pt idx="3">
                  <c:v>95</c:v>
                </c:pt>
                <c:pt idx="4">
                  <c:v>123</c:v>
                </c:pt>
              </c:numCache>
            </c:numRef>
          </c:val>
          <c:extLst xmlns:c16r2="http://schemas.microsoft.com/office/drawing/2015/06/chart">
            <c:ext xmlns:c16="http://schemas.microsoft.com/office/drawing/2014/chart" uri="{C3380CC4-5D6E-409C-BE32-E72D297353CC}">
              <c16:uniqueId val="{00000000-EABB-4560-A3D1-2589F52FB96B}"/>
            </c:ext>
          </c:extLst>
        </c:ser>
        <c:ser>
          <c:idx val="1"/>
          <c:order val="1"/>
          <c:tx>
            <c:strRef>
              <c:f>'[Диаграммы за 2018 год (редакция с 09.04.2019).xlsx]8'!$G$5</c:f>
              <c:strCache>
                <c:ptCount val="1"/>
                <c:pt idx="0">
                  <c:v>из них - ст. 15 135-ФЗ</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09.04.2019).xlsx]8'!$H$5:$L$5</c:f>
              <c:numCache>
                <c:formatCode>General</c:formatCode>
                <c:ptCount val="5"/>
                <c:pt idx="3">
                  <c:v>59</c:v>
                </c:pt>
                <c:pt idx="4">
                  <c:v>50</c:v>
                </c:pt>
              </c:numCache>
            </c:numRef>
          </c:val>
          <c:extLst xmlns:c16r2="http://schemas.microsoft.com/office/drawing/2015/06/chart">
            <c:ext xmlns:c16="http://schemas.microsoft.com/office/drawing/2014/chart" uri="{C3380CC4-5D6E-409C-BE32-E72D297353CC}">
              <c16:uniqueId val="{00000001-EABB-4560-A3D1-2589F52FB96B}"/>
            </c:ext>
          </c:extLst>
        </c:ser>
        <c:dLbls>
          <c:dLblPos val="outEnd"/>
          <c:showLegendKey val="0"/>
          <c:showVal val="1"/>
          <c:showCatName val="0"/>
          <c:showSerName val="0"/>
          <c:showPercent val="0"/>
          <c:showBubbleSize val="0"/>
        </c:dLbls>
        <c:gapWidth val="100"/>
        <c:overlap val="25"/>
        <c:axId val="243082656"/>
        <c:axId val="243083048"/>
      </c:barChart>
      <c:catAx>
        <c:axId val="24308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43083048"/>
        <c:crosses val="autoZero"/>
        <c:auto val="1"/>
        <c:lblAlgn val="ctr"/>
        <c:lblOffset val="100"/>
        <c:noMultiLvlLbl val="0"/>
      </c:catAx>
      <c:valAx>
        <c:axId val="243083048"/>
        <c:scaling>
          <c:orientation val="minMax"/>
          <c:max val="1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3082656"/>
        <c:crosses val="autoZero"/>
        <c:crossBetween val="between"/>
        <c:majorUnit val="8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10'!$G$8</c:f>
              <c:strCache>
                <c:ptCount val="1"/>
                <c:pt idx="0">
                  <c:v>выдано предупреждений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10'!$H$8:$L$8</c:f>
              <c:numCache>
                <c:formatCode>General</c:formatCode>
                <c:ptCount val="5"/>
                <c:pt idx="0">
                  <c:v>1928</c:v>
                </c:pt>
                <c:pt idx="1">
                  <c:v>2362</c:v>
                </c:pt>
                <c:pt idx="2">
                  <c:v>5436</c:v>
                </c:pt>
                <c:pt idx="3">
                  <c:v>4477</c:v>
                </c:pt>
                <c:pt idx="4">
                  <c:v>3978</c:v>
                </c:pt>
              </c:numCache>
            </c:numRef>
          </c:val>
          <c:extLst xmlns:c16r2="http://schemas.microsoft.com/office/drawing/2015/06/chart">
            <c:ext xmlns:c16="http://schemas.microsoft.com/office/drawing/2014/chart" uri="{C3380CC4-5D6E-409C-BE32-E72D297353CC}">
              <c16:uniqueId val="{00000000-FA67-4A73-959B-E2425A77885A}"/>
            </c:ext>
          </c:extLst>
        </c:ser>
        <c:ser>
          <c:idx val="1"/>
          <c:order val="1"/>
          <c:tx>
            <c:strRef>
              <c:f>'[Диаграммы за 2018 год.xlsx]9 10'!$G$9</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10'!$H$9:$L$9</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FA67-4A73-959B-E2425A77885A}"/>
            </c:ext>
          </c:extLst>
        </c:ser>
        <c:dLbls>
          <c:dLblPos val="outEnd"/>
          <c:showLegendKey val="0"/>
          <c:showVal val="1"/>
          <c:showCatName val="0"/>
          <c:showSerName val="0"/>
          <c:showPercent val="0"/>
          <c:showBubbleSize val="0"/>
        </c:dLbls>
        <c:gapWidth val="100"/>
        <c:overlap val="-24"/>
        <c:axId val="243083832"/>
        <c:axId val="243084224"/>
      </c:barChart>
      <c:catAx>
        <c:axId val="243083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43084224"/>
        <c:crosses val="autoZero"/>
        <c:auto val="1"/>
        <c:lblAlgn val="ctr"/>
        <c:lblOffset val="100"/>
        <c:noMultiLvlLbl val="0"/>
      </c:catAx>
      <c:valAx>
        <c:axId val="2430842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3083832"/>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10'!$G$27</c:f>
              <c:strCache>
                <c:ptCount val="1"/>
                <c:pt idx="0">
                  <c:v>злоупотребление доминирующим положением</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10'!$H$27:$L$27</c:f>
              <c:numCache>
                <c:formatCode>0%</c:formatCode>
                <c:ptCount val="5"/>
                <c:pt idx="0">
                  <c:v>0.74844398340248963</c:v>
                </c:pt>
                <c:pt idx="1">
                  <c:v>0.8268416596104996</c:v>
                </c:pt>
                <c:pt idx="2">
                  <c:v>0.87909090909090915</c:v>
                </c:pt>
                <c:pt idx="3">
                  <c:v>0.79586877278250301</c:v>
                </c:pt>
                <c:pt idx="4">
                  <c:v>0.83306320907617504</c:v>
                </c:pt>
              </c:numCache>
            </c:numRef>
          </c:val>
          <c:extLst xmlns:c16r2="http://schemas.microsoft.com/office/drawing/2015/06/chart">
            <c:ext xmlns:c16="http://schemas.microsoft.com/office/drawing/2014/chart" uri="{C3380CC4-5D6E-409C-BE32-E72D297353CC}">
              <c16:uniqueId val="{00000000-3E37-4D99-83BA-53CD346E2FAF}"/>
            </c:ext>
          </c:extLst>
        </c:ser>
        <c:ser>
          <c:idx val="1"/>
          <c:order val="1"/>
          <c:tx>
            <c:strRef>
              <c:f>'[Диаграммы за 2018 год.xlsx]9 10'!$G$28</c:f>
              <c:strCache>
                <c:ptCount val="1"/>
                <c:pt idx="0">
                  <c:v>недобросовестная конкуренция</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10'!$H$28:$L$28</c:f>
              <c:numCache>
                <c:formatCode>General</c:formatCode>
                <c:ptCount val="5"/>
                <c:pt idx="2" formatCode="0%">
                  <c:v>0.69540873460246355</c:v>
                </c:pt>
                <c:pt idx="3" formatCode="0%">
                  <c:v>0.75916230366492143</c:v>
                </c:pt>
                <c:pt idx="4" formatCode="0%">
                  <c:v>0.70072115384615385</c:v>
                </c:pt>
              </c:numCache>
            </c:numRef>
          </c:val>
          <c:extLst xmlns:c16r2="http://schemas.microsoft.com/office/drawing/2015/06/chart">
            <c:ext xmlns:c16="http://schemas.microsoft.com/office/drawing/2014/chart" uri="{C3380CC4-5D6E-409C-BE32-E72D297353CC}">
              <c16:uniqueId val="{00000001-3E37-4D99-83BA-53CD346E2FAF}"/>
            </c:ext>
          </c:extLst>
        </c:ser>
        <c:ser>
          <c:idx val="2"/>
          <c:order val="2"/>
          <c:tx>
            <c:strRef>
              <c:f>'[Диаграммы за 2018 год.xlsx]9 10'!$G$29</c:f>
              <c:strCache>
                <c:ptCount val="1"/>
                <c:pt idx="0">
                  <c:v>органы власти</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10'!$H$29:$L$29</c:f>
              <c:numCache>
                <c:formatCode>General</c:formatCode>
                <c:ptCount val="5"/>
                <c:pt idx="2" formatCode="0%">
                  <c:v>0.75</c:v>
                </c:pt>
                <c:pt idx="3" formatCode="0%">
                  <c:v>0.74256055363321805</c:v>
                </c:pt>
                <c:pt idx="4" formatCode="0%">
                  <c:v>0.84302095689996048</c:v>
                </c:pt>
              </c:numCache>
            </c:numRef>
          </c:val>
          <c:extLst xmlns:c16r2="http://schemas.microsoft.com/office/drawing/2015/06/chart">
            <c:ext xmlns:c16="http://schemas.microsoft.com/office/drawing/2014/chart" uri="{C3380CC4-5D6E-409C-BE32-E72D297353CC}">
              <c16:uniqueId val="{00000002-3E37-4D99-83BA-53CD346E2FAF}"/>
            </c:ext>
          </c:extLst>
        </c:ser>
        <c:dLbls>
          <c:dLblPos val="outEnd"/>
          <c:showLegendKey val="0"/>
          <c:showVal val="1"/>
          <c:showCatName val="0"/>
          <c:showSerName val="0"/>
          <c:showPercent val="0"/>
          <c:showBubbleSize val="0"/>
        </c:dLbls>
        <c:gapWidth val="112"/>
        <c:overlap val="-44"/>
        <c:axId val="243085008"/>
        <c:axId val="243085400"/>
      </c:barChart>
      <c:catAx>
        <c:axId val="24308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43085400"/>
        <c:crosses val="autoZero"/>
        <c:auto val="1"/>
        <c:lblAlgn val="ctr"/>
        <c:lblOffset val="100"/>
        <c:noMultiLvlLbl val="0"/>
      </c:catAx>
      <c:valAx>
        <c:axId val="2430854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43085008"/>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 (редакция с 09.04.2019).xlsx]11'!$G$8</c:f>
              <c:strCache>
                <c:ptCount val="1"/>
                <c:pt idx="0">
                  <c:v>возбуждено дел</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09.04.2019).xlsx]11'!$H$8:$L$8</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0-D9F3-41CB-A4DB-75CC1873F8C2}"/>
            </c:ext>
          </c:extLst>
        </c:ser>
        <c:ser>
          <c:idx val="1"/>
          <c:order val="1"/>
          <c:tx>
            <c:strRef>
              <c:f>'[Диаграммы за 2018 год (редакция с 09.04.2019).xlsx]11'!$G$9</c:f>
              <c:strCache>
                <c:ptCount val="1"/>
                <c:pt idx="0">
                  <c:v>выдано предупреждений</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09.04.2019).xlsx]11'!$H$9:$L$9</c:f>
              <c:numCache>
                <c:formatCode>General</c:formatCode>
                <c:ptCount val="5"/>
                <c:pt idx="0">
                  <c:v>1928</c:v>
                </c:pt>
                <c:pt idx="1">
                  <c:v>2362</c:v>
                </c:pt>
                <c:pt idx="2">
                  <c:v>5436</c:v>
                </c:pt>
                <c:pt idx="3">
                  <c:v>4477</c:v>
                </c:pt>
                <c:pt idx="4">
                  <c:v>3978</c:v>
                </c:pt>
              </c:numCache>
            </c:numRef>
          </c:val>
          <c:smooth val="0"/>
          <c:extLst xmlns:c16r2="http://schemas.microsoft.com/office/drawing/2015/06/chart">
            <c:ext xmlns:c16="http://schemas.microsoft.com/office/drawing/2014/chart" uri="{C3380CC4-5D6E-409C-BE32-E72D297353CC}">
              <c16:uniqueId val="{00000001-D9F3-41CB-A4DB-75CC1873F8C2}"/>
            </c:ext>
          </c:extLst>
        </c:ser>
        <c:dLbls>
          <c:dLblPos val="t"/>
          <c:showLegendKey val="0"/>
          <c:showVal val="1"/>
          <c:showCatName val="0"/>
          <c:showSerName val="0"/>
          <c:showPercent val="0"/>
          <c:showBubbleSize val="0"/>
        </c:dLbls>
        <c:smooth val="0"/>
        <c:axId val="243568088"/>
        <c:axId val="243568480"/>
      </c:lineChart>
      <c:catAx>
        <c:axId val="24356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43568480"/>
        <c:crosses val="autoZero"/>
        <c:auto val="1"/>
        <c:lblAlgn val="ctr"/>
        <c:lblOffset val="100"/>
        <c:noMultiLvlLbl val="0"/>
      </c:catAx>
      <c:valAx>
        <c:axId val="243568480"/>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3568088"/>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'[Диаграммы за 2018 год.xlsx]12 13 14'!$H$5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14'!$I$5:$M$5</c:f>
              <c:numCache>
                <c:formatCode>General</c:formatCode>
                <c:ptCount val="5"/>
                <c:pt idx="0">
                  <c:v>311</c:v>
                </c:pt>
                <c:pt idx="1">
                  <c:v>370</c:v>
                </c:pt>
                <c:pt idx="2">
                  <c:v>357</c:v>
                </c:pt>
                <c:pt idx="3">
                  <c:v>415</c:v>
                </c:pt>
                <c:pt idx="4">
                  <c:v>435</c:v>
                </c:pt>
              </c:numCache>
            </c:numRef>
          </c:val>
        </c:ser>
        <c:ser>
          <c:idx val="2"/>
          <c:order val="1"/>
          <c:tx>
            <c:strRef>
              <c:f>'[Диаграммы за 2018 год.xlsx]12 13 14'!$H$6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14'!$I$6:$M$6</c:f>
              <c:numCache>
                <c:formatCode>General</c:formatCode>
                <c:ptCount val="5"/>
                <c:pt idx="0">
                  <c:v>240</c:v>
                </c:pt>
                <c:pt idx="1">
                  <c:v>300</c:v>
                </c:pt>
                <c:pt idx="2">
                  <c:v>284</c:v>
                </c:pt>
                <c:pt idx="3">
                  <c:v>329</c:v>
                </c:pt>
                <c:pt idx="4">
                  <c:v>364</c:v>
                </c:pt>
              </c:numCache>
            </c:numRef>
          </c:val>
        </c:ser>
        <c:dLbls>
          <c:showLegendKey val="0"/>
          <c:showVal val="0"/>
          <c:showCatName val="0"/>
          <c:showSerName val="0"/>
          <c:showPercent val="0"/>
          <c:showBubbleSize val="0"/>
        </c:dLbls>
        <c:gapWidth val="130"/>
        <c:overlap val="9"/>
        <c:axId val="243569656"/>
        <c:axId val="243570048"/>
      </c:barChart>
      <c:lineChart>
        <c:grouping val="standard"/>
        <c:varyColors val="0"/>
        <c:ser>
          <c:idx val="0"/>
          <c:order val="2"/>
          <c:tx>
            <c:strRef>
              <c:f>'[Диаграммы за 2018 год.xlsx]12 13 14'!$H$4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14'!$I$4:$M$4</c:f>
              <c:numCache>
                <c:formatCode>General</c:formatCode>
                <c:ptCount val="5"/>
                <c:pt idx="0">
                  <c:v>23</c:v>
                </c:pt>
                <c:pt idx="1">
                  <c:v>12</c:v>
                </c:pt>
                <c:pt idx="2">
                  <c:v>17</c:v>
                </c:pt>
                <c:pt idx="3">
                  <c:v>5</c:v>
                </c:pt>
                <c:pt idx="4">
                  <c:v>10</c:v>
                </c:pt>
              </c:numCache>
            </c:numRef>
          </c:val>
          <c:smooth val="0"/>
        </c:ser>
        <c:dLbls>
          <c:showLegendKey val="0"/>
          <c:showVal val="1"/>
          <c:showCatName val="0"/>
          <c:showSerName val="0"/>
          <c:showPercent val="0"/>
          <c:showBubbleSize val="0"/>
        </c:dLbls>
        <c:marker val="1"/>
        <c:smooth val="0"/>
        <c:axId val="243569656"/>
        <c:axId val="243570048"/>
      </c:lineChart>
      <c:catAx>
        <c:axId val="24356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43570048"/>
        <c:crosses val="autoZero"/>
        <c:auto val="1"/>
        <c:lblAlgn val="ctr"/>
        <c:lblOffset val="100"/>
        <c:noMultiLvlLbl val="0"/>
      </c:catAx>
      <c:valAx>
        <c:axId val="2435700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3569656"/>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14'!$H$10</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14'!$I$10:$M$10</c:f>
              <c:numCache>
                <c:formatCode>General</c:formatCode>
                <c:ptCount val="5"/>
                <c:pt idx="0">
                  <c:v>8</c:v>
                </c:pt>
                <c:pt idx="1">
                  <c:v>5</c:v>
                </c:pt>
                <c:pt idx="2">
                  <c:v>3</c:v>
                </c:pt>
                <c:pt idx="3">
                  <c:v>5</c:v>
                </c:pt>
                <c:pt idx="4">
                  <c:v>2</c:v>
                </c:pt>
              </c:numCache>
            </c:numRef>
          </c:val>
        </c:ser>
        <c:ser>
          <c:idx val="2"/>
          <c:order val="2"/>
          <c:tx>
            <c:strRef>
              <c:f>'[Диаграммы за 2018 год.xlsx]12 13 14'!$H$11</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14'!$I$11:$M$11</c:f>
              <c:numCache>
                <c:formatCode>General</c:formatCode>
                <c:ptCount val="5"/>
                <c:pt idx="0">
                  <c:v>4</c:v>
                </c:pt>
                <c:pt idx="1">
                  <c:v>4</c:v>
                </c:pt>
                <c:pt idx="2">
                  <c:v>0</c:v>
                </c:pt>
                <c:pt idx="3">
                  <c:v>0</c:v>
                </c:pt>
                <c:pt idx="4">
                  <c:v>0</c:v>
                </c:pt>
              </c:numCache>
            </c:numRef>
          </c:val>
        </c:ser>
        <c:dLbls>
          <c:dLblPos val="ctr"/>
          <c:showLegendKey val="0"/>
          <c:showVal val="1"/>
          <c:showCatName val="0"/>
          <c:showSerName val="0"/>
          <c:showPercent val="0"/>
          <c:showBubbleSize val="0"/>
        </c:dLbls>
        <c:gapWidth val="119"/>
        <c:overlap val="13"/>
        <c:axId val="243570440"/>
        <c:axId val="243570832"/>
      </c:barChart>
      <c:lineChart>
        <c:grouping val="standard"/>
        <c:varyColors val="0"/>
        <c:ser>
          <c:idx val="0"/>
          <c:order val="0"/>
          <c:tx>
            <c:strRef>
              <c:f>'[Диаграммы за 2018 год.xlsx]12 13 14'!$H$9</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dLbl>
              <c:idx val="0"/>
              <c:layout>
                <c:manualLayout>
                  <c:x val="-2.9023905723905723E-2"/>
                  <c:y val="9.2592592592591737E-3"/>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8333670033670035E-2"/>
                  <c:y val="-9.2592592592592587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8115319865320024E-2"/>
                  <c:y val="1.3888888888888878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bg1"/>
              </a:solidFill>
              <a:ln cap="flat">
                <a:solidFill>
                  <a:schemeClr val="bg1">
                    <a:lumMod val="50000"/>
                  </a:schemeClr>
                </a:solidFill>
              </a:ln>
              <a:effectLst/>
            </c:spPr>
            <c:txPr>
              <a:bodyPr rot="0" spcFirstLastPara="1" vertOverflow="ellipsis" vert="horz" wrap="square" tIns="0" bIns="0"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14'!$I$9:$M$9</c:f>
              <c:numCache>
                <c:formatCode>General</c:formatCode>
                <c:ptCount val="5"/>
                <c:pt idx="0">
                  <c:v>5</c:v>
                </c:pt>
                <c:pt idx="1">
                  <c:v>2</c:v>
                </c:pt>
                <c:pt idx="2">
                  <c:v>4</c:v>
                </c:pt>
                <c:pt idx="3">
                  <c:v>1</c:v>
                </c:pt>
                <c:pt idx="4">
                  <c:v>19</c:v>
                </c:pt>
              </c:numCache>
            </c:numRef>
          </c:val>
          <c:smooth val="0"/>
        </c:ser>
        <c:dLbls>
          <c:dLblPos val="ctr"/>
          <c:showLegendKey val="0"/>
          <c:showVal val="1"/>
          <c:showCatName val="0"/>
          <c:showSerName val="0"/>
          <c:showPercent val="0"/>
          <c:showBubbleSize val="0"/>
        </c:dLbls>
        <c:marker val="1"/>
        <c:smooth val="0"/>
        <c:axId val="243570440"/>
        <c:axId val="243570832"/>
      </c:lineChart>
      <c:catAx>
        <c:axId val="24357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43570832"/>
        <c:crosses val="autoZero"/>
        <c:auto val="1"/>
        <c:lblAlgn val="ctr"/>
        <c:lblOffset val="100"/>
        <c:noMultiLvlLbl val="0"/>
      </c:catAx>
      <c:valAx>
        <c:axId val="2435708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357044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14'!$I$15:$M$15</c:f>
              <c:numCache>
                <c:formatCode>General</c:formatCode>
                <c:ptCount val="5"/>
                <c:pt idx="0">
                  <c:v>351</c:v>
                </c:pt>
                <c:pt idx="1">
                  <c:v>224</c:v>
                </c:pt>
                <c:pt idx="2">
                  <c:v>238</c:v>
                </c:pt>
                <c:pt idx="3">
                  <c:v>239</c:v>
                </c:pt>
                <c:pt idx="4">
                  <c:v>275</c:v>
                </c:pt>
              </c:numCache>
            </c:numRef>
          </c:val>
        </c:ser>
        <c:ser>
          <c:idx val="2"/>
          <c:order val="2"/>
          <c:tx>
            <c:strRef>
              <c:f>'[Диаграммы за 2018 год.xlsx]12 13 14'!$H$16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14'!$I$16:$M$16</c:f>
              <c:numCache>
                <c:formatCode>General</c:formatCode>
                <c:ptCount val="5"/>
                <c:pt idx="0">
                  <c:v>299</c:v>
                </c:pt>
                <c:pt idx="1">
                  <c:v>192</c:v>
                </c:pt>
                <c:pt idx="2">
                  <c:v>196</c:v>
                </c:pt>
                <c:pt idx="3">
                  <c:v>181</c:v>
                </c:pt>
                <c:pt idx="4">
                  <c:v>233</c:v>
                </c:pt>
              </c:numCache>
            </c:numRef>
          </c:val>
        </c:ser>
        <c:dLbls>
          <c:showLegendKey val="0"/>
          <c:showVal val="1"/>
          <c:showCatName val="0"/>
          <c:showSerName val="0"/>
          <c:showPercent val="0"/>
          <c:showBubbleSize val="0"/>
        </c:dLbls>
        <c:gapWidth val="219"/>
        <c:axId val="243350552"/>
        <c:axId val="243350944"/>
      </c:barChart>
      <c:lineChart>
        <c:grouping val="standard"/>
        <c:varyColors val="0"/>
        <c:ser>
          <c:idx val="0"/>
          <c:order val="0"/>
          <c:tx>
            <c:strRef>
              <c:f>'[Диаграммы за 2018 год.xlsx]12 13 14'!$H$14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chemeClr val="bg1"/>
              </a:solidFill>
              <a:ln>
                <a:solidFill>
                  <a:schemeClr val="bg1">
                    <a:lumMod val="50000"/>
                  </a:schemeClr>
                </a:solidFill>
              </a:ln>
              <a:effectLst/>
            </c:spPr>
            <c:txPr>
              <a:bodyPr rot="0" spcFirstLastPara="1" vertOverflow="ellipsis" vert="horz" wrap="square" lIns="38100" tIns="0" rIns="38100" bIns="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14'!$I$14:$M$14</c:f>
              <c:numCache>
                <c:formatCode>General</c:formatCode>
                <c:ptCount val="5"/>
                <c:pt idx="0">
                  <c:v>3</c:v>
                </c:pt>
                <c:pt idx="1">
                  <c:v>3</c:v>
                </c:pt>
                <c:pt idx="2">
                  <c:v>20</c:v>
                </c:pt>
                <c:pt idx="3">
                  <c:v>5</c:v>
                </c:pt>
                <c:pt idx="4">
                  <c:v>5</c:v>
                </c:pt>
              </c:numCache>
            </c:numRef>
          </c:val>
          <c:smooth val="0"/>
        </c:ser>
        <c:dLbls>
          <c:showLegendKey val="0"/>
          <c:showVal val="1"/>
          <c:showCatName val="0"/>
          <c:showSerName val="0"/>
          <c:showPercent val="0"/>
          <c:showBubbleSize val="0"/>
        </c:dLbls>
        <c:marker val="1"/>
        <c:smooth val="0"/>
        <c:axId val="243350552"/>
        <c:axId val="243350944"/>
      </c:lineChart>
      <c:catAx>
        <c:axId val="24335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43350944"/>
        <c:crosses val="autoZero"/>
        <c:auto val="1"/>
        <c:lblAlgn val="ctr"/>
        <c:lblOffset val="100"/>
        <c:noMultiLvlLbl val="0"/>
      </c:catAx>
      <c:valAx>
        <c:axId val="2433509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3350552"/>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'[Диаграммы за 2018 год.xlsx]15 16 17'!$G$4</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17'!$H$4:$L$4</c:f>
              <c:numCache>
                <c:formatCode>General</c:formatCode>
                <c:ptCount val="5"/>
                <c:pt idx="0">
                  <c:v>864</c:v>
                </c:pt>
                <c:pt idx="1">
                  <c:v>841</c:v>
                </c:pt>
                <c:pt idx="2">
                  <c:v>288</c:v>
                </c:pt>
                <c:pt idx="3">
                  <c:v>269</c:v>
                </c:pt>
                <c:pt idx="4">
                  <c:v>381</c:v>
                </c:pt>
              </c:numCache>
            </c:numRef>
          </c:val>
          <c:extLst xmlns:c16r2="http://schemas.microsoft.com/office/drawing/2015/06/chart">
            <c:ext xmlns:c16="http://schemas.microsoft.com/office/drawing/2014/chart" uri="{C3380CC4-5D6E-409C-BE32-E72D297353CC}">
              <c16:uniqueId val="{00000000-542E-474D-B46D-0085A21C0809}"/>
            </c:ext>
          </c:extLst>
        </c:ser>
        <c:ser>
          <c:idx val="1"/>
          <c:order val="1"/>
          <c:tx>
            <c:strRef>
              <c:f>'[Диаграммы за 2018 год.xlsx]15 16 17'!$G$5</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17'!$H$5:$L$5</c:f>
              <c:numCache>
                <c:formatCode>General</c:formatCode>
                <c:ptCount val="5"/>
                <c:pt idx="2">
                  <c:v>621</c:v>
                </c:pt>
                <c:pt idx="3">
                  <c:v>580</c:v>
                </c:pt>
                <c:pt idx="4">
                  <c:v>583</c:v>
                </c:pt>
              </c:numCache>
            </c:numRef>
          </c:val>
          <c:extLst xmlns:c16r2="http://schemas.microsoft.com/office/drawing/2015/06/chart">
            <c:ext xmlns:c16="http://schemas.microsoft.com/office/drawing/2014/chart" uri="{C3380CC4-5D6E-409C-BE32-E72D297353CC}">
              <c16:uniqueId val="{00000001-542E-474D-B46D-0085A21C0809}"/>
            </c:ext>
          </c:extLst>
        </c:ser>
        <c:dLbls>
          <c:dLblPos val="ctr"/>
          <c:showLegendKey val="0"/>
          <c:showVal val="1"/>
          <c:showCatName val="0"/>
          <c:showSerName val="0"/>
          <c:showPercent val="0"/>
          <c:showBubbleSize val="0"/>
        </c:dLbls>
        <c:gapWidth val="150"/>
        <c:overlap val="100"/>
        <c:axId val="243351728"/>
        <c:axId val="243352120"/>
      </c:barChart>
      <c:catAx>
        <c:axId val="24335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43352120"/>
        <c:crosses val="autoZero"/>
        <c:auto val="1"/>
        <c:lblAlgn val="ctr"/>
        <c:lblOffset val="100"/>
        <c:noMultiLvlLbl val="0"/>
      </c:catAx>
      <c:valAx>
        <c:axId val="243352120"/>
        <c:scaling>
          <c:orientation val="minMax"/>
          <c:max val="1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3351728"/>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'[Диаграммы за 2018 год.xlsx]15 16 17'!$G$25</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17'!$H$25:$L$25</c:f>
              <c:numCache>
                <c:formatCode>General</c:formatCode>
                <c:ptCount val="5"/>
                <c:pt idx="0">
                  <c:v>2647</c:v>
                </c:pt>
                <c:pt idx="1">
                  <c:v>2542</c:v>
                </c:pt>
                <c:pt idx="2">
                  <c:v>336</c:v>
                </c:pt>
                <c:pt idx="3">
                  <c:v>436</c:v>
                </c:pt>
                <c:pt idx="4">
                  <c:v>383</c:v>
                </c:pt>
              </c:numCache>
            </c:numRef>
          </c:val>
          <c:extLst xmlns:c16r2="http://schemas.microsoft.com/office/drawing/2015/06/chart">
            <c:ext xmlns:c16="http://schemas.microsoft.com/office/drawing/2014/chart" uri="{C3380CC4-5D6E-409C-BE32-E72D297353CC}">
              <c16:uniqueId val="{00000000-1CE9-4723-8448-A0D6D49BBBCB}"/>
            </c:ext>
          </c:extLst>
        </c:ser>
        <c:ser>
          <c:idx val="1"/>
          <c:order val="1"/>
          <c:tx>
            <c:strRef>
              <c:f>'[Диаграммы за 2018 год.xlsx]15 16 17'!$G$26</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17'!$H$26:$L$26</c:f>
              <c:numCache>
                <c:formatCode>General</c:formatCode>
                <c:ptCount val="5"/>
                <c:pt idx="2">
                  <c:v>2583</c:v>
                </c:pt>
                <c:pt idx="3">
                  <c:v>2146</c:v>
                </c:pt>
                <c:pt idx="4">
                  <c:v>2132</c:v>
                </c:pt>
              </c:numCache>
            </c:numRef>
          </c:val>
          <c:extLst xmlns:c16r2="http://schemas.microsoft.com/office/drawing/2015/06/chart">
            <c:ext xmlns:c16="http://schemas.microsoft.com/office/drawing/2014/chart" uri="{C3380CC4-5D6E-409C-BE32-E72D297353CC}">
              <c16:uniqueId val="{00000001-1CE9-4723-8448-A0D6D49BBBCB}"/>
            </c:ext>
          </c:extLst>
        </c:ser>
        <c:dLbls>
          <c:dLblPos val="ctr"/>
          <c:showLegendKey val="0"/>
          <c:showVal val="1"/>
          <c:showCatName val="0"/>
          <c:showSerName val="0"/>
          <c:showPercent val="0"/>
          <c:showBubbleSize val="0"/>
        </c:dLbls>
        <c:gapWidth val="150"/>
        <c:overlap val="100"/>
        <c:axId val="243352904"/>
        <c:axId val="243353296"/>
      </c:barChart>
      <c:catAx>
        <c:axId val="24335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43353296"/>
        <c:crosses val="autoZero"/>
        <c:auto val="1"/>
        <c:lblAlgn val="ctr"/>
        <c:lblOffset val="100"/>
        <c:noMultiLvlLbl val="0"/>
      </c:catAx>
      <c:valAx>
        <c:axId val="243353296"/>
        <c:scaling>
          <c:orientation val="minMax"/>
          <c:max val="3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335290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год.xlsx]15 16 17'!$G$45</c:f>
              <c:strCache>
                <c:ptCount val="1"/>
                <c:pt idx="0">
                  <c:v>п.7 ч.1 ст.15</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17'!$H$45:$L$45</c:f>
              <c:numCache>
                <c:formatCode>General</c:formatCode>
                <c:ptCount val="5"/>
                <c:pt idx="0">
                  <c:v>476</c:v>
                </c:pt>
                <c:pt idx="1">
                  <c:v>578</c:v>
                </c:pt>
                <c:pt idx="2">
                  <c:v>71</c:v>
                </c:pt>
                <c:pt idx="3">
                  <c:v>77</c:v>
                </c:pt>
                <c:pt idx="4">
                  <c:v>55</c:v>
                </c:pt>
              </c:numCache>
            </c:numRef>
          </c:val>
        </c:ser>
        <c:ser>
          <c:idx val="1"/>
          <c:order val="1"/>
          <c:tx>
            <c:strRef>
              <c:f>'[Диаграммы за 2018 год.xlsx]15 16 17'!$G$46</c:f>
              <c:strCache>
                <c:ptCount val="1"/>
                <c:pt idx="0">
                  <c:v>ст.19-21</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dLbl>
              <c:idx val="0"/>
              <c:layout>
                <c:manualLayout>
                  <c:x val="-4.8996347570258757E-18"/>
                  <c:y val="-8.02867202242609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380471380470991E-3"/>
                  <c:y val="-4.014336011213047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760942760941981E-3"/>
                  <c:y val="-8.60214859545652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587812584243482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433347520971773E-3"/>
                  <c:y val="-6.8817188763652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17'!$H$46:$L$46</c:f>
              <c:numCache>
                <c:formatCode>General</c:formatCode>
                <c:ptCount val="5"/>
                <c:pt idx="0">
                  <c:v>78</c:v>
                </c:pt>
                <c:pt idx="1">
                  <c:v>30</c:v>
                </c:pt>
                <c:pt idx="2">
                  <c:v>9</c:v>
                </c:pt>
                <c:pt idx="3">
                  <c:v>6</c:v>
                </c:pt>
                <c:pt idx="4">
                  <c:v>3</c:v>
                </c:pt>
              </c:numCache>
            </c:numRef>
          </c:val>
        </c:ser>
        <c:dLbls>
          <c:showLegendKey val="0"/>
          <c:showVal val="1"/>
          <c:showCatName val="0"/>
          <c:showSerName val="0"/>
          <c:showPercent val="0"/>
          <c:showBubbleSize val="0"/>
        </c:dLbls>
        <c:axId val="243818304"/>
        <c:axId val="243818696"/>
      </c:areaChart>
      <c:catAx>
        <c:axId val="243818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43818696"/>
        <c:crosses val="autoZero"/>
        <c:auto val="1"/>
        <c:lblAlgn val="ctr"/>
        <c:lblOffset val="100"/>
        <c:noMultiLvlLbl val="0"/>
      </c:catAx>
      <c:valAx>
        <c:axId val="243818696"/>
        <c:scaling>
          <c:orientation val="minMax"/>
          <c:max val="6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3818304"/>
        <c:crosses val="autoZero"/>
        <c:crossBetween val="midCat"/>
        <c:majorUnit val="2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 (редакция с 09.04.2019).xlsx]1'!$G$13</c:f>
              <c:strCache>
                <c:ptCount val="1"/>
                <c:pt idx="0">
                  <c:v>органы власти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09.04.2019).xlsx]1'!$H$13:$L$13</c:f>
              <c:numCache>
                <c:formatCode>General</c:formatCode>
                <c:ptCount val="5"/>
                <c:pt idx="0">
                  <c:v>4477</c:v>
                </c:pt>
                <c:pt idx="1">
                  <c:v>3955</c:v>
                </c:pt>
                <c:pt idx="2">
                  <c:v>1284</c:v>
                </c:pt>
                <c:pt idx="3">
                  <c:v>1260</c:v>
                </c:pt>
                <c:pt idx="4">
                  <c:v>1092</c:v>
                </c:pt>
              </c:numCache>
            </c:numRef>
          </c:val>
          <c:extLst xmlns:c16r2="http://schemas.microsoft.com/office/drawing/2015/06/chart">
            <c:ext xmlns:c16="http://schemas.microsoft.com/office/drawing/2014/chart" uri="{C3380CC4-5D6E-409C-BE32-E72D297353CC}">
              <c16:uniqueId val="{00000000-7E2B-429D-ADF8-CE16938C831C}"/>
            </c:ext>
          </c:extLst>
        </c:ser>
        <c:ser>
          <c:idx val="2"/>
          <c:order val="2"/>
          <c:tx>
            <c:strRef>
              <c:f>'[Диаграммы за 2018 год (редакция с 09.04.2019).xlsx]1'!$G$14</c:f>
              <c:strCache>
                <c:ptCount val="1"/>
                <c:pt idx="0">
                  <c:v>статья 10</c:v>
                </c:pt>
              </c:strCache>
            </c:strRef>
          </c:tx>
          <c:spPr>
            <a:solidFill>
              <a:schemeClr val="accent3"/>
            </a:solidFill>
            <a:ln>
              <a:noFill/>
            </a:ln>
            <a:effectLst/>
          </c:spPr>
          <c:invertIfNegative val="0"/>
          <c:dLbls>
            <c:dLbl>
              <c:idx val="2"/>
              <c:layout>
                <c:manualLayout>
                  <c:x val="1.069023569023569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2B-429D-ADF8-CE16938C831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09.04.2019).xlsx]1'!$H$14:$L$14</c:f>
              <c:numCache>
                <c:formatCode>General</c:formatCode>
                <c:ptCount val="5"/>
                <c:pt idx="0">
                  <c:v>3091</c:v>
                </c:pt>
                <c:pt idx="1">
                  <c:v>3059</c:v>
                </c:pt>
                <c:pt idx="2">
                  <c:v>1340</c:v>
                </c:pt>
                <c:pt idx="3">
                  <c:v>847</c:v>
                </c:pt>
                <c:pt idx="4">
                  <c:v>685</c:v>
                </c:pt>
              </c:numCache>
            </c:numRef>
          </c:val>
          <c:extLst xmlns:c16r2="http://schemas.microsoft.com/office/drawing/2015/06/chart">
            <c:ext xmlns:c16="http://schemas.microsoft.com/office/drawing/2014/chart" uri="{C3380CC4-5D6E-409C-BE32-E72D297353CC}">
              <c16:uniqueId val="{00000002-7E2B-429D-ADF8-CE16938C831C}"/>
            </c:ext>
          </c:extLst>
        </c:ser>
        <c:ser>
          <c:idx val="3"/>
          <c:order val="3"/>
          <c:tx>
            <c:strRef>
              <c:f>'[Диаграммы за 2018 год (редакция с 09.04.2019).xlsx]1'!$G$15</c:f>
              <c:strCache>
                <c:ptCount val="1"/>
                <c:pt idx="0">
                  <c:v>статьи 14.1 - 14.8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09.04.2019).xlsx]1'!$H$15:$L$15</c:f>
              <c:numCache>
                <c:formatCode>General</c:formatCode>
                <c:ptCount val="5"/>
                <c:pt idx="0">
                  <c:v>1136</c:v>
                </c:pt>
                <c:pt idx="1">
                  <c:v>1113</c:v>
                </c:pt>
                <c:pt idx="2">
                  <c:v>453</c:v>
                </c:pt>
                <c:pt idx="3">
                  <c:v>409</c:v>
                </c:pt>
                <c:pt idx="4">
                  <c:v>517</c:v>
                </c:pt>
              </c:numCache>
            </c:numRef>
          </c:val>
          <c:extLst xmlns:c16r2="http://schemas.microsoft.com/office/drawing/2015/06/chart">
            <c:ext xmlns:c16="http://schemas.microsoft.com/office/drawing/2014/chart" uri="{C3380CC4-5D6E-409C-BE32-E72D297353CC}">
              <c16:uniqueId val="{00000003-7E2B-429D-ADF8-CE16938C831C}"/>
            </c:ext>
          </c:extLst>
        </c:ser>
        <c:ser>
          <c:idx val="4"/>
          <c:order val="4"/>
          <c:tx>
            <c:strRef>
              <c:f>'[Диаграммы за 2018 год (редакция с 09.04.2019).xlsx]1'!$G$16</c:f>
              <c:strCache>
                <c:ptCount val="1"/>
                <c:pt idx="0">
                  <c:v>статьи 11+11.1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09.04.2019).xlsx]1'!$H$16:$L$16</c:f>
              <c:numCache>
                <c:formatCode>General</c:formatCode>
                <c:ptCount val="5"/>
                <c:pt idx="0">
                  <c:v>319</c:v>
                </c:pt>
                <c:pt idx="1">
                  <c:v>375</c:v>
                </c:pt>
                <c:pt idx="2">
                  <c:v>360</c:v>
                </c:pt>
                <c:pt idx="3">
                  <c:v>420</c:v>
                </c:pt>
                <c:pt idx="4">
                  <c:v>437</c:v>
                </c:pt>
              </c:numCache>
            </c:numRef>
          </c:val>
          <c:extLst xmlns:c16r2="http://schemas.microsoft.com/office/drawing/2015/06/chart">
            <c:ext xmlns:c16="http://schemas.microsoft.com/office/drawing/2014/chart" uri="{C3380CC4-5D6E-409C-BE32-E72D297353CC}">
              <c16:uniqueId val="{00000004-7E2B-429D-ADF8-CE16938C831C}"/>
            </c:ext>
          </c:extLst>
        </c:ser>
        <c:dLbls>
          <c:showLegendKey val="0"/>
          <c:showVal val="1"/>
          <c:showCatName val="0"/>
          <c:showSerName val="0"/>
          <c:showPercent val="0"/>
          <c:showBubbleSize val="0"/>
        </c:dLbls>
        <c:gapWidth val="200"/>
        <c:overlap val="-100"/>
        <c:axId val="154435616"/>
        <c:axId val="180627856"/>
      </c:barChart>
      <c:lineChart>
        <c:grouping val="standard"/>
        <c:varyColors val="0"/>
        <c:ser>
          <c:idx val="0"/>
          <c:order val="0"/>
          <c:tx>
            <c:strRef>
              <c:f>'[Диаграммы за 2018 год (редакция с 09.04.2019).xlsx]1'!$G$12</c:f>
              <c:strCache>
                <c:ptCount val="1"/>
                <c:pt idx="0">
                  <c:v>всего</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09.04.2019).xlsx]1'!$H$12:$L$12</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5-7E2B-429D-ADF8-CE16938C831C}"/>
            </c:ext>
          </c:extLst>
        </c:ser>
        <c:dLbls>
          <c:showLegendKey val="0"/>
          <c:showVal val="1"/>
          <c:showCatName val="0"/>
          <c:showSerName val="0"/>
          <c:showPercent val="0"/>
          <c:showBubbleSize val="0"/>
        </c:dLbls>
        <c:marker val="1"/>
        <c:smooth val="0"/>
        <c:axId val="154435616"/>
        <c:axId val="180627856"/>
      </c:lineChart>
      <c:catAx>
        <c:axId val="15443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80627856"/>
        <c:crosses val="autoZero"/>
        <c:auto val="1"/>
        <c:lblAlgn val="ctr"/>
        <c:lblOffset val="100"/>
        <c:noMultiLvlLbl val="0"/>
      </c:catAx>
      <c:valAx>
        <c:axId val="180627856"/>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4435616"/>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год.xlsx]18'!$A$3:$A$7</c:f>
              <c:strCache>
                <c:ptCount val="5"/>
                <c:pt idx="0">
                  <c:v>Принято решений о том, что согласие антимонопольного органа не требуется</c:v>
                </c:pt>
                <c:pt idx="1">
                  <c:v>Принято решение о даче согласия на предоставление преференции</c:v>
                </c:pt>
                <c:pt idx="2">
                  <c:v>Принято решение о даче согласия и введении ограничения</c:v>
                </c:pt>
                <c:pt idx="3">
                  <c:v>Принято решение об отказе в предоставлении преференции</c:v>
                </c:pt>
                <c:pt idx="4">
                  <c:v>Рассмотрено заявлений о даче согласия на предоставление преференции</c:v>
                </c:pt>
              </c:strCache>
            </c:strRef>
          </c:cat>
          <c:val>
            <c:numRef>
              <c:f>'[Диаграммы за 2018 год.xlsx]18'!$B$3:$B$7</c:f>
              <c:numCache>
                <c:formatCode>General</c:formatCode>
                <c:ptCount val="5"/>
                <c:pt idx="0">
                  <c:v>183</c:v>
                </c:pt>
                <c:pt idx="1">
                  <c:v>1062</c:v>
                </c:pt>
                <c:pt idx="2">
                  <c:v>546</c:v>
                </c:pt>
                <c:pt idx="3">
                  <c:v>266</c:v>
                </c:pt>
                <c:pt idx="4">
                  <c:v>2057</c:v>
                </c:pt>
              </c:numCache>
            </c:numRef>
          </c:val>
        </c:ser>
        <c:dLbls>
          <c:dLblPos val="outEnd"/>
          <c:showLegendKey val="0"/>
          <c:showVal val="1"/>
          <c:showCatName val="0"/>
          <c:showSerName val="0"/>
          <c:showPercent val="0"/>
          <c:showBubbleSize val="0"/>
        </c:dLbls>
        <c:gapWidth val="100"/>
        <c:axId val="243819088"/>
        <c:axId val="243819480"/>
      </c:barChart>
      <c:catAx>
        <c:axId val="24381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43819480"/>
        <c:crosses val="autoZero"/>
        <c:auto val="1"/>
        <c:lblAlgn val="ctr"/>
        <c:lblOffset val="100"/>
        <c:noMultiLvlLbl val="0"/>
      </c:catAx>
      <c:valAx>
        <c:axId val="243819480"/>
        <c:scaling>
          <c:orientation val="minMax"/>
          <c:max val="24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3819088"/>
        <c:crosses val="autoZero"/>
        <c:crossBetween val="between"/>
        <c:majorUnit val="8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год.xlsx]19'!$E$3</c:f>
              <c:strCache>
                <c:ptCount val="1"/>
                <c:pt idx="0">
                  <c:v>кол-во</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год.xlsx]19'!$D$4:$D$8</c:f>
              <c:strCache>
                <c:ptCount val="5"/>
                <c:pt idx="0">
                  <c:v>2014</c:v>
                </c:pt>
                <c:pt idx="1">
                  <c:v>2015</c:v>
                </c:pt>
                <c:pt idx="2">
                  <c:v>2016</c:v>
                </c:pt>
                <c:pt idx="3">
                  <c:v>2017</c:v>
                </c:pt>
                <c:pt idx="4">
                  <c:v>2018</c:v>
                </c:pt>
              </c:strCache>
            </c:strRef>
          </c:cat>
          <c:val>
            <c:numRef>
              <c:f>'[Диаграммы за 2018 год.xlsx]19'!$E$4:$E$8</c:f>
              <c:numCache>
                <c:formatCode>General</c:formatCode>
                <c:ptCount val="5"/>
                <c:pt idx="0">
                  <c:v>226</c:v>
                </c:pt>
                <c:pt idx="1">
                  <c:v>173</c:v>
                </c:pt>
                <c:pt idx="2">
                  <c:v>78</c:v>
                </c:pt>
                <c:pt idx="3">
                  <c:v>73</c:v>
                </c:pt>
                <c:pt idx="4">
                  <c:v>121</c:v>
                </c:pt>
              </c:numCache>
            </c:numRef>
          </c:val>
          <c:smooth val="0"/>
        </c:ser>
        <c:dLbls>
          <c:dLblPos val="t"/>
          <c:showLegendKey val="0"/>
          <c:showVal val="1"/>
          <c:showCatName val="0"/>
          <c:showSerName val="0"/>
          <c:showPercent val="0"/>
          <c:showBubbleSize val="0"/>
        </c:dLbls>
        <c:marker val="1"/>
        <c:smooth val="0"/>
        <c:axId val="243820264"/>
        <c:axId val="243820656"/>
      </c:lineChart>
      <c:catAx>
        <c:axId val="24382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43820656"/>
        <c:crosses val="autoZero"/>
        <c:auto val="1"/>
        <c:lblAlgn val="ctr"/>
        <c:lblOffset val="100"/>
        <c:noMultiLvlLbl val="0"/>
      </c:catAx>
      <c:valAx>
        <c:axId val="243820656"/>
        <c:scaling>
          <c:orientation val="minMax"/>
          <c:max val="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3820264"/>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684012868820651E-2"/>
          <c:y val="3.2432432432432434E-2"/>
          <c:w val="0.54160042395336516"/>
          <c:h val="0.92072072072072075"/>
        </c:manualLayout>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241-46D4-9817-E9DAA8D9325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241-46D4-9817-E9DAA8D93251}"/>
              </c:ext>
            </c:extLst>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241-46D4-9817-E9DAA8D9325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241-46D4-9817-E9DAA8D93251}"/>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B241-46D4-9817-E9DAA8D9325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B241-46D4-9817-E9DAA8D9325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Лист1!$A$2:$A$10</c:f>
              <c:strCache>
                <c:ptCount val="8"/>
                <c:pt idx="0">
                  <c:v>Участки недр федерального значения</c:v>
                </c:pt>
                <c:pt idx="1">
                  <c:v>Субъекты естественных монополий</c:v>
                </c:pt>
                <c:pt idx="2">
                  <c:v>Конструирование и изготовление оборудования для ядерных установок</c:v>
                </c:pt>
                <c:pt idx="3">
                  <c:v>Обращение с ядерными материалами и радиоактивными веществами</c:v>
                </c:pt>
                <c:pt idx="4">
                  <c:v>Вооружение, военная техника, взрывчатые материалы</c:v>
                </c:pt>
                <c:pt idx="5">
                  <c:v>Оказание услуг в портах РФ</c:v>
                </c:pt>
                <c:pt idx="6">
                  <c:v>Возбудители инфекционных заболеваний</c:v>
                </c:pt>
                <c:pt idx="7">
                  <c:v>Водные биоресурсы</c:v>
                </c:pt>
              </c:strCache>
            </c:strRef>
          </c:cat>
          <c:val>
            <c:numRef>
              <c:f>Лист1!$B$2:$B$10</c:f>
              <c:numCache>
                <c:formatCode>0</c:formatCode>
                <c:ptCount val="9"/>
                <c:pt idx="0">
                  <c:v>5</c:v>
                </c:pt>
                <c:pt idx="1">
                  <c:v>3</c:v>
                </c:pt>
                <c:pt idx="2">
                  <c:v>1</c:v>
                </c:pt>
                <c:pt idx="3">
                  <c:v>1</c:v>
                </c:pt>
                <c:pt idx="4">
                  <c:v>5</c:v>
                </c:pt>
                <c:pt idx="5">
                  <c:v>1</c:v>
                </c:pt>
                <c:pt idx="6">
                  <c:v>2</c:v>
                </c:pt>
                <c:pt idx="7">
                  <c:v>1</c:v>
                </c:pt>
              </c:numCache>
            </c:numRef>
          </c:val>
          <c:extLst xmlns:c16r2="http://schemas.microsoft.com/office/drawing/2015/06/chart">
            <c:ext xmlns:c16="http://schemas.microsoft.com/office/drawing/2014/chart" uri="{C3380CC4-5D6E-409C-BE32-E72D297353CC}">
              <c16:uniqueId val="{0000000E-B241-46D4-9817-E9DAA8D93251}"/>
            </c:ext>
          </c:extLst>
        </c:ser>
        <c:dLbls>
          <c:showLegendKey val="0"/>
          <c:showVal val="0"/>
          <c:showCatName val="0"/>
          <c:showSerName val="0"/>
          <c:showPercent val="0"/>
          <c:showBubbleSize val="0"/>
          <c:showLeaderLines val="1"/>
        </c:dLbls>
        <c:firstSliceAng val="10"/>
      </c:pieChart>
      <c:spPr>
        <a:noFill/>
        <a:ln>
          <a:noFill/>
        </a:ln>
        <a:effectLst/>
      </c:spPr>
    </c:plotArea>
    <c:legend>
      <c:legendPos val="r"/>
      <c:layout>
        <c:manualLayout>
          <c:xMode val="edge"/>
          <c:yMode val="edge"/>
          <c:x val="0.64423336714123991"/>
          <c:y val="1.2463056002555067E-2"/>
          <c:w val="0.35387181893551389"/>
          <c:h val="0.982289291309808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spc="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Российская Федерация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2.3516835916622129E-2"/>
                  <c:y val="-5.1679586563307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Лист1!$B$2</c:f>
              <c:numCache>
                <c:formatCode>0</c:formatCode>
                <c:ptCount val="1"/>
                <c:pt idx="0">
                  <c:v>9</c:v>
                </c:pt>
              </c:numCache>
            </c:numRef>
          </c:val>
          <c:extLst xmlns:c16r2="http://schemas.microsoft.com/office/drawing/2015/06/chart">
            <c:ext xmlns:c16="http://schemas.microsoft.com/office/drawing/2014/chart" uri="{C3380CC4-5D6E-409C-BE32-E72D297353CC}">
              <c16:uniqueId val="{00000001-0E44-4533-B31E-1E210B5C0AB4}"/>
            </c:ext>
          </c:extLst>
        </c:ser>
        <c:ser>
          <c:idx val="1"/>
          <c:order val="1"/>
          <c:tx>
            <c:strRef>
              <c:f>Лист1!$C$1</c:f>
              <c:strCache>
                <c:ptCount val="1"/>
                <c:pt idx="0">
                  <c:v>Кипр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9241047568145375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Лист1!$C$2</c:f>
              <c:numCache>
                <c:formatCode>0</c:formatCode>
                <c:ptCount val="1"/>
                <c:pt idx="0">
                  <c:v>2</c:v>
                </c:pt>
              </c:numCache>
            </c:numRef>
          </c:val>
          <c:extLst xmlns:c16r2="http://schemas.microsoft.com/office/drawing/2015/06/chart">
            <c:ext xmlns:c16="http://schemas.microsoft.com/office/drawing/2014/chart" uri="{C3380CC4-5D6E-409C-BE32-E72D297353CC}">
              <c16:uniqueId val="{00000003-0E44-4533-B31E-1E210B5C0AB4}"/>
            </c:ext>
          </c:extLst>
        </c:ser>
        <c:ser>
          <c:idx val="2"/>
          <c:order val="2"/>
          <c:tx>
            <c:strRef>
              <c:f>Лист1!$D$1</c:f>
              <c:strCache>
                <c:ptCount val="1"/>
                <c:pt idx="0">
                  <c:v>ОАЭ</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1.2827365045430172E-2"/>
                  <c:y val="-6.2015503875968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Лист1!$D$2</c:f>
              <c:numCache>
                <c:formatCode>0</c:formatCode>
                <c:ptCount val="1"/>
                <c:pt idx="0">
                  <c:v>1</c:v>
                </c:pt>
              </c:numCache>
            </c:numRef>
          </c:val>
          <c:extLst xmlns:c16r2="http://schemas.microsoft.com/office/drawing/2015/06/chart">
            <c:ext xmlns:c16="http://schemas.microsoft.com/office/drawing/2014/chart" uri="{C3380CC4-5D6E-409C-BE32-E72D297353CC}">
              <c16:uniqueId val="{00000005-0E44-4533-B31E-1E210B5C0AB4}"/>
            </c:ext>
          </c:extLst>
        </c:ser>
        <c:ser>
          <c:idx val="3"/>
          <c:order val="3"/>
          <c:tx>
            <c:strRef>
              <c:f>Лист1!$E$1</c:f>
              <c:strCache>
                <c:ptCount val="1"/>
                <c:pt idx="0">
                  <c:v>Германия</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dLbl>
              <c:idx val="0"/>
              <c:layout>
                <c:manualLayout>
                  <c:x val="1.2827365045430252E-2"/>
                  <c:y val="-4.13436692506460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Лист1!$E$2</c:f>
              <c:numCache>
                <c:formatCode>0</c:formatCode>
                <c:ptCount val="1"/>
                <c:pt idx="0">
                  <c:v>2</c:v>
                </c:pt>
              </c:numCache>
            </c:numRef>
          </c:val>
          <c:extLst xmlns:c16r2="http://schemas.microsoft.com/office/drawing/2015/06/chart">
            <c:ext xmlns:c16="http://schemas.microsoft.com/office/drawing/2014/chart" uri="{C3380CC4-5D6E-409C-BE32-E72D297353CC}">
              <c16:uniqueId val="{00000007-0E44-4533-B31E-1E210B5C0AB4}"/>
            </c:ext>
          </c:extLst>
        </c:ser>
        <c:ser>
          <c:idx val="4"/>
          <c:order val="4"/>
          <c:tx>
            <c:strRef>
              <c:f>Лист1!$F$1</c:f>
              <c:strCache>
                <c:ptCount val="1"/>
                <c:pt idx="0">
                  <c:v>Великобритания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965259219668627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Лист1!$F$2</c:f>
              <c:numCache>
                <c:formatCode>0</c:formatCode>
                <c:ptCount val="1"/>
                <c:pt idx="0">
                  <c:v>1</c:v>
                </c:pt>
              </c:numCache>
            </c:numRef>
          </c:val>
          <c:extLst xmlns:c16r2="http://schemas.microsoft.com/office/drawing/2015/06/chart">
            <c:ext xmlns:c16="http://schemas.microsoft.com/office/drawing/2014/chart" uri="{C3380CC4-5D6E-409C-BE32-E72D297353CC}">
              <c16:uniqueId val="{00000009-0E44-4533-B31E-1E210B5C0AB4}"/>
            </c:ext>
          </c:extLst>
        </c:ser>
        <c:ser>
          <c:idx val="5"/>
          <c:order val="5"/>
          <c:tx>
            <c:strRef>
              <c:f>Лист1!$G$1</c:f>
              <c:strCache>
                <c:ptCount val="1"/>
                <c:pt idx="0">
                  <c:v>Швейцария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2.137894174238297E-3"/>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Лист1!$G$2</c:f>
              <c:numCache>
                <c:formatCode>0</c:formatCode>
                <c:ptCount val="1"/>
                <c:pt idx="0">
                  <c:v>1</c:v>
                </c:pt>
              </c:numCache>
            </c:numRef>
          </c:val>
          <c:extLst xmlns:c16r2="http://schemas.microsoft.com/office/drawing/2015/06/chart">
            <c:ext xmlns:c16="http://schemas.microsoft.com/office/drawing/2014/chart" uri="{C3380CC4-5D6E-409C-BE32-E72D297353CC}">
              <c16:uniqueId val="{0000000B-0E44-4533-B31E-1E210B5C0AB4}"/>
            </c:ext>
          </c:extLst>
        </c:ser>
        <c:ser>
          <c:idx val="6"/>
          <c:order val="6"/>
          <c:tx>
            <c:strRef>
              <c:f>Лист1!$H$1</c:f>
              <c:strCache>
                <c:ptCount val="1"/>
                <c:pt idx="0">
                  <c:v>Казахстан</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dLbl>
              <c:idx val="0"/>
              <c:layout>
                <c:manualLayout>
                  <c:x val="2.351683591662204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Лист1!$H$2</c:f>
              <c:numCache>
                <c:formatCode>0</c:formatCode>
                <c:ptCount val="1"/>
                <c:pt idx="0">
                  <c:v>1</c:v>
                </c:pt>
              </c:numCache>
            </c:numRef>
          </c:val>
          <c:extLst xmlns:c16r2="http://schemas.microsoft.com/office/drawing/2015/06/chart">
            <c:ext xmlns:c16="http://schemas.microsoft.com/office/drawing/2014/chart" uri="{C3380CC4-5D6E-409C-BE32-E72D297353CC}">
              <c16:uniqueId val="{0000000D-0E44-4533-B31E-1E210B5C0AB4}"/>
            </c:ext>
          </c:extLst>
        </c:ser>
        <c:ser>
          <c:idx val="7"/>
          <c:order val="7"/>
          <c:tx>
            <c:strRef>
              <c:f>Лист1!$I$1</c:f>
              <c:strCache>
                <c:ptCount val="1"/>
                <c:pt idx="0">
                  <c:v>Норвегия</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dLbl>
              <c:idx val="0"/>
              <c:layout>
                <c:manualLayout>
                  <c:x val="2.5654730090860504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Лист1!$I$2</c:f>
              <c:numCache>
                <c:formatCode>0</c:formatCode>
                <c:ptCount val="1"/>
                <c:pt idx="0">
                  <c:v>1</c:v>
                </c:pt>
              </c:numCache>
            </c:numRef>
          </c:val>
          <c:extLst xmlns:c16r2="http://schemas.microsoft.com/office/drawing/2015/06/chart">
            <c:ext xmlns:c16="http://schemas.microsoft.com/office/drawing/2014/chart" uri="{C3380CC4-5D6E-409C-BE32-E72D297353CC}">
              <c16:uniqueId val="{0000000F-0E44-4533-B31E-1E210B5C0AB4}"/>
            </c:ext>
          </c:extLst>
        </c:ser>
        <c:ser>
          <c:idx val="8"/>
          <c:order val="8"/>
          <c:tx>
            <c:strRef>
              <c:f>Лист1!$J$1</c:f>
              <c:strCache>
                <c:ptCount val="1"/>
                <c:pt idx="0">
                  <c:v>Катар</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invertIfNegative val="0"/>
          <c:dLbls>
            <c:dLbl>
              <c:idx val="0"/>
              <c:layout>
                <c:manualLayout>
                  <c:x val="2.351683591662212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Лист1!$J$2</c:f>
              <c:numCache>
                <c:formatCode>0</c:formatCode>
                <c:ptCount val="1"/>
                <c:pt idx="0">
                  <c:v>1</c:v>
                </c:pt>
              </c:numCache>
            </c:numRef>
          </c:val>
          <c:extLst xmlns:c16r2="http://schemas.microsoft.com/office/drawing/2015/06/chart">
            <c:ext xmlns:c16="http://schemas.microsoft.com/office/drawing/2014/chart" uri="{C3380CC4-5D6E-409C-BE32-E72D297353CC}">
              <c16:uniqueId val="{00000011-0E44-4533-B31E-1E210B5C0AB4}"/>
            </c:ext>
          </c:extLst>
        </c:ser>
        <c:dLbls>
          <c:showLegendKey val="0"/>
          <c:showVal val="0"/>
          <c:showCatName val="0"/>
          <c:showSerName val="0"/>
          <c:showPercent val="0"/>
          <c:showBubbleSize val="0"/>
        </c:dLbls>
        <c:gapWidth val="150"/>
        <c:shape val="box"/>
        <c:axId val="243821832"/>
        <c:axId val="244153784"/>
        <c:axId val="0"/>
      </c:bar3DChart>
      <c:catAx>
        <c:axId val="243821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44153784"/>
        <c:crosses val="autoZero"/>
        <c:auto val="1"/>
        <c:lblAlgn val="ctr"/>
        <c:lblOffset val="100"/>
        <c:noMultiLvlLbl val="0"/>
      </c:catAx>
      <c:valAx>
        <c:axId val="2441537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438218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userShapes r:id="rId5"/>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sideWall>
    <c:back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backWall>
    <c:plotArea>
      <c:layout/>
      <c:bar3DChart>
        <c:barDir val="col"/>
        <c:grouping val="clustered"/>
        <c:varyColors val="0"/>
        <c:ser>
          <c:idx val="0"/>
          <c:order val="0"/>
          <c:invertIfNegative val="0"/>
          <c:dLbls>
            <c:dLbl>
              <c:idx val="2"/>
              <c:tx>
                <c:rich>
                  <a:bodyPr/>
                  <a:lstStyle/>
                  <a:p>
                    <a:r>
                      <a:rPr lang="en-US"/>
                      <a:t>2 570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2 172</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 2 925</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2 462</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2 231</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7 871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'[Диаграммы 4 квартал.xls]II квартал 2011 года'!$A$1:$J$2</c:f>
              <c:multiLvlStrCache>
                <c:ptCount val="10"/>
                <c:lvl>
                  <c:pt idx="0">
                    <c:v>плановые проверки</c:v>
                  </c:pt>
                  <c:pt idx="1">
                    <c:v>внеплановые проверки (федеральный уровень)</c:v>
                  </c:pt>
                  <c:pt idx="2">
                    <c:v>внеплановые проверки (уровень субъекта)</c:v>
                  </c:pt>
                  <c:pt idx="3">
                    <c:v>внеплановые проверки (муниципальный уровень)</c:v>
                  </c:pt>
                  <c:pt idx="4">
                    <c:v>Всего осуществлено проверок</c:v>
                  </c:pt>
                  <c:pt idx="5">
                    <c:v>плановые проверки </c:v>
                  </c:pt>
                  <c:pt idx="6">
                    <c:v>внеплановые проверки (федеральный уровень)</c:v>
                  </c:pt>
                  <c:pt idx="7">
                    <c:v>внеплановые проверки (уровень субъекта)</c:v>
                  </c:pt>
                  <c:pt idx="8">
                    <c:v>внеплановые проверки (муниципальный уровень)</c:v>
                  </c:pt>
                  <c:pt idx="9">
                    <c:v>Всего осуществлено проверок</c:v>
                  </c:pt>
                </c:lvl>
                <c:lvl>
                  <c:pt idx="0">
                    <c:v>2018 год</c:v>
                  </c:pt>
                  <c:pt idx="5">
                    <c:v>2017 год</c:v>
                  </c:pt>
                </c:lvl>
              </c:multiLvlStrCache>
            </c:multiLvlStrRef>
          </c:cat>
          <c:val>
            <c:numRef>
              <c:f>'[Диаграммы 4 квартал.xls]II квартал 2011 года'!$A$3:$J$3</c:f>
              <c:numCache>
                <c:formatCode>#,##0</c:formatCode>
                <c:ptCount val="10"/>
                <c:pt idx="0" formatCode="General">
                  <c:v>200</c:v>
                </c:pt>
                <c:pt idx="1">
                  <c:v>2148</c:v>
                </c:pt>
                <c:pt idx="2" formatCode="General">
                  <c:v>2570</c:v>
                </c:pt>
                <c:pt idx="3" formatCode="General">
                  <c:v>2172</c:v>
                </c:pt>
                <c:pt idx="4">
                  <c:v>7090</c:v>
                </c:pt>
                <c:pt idx="5" formatCode="General">
                  <c:v>253</c:v>
                </c:pt>
                <c:pt idx="6" formatCode="General">
                  <c:v>2925</c:v>
                </c:pt>
                <c:pt idx="7" formatCode="General">
                  <c:v>2462</c:v>
                </c:pt>
                <c:pt idx="8" formatCode="General">
                  <c:v>2231</c:v>
                </c:pt>
                <c:pt idx="9" formatCode="General">
                  <c:v>7871</c:v>
                </c:pt>
              </c:numCache>
            </c:numRef>
          </c:val>
        </c:ser>
        <c:dLbls>
          <c:showLegendKey val="0"/>
          <c:showVal val="0"/>
          <c:showCatName val="0"/>
          <c:showSerName val="0"/>
          <c:showPercent val="0"/>
          <c:showBubbleSize val="0"/>
        </c:dLbls>
        <c:gapWidth val="150"/>
        <c:shape val="cylinder"/>
        <c:axId val="244154568"/>
        <c:axId val="244154960"/>
        <c:axId val="0"/>
      </c:bar3DChart>
      <c:catAx>
        <c:axId val="244154568"/>
        <c:scaling>
          <c:orientation val="minMax"/>
        </c:scaling>
        <c:delete val="0"/>
        <c:axPos val="b"/>
        <c:numFmt formatCode="General" sourceLinked="1"/>
        <c:majorTickMark val="out"/>
        <c:minorTickMark val="none"/>
        <c:tickLblPos val="nextTo"/>
        <c:txPr>
          <a:bodyPr rot="-5400000" vert="horz"/>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44154960"/>
        <c:crosses val="autoZero"/>
        <c:auto val="1"/>
        <c:lblAlgn val="ctr"/>
        <c:lblOffset val="100"/>
        <c:noMultiLvlLbl val="0"/>
      </c:catAx>
      <c:valAx>
        <c:axId val="244154960"/>
        <c:scaling>
          <c:orientation val="minMax"/>
        </c:scaling>
        <c:delete val="0"/>
        <c:axPos val="l"/>
        <c:numFmt formatCode="General" sourceLinked="1"/>
        <c:majorTickMark val="out"/>
        <c:minorTickMark val="none"/>
        <c:tickLblPos val="nextTo"/>
        <c:txPr>
          <a:bodyPr rot="0" vert="horz"/>
          <a:lstStyle/>
          <a:p>
            <a:pPr>
              <a:defRPr/>
            </a:pPr>
            <a:endParaRPr lang="ru-RU"/>
          </a:p>
        </c:txPr>
        <c:crossAx val="244154568"/>
        <c:crosses val="autoZero"/>
        <c:crossBetween val="between"/>
        <c:minorUnit val="5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0"/>
                  <c:y val="-2.83687943262411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7183258575621759E-17"/>
                  <c:y val="-4.609929078014186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546099290780144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418439716312057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595614316773942E-3"/>
                  <c:y val="-2.127659574468086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5595614316775087E-3"/>
                  <c:y val="-2.48226950354609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года'!$A$29:$F$30</c:f>
              <c:multiLvlStrCache>
                <c:ptCount val="6"/>
                <c:lvl>
                  <c:pt idx="0">
                    <c:v>поступило жалоб</c:v>
                  </c:pt>
                  <c:pt idx="1">
                    <c:v>жалоб рассмотрено по существу</c:v>
                  </c:pt>
                  <c:pt idx="2">
                    <c:v>признано обоснованными</c:v>
                  </c:pt>
                  <c:pt idx="3">
                    <c:v>поступило жалоб</c:v>
                  </c:pt>
                  <c:pt idx="4">
                    <c:v>жалоб рассмотрено по существу</c:v>
                  </c:pt>
                  <c:pt idx="5">
                    <c:v>признано обоснованными</c:v>
                  </c:pt>
                </c:lvl>
                <c:lvl>
                  <c:pt idx="0">
                    <c:v>2018 год</c:v>
                  </c:pt>
                  <c:pt idx="3">
                    <c:v>2017 год</c:v>
                  </c:pt>
                </c:lvl>
              </c:multiLvlStrCache>
            </c:multiLvlStrRef>
          </c:cat>
          <c:val>
            <c:numRef>
              <c:f>'[Диаграммы 4 квартал.xls]II квартал 2011 года'!$A$31:$F$31</c:f>
              <c:numCache>
                <c:formatCode>#,##0</c:formatCode>
                <c:ptCount val="6"/>
                <c:pt idx="0">
                  <c:v>83385</c:v>
                </c:pt>
                <c:pt idx="1">
                  <c:v>64014</c:v>
                </c:pt>
                <c:pt idx="2">
                  <c:v>28015</c:v>
                </c:pt>
                <c:pt idx="3">
                  <c:v>89333</c:v>
                </c:pt>
                <c:pt idx="4">
                  <c:v>67385</c:v>
                </c:pt>
                <c:pt idx="5">
                  <c:v>31719</c:v>
                </c:pt>
              </c:numCache>
            </c:numRef>
          </c:val>
        </c:ser>
        <c:dLbls>
          <c:showLegendKey val="0"/>
          <c:showVal val="0"/>
          <c:showCatName val="0"/>
          <c:showSerName val="0"/>
          <c:showPercent val="0"/>
          <c:showBubbleSize val="0"/>
        </c:dLbls>
        <c:gapWidth val="150"/>
        <c:shape val="cylinder"/>
        <c:axId val="244155744"/>
        <c:axId val="244156136"/>
        <c:axId val="0"/>
      </c:bar3DChart>
      <c:catAx>
        <c:axId val="244155744"/>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44156136"/>
        <c:crosses val="autoZero"/>
        <c:auto val="1"/>
        <c:lblAlgn val="ctr"/>
        <c:lblOffset val="100"/>
        <c:noMultiLvlLbl val="0"/>
      </c:catAx>
      <c:valAx>
        <c:axId val="244156136"/>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44155744"/>
        <c:crosses val="autoZero"/>
        <c:crossBetween val="between"/>
        <c:majorUnit val="200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Lbls>
            <c:dLbl>
              <c:idx val="0"/>
              <c:layout>
                <c:manualLayout>
                  <c:x val="-2.9102229834092826E-17"/>
                  <c:y val="-4.8543689320388349E-2"/>
                </c:manualLayout>
              </c:layout>
              <c:tx>
                <c:rich>
                  <a:bodyPr/>
                  <a:lstStyle/>
                  <a:p>
                    <a:r>
                      <a:rPr lang="en-US"/>
                      <a:t>2 561</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5244761538115993E-3"/>
                  <c:y val="-4.8543689320388349E-2"/>
                </c:manualLayout>
              </c:layout>
              <c:tx>
                <c:rich>
                  <a:bodyPr/>
                  <a:lstStyle/>
                  <a:p>
                    <a:r>
                      <a:rPr lang="en-US"/>
                      <a:t>2 371</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6.3497017220222442E-3"/>
                  <c:y val="-1.6435842093342392E-2"/>
                </c:manualLayout>
              </c:layout>
              <c:tx>
                <c:rich>
                  <a:bodyPr/>
                  <a:lstStyle/>
                  <a:p>
                    <a:r>
                      <a:rPr lang="en-US"/>
                      <a:t>2 763</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9.5244761538115404E-3"/>
                  <c:y val="-2.9126213592233038E-2"/>
                </c:manualLayout>
              </c:layout>
              <c:tx>
                <c:rich>
                  <a:bodyPr/>
                  <a:lstStyle/>
                  <a:p>
                    <a:r>
                      <a:rPr lang="en-US"/>
                      <a:t>2 524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года'!$A$111:$D$112</c:f>
              <c:multiLvlStrCache>
                <c:ptCount val="4"/>
                <c:lvl>
                  <c:pt idx="0">
                    <c:v>Количество рассмотренных обращений о согласовании возможности заключения контракта с единственным поставщиком</c:v>
                  </c:pt>
                  <c:pt idx="1">
                    <c:v>Количество согласованных обращений</c:v>
                  </c:pt>
                  <c:pt idx="2">
                    <c:v>Количество рассмотренных обращений о согласовании возможности заключения контракта с единственным поставщиком</c:v>
                  </c:pt>
                  <c:pt idx="3">
                    <c:v>Количество согласованных обращений</c:v>
                  </c:pt>
                </c:lvl>
                <c:lvl>
                  <c:pt idx="0">
                    <c:v>2018 год</c:v>
                  </c:pt>
                  <c:pt idx="2">
                    <c:v>2017 год</c:v>
                  </c:pt>
                </c:lvl>
              </c:multiLvlStrCache>
            </c:multiLvlStrRef>
          </c:cat>
          <c:val>
            <c:numRef>
              <c:f>'[Диаграммы 4 квартал.xls]II квартал 2011 года'!$A$113:$D$113</c:f>
              <c:numCache>
                <c:formatCode>General</c:formatCode>
                <c:ptCount val="4"/>
                <c:pt idx="0">
                  <c:v>2551</c:v>
                </c:pt>
                <c:pt idx="1">
                  <c:v>2371</c:v>
                </c:pt>
                <c:pt idx="2">
                  <c:v>2763</c:v>
                </c:pt>
                <c:pt idx="3">
                  <c:v>2524</c:v>
                </c:pt>
              </c:numCache>
            </c:numRef>
          </c:val>
        </c:ser>
        <c:dLbls>
          <c:showLegendKey val="0"/>
          <c:showVal val="0"/>
          <c:showCatName val="0"/>
          <c:showSerName val="0"/>
          <c:showPercent val="0"/>
          <c:showBubbleSize val="0"/>
        </c:dLbls>
        <c:gapWidth val="150"/>
        <c:shape val="cylinder"/>
        <c:axId val="244156920"/>
        <c:axId val="244157312"/>
        <c:axId val="0"/>
      </c:bar3DChart>
      <c:catAx>
        <c:axId val="24415692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44157312"/>
        <c:crosses val="autoZero"/>
        <c:auto val="1"/>
        <c:lblAlgn val="ctr"/>
        <c:lblOffset val="100"/>
        <c:noMultiLvlLbl val="0"/>
      </c:catAx>
      <c:valAx>
        <c:axId val="244157312"/>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44156920"/>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4.6896550026371327E-3"/>
                  <c:y val="-4.33333333333333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7317343452944883E-17"/>
                  <c:y val="-4.666666666666666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632183342123873E-3"/>
                  <c:y val="-3.33333333333333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463468690588977E-16"/>
                  <c:y val="-3.33333333333333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года'!$A$57:$D$58</c:f>
              <c:multiLvlStrCache>
                <c:ptCount val="4"/>
                <c:lvl>
                  <c:pt idx="0">
                    <c:v>Возбуждено дел</c:v>
                  </c:pt>
                  <c:pt idx="1">
                    <c:v>Вынесено постановлений о наложении штрафа</c:v>
                  </c:pt>
                  <c:pt idx="2">
                    <c:v>Возбуждено дел</c:v>
                  </c:pt>
                  <c:pt idx="3">
                    <c:v>Вынесено постановлений о наложении штрафа</c:v>
                  </c:pt>
                </c:lvl>
                <c:lvl>
                  <c:pt idx="0">
                    <c:v>2018 год</c:v>
                  </c:pt>
                  <c:pt idx="2">
                    <c:v>2017 год</c:v>
                  </c:pt>
                </c:lvl>
              </c:multiLvlStrCache>
            </c:multiLvlStrRef>
          </c:cat>
          <c:val>
            <c:numRef>
              <c:f>'[Диаграммы 4 квартал.xls]II квартал 2011 года'!$A$59:$D$59</c:f>
              <c:numCache>
                <c:formatCode>#,##0</c:formatCode>
                <c:ptCount val="4"/>
                <c:pt idx="0">
                  <c:v>30377</c:v>
                </c:pt>
                <c:pt idx="1">
                  <c:v>25357</c:v>
                </c:pt>
                <c:pt idx="2">
                  <c:v>23830</c:v>
                </c:pt>
                <c:pt idx="3">
                  <c:v>20125</c:v>
                </c:pt>
              </c:numCache>
            </c:numRef>
          </c:val>
        </c:ser>
        <c:dLbls>
          <c:showLegendKey val="0"/>
          <c:showVal val="0"/>
          <c:showCatName val="0"/>
          <c:showSerName val="0"/>
          <c:showPercent val="0"/>
          <c:showBubbleSize val="0"/>
        </c:dLbls>
        <c:gapWidth val="150"/>
        <c:shape val="cylinder"/>
        <c:axId val="244315704"/>
        <c:axId val="244316096"/>
        <c:axId val="0"/>
      </c:bar3DChart>
      <c:catAx>
        <c:axId val="24431570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44316096"/>
        <c:crosses val="autoZero"/>
        <c:auto val="1"/>
        <c:lblAlgn val="ctr"/>
        <c:lblOffset val="100"/>
        <c:noMultiLvlLbl val="0"/>
      </c:catAx>
      <c:valAx>
        <c:axId val="244316096"/>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44315704"/>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3.4952452967277484E-3"/>
                  <c:y val="-4.41501103752759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415011037527594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952452967276205E-3"/>
                  <c:y val="-6.181015452538631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904905934554968E-3"/>
                  <c:y val="-3.53200883002207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года'!$A$84:$D$85</c:f>
              <c:multiLvlStrCache>
                <c:ptCount val="4"/>
                <c:lvl>
                  <c:pt idx="0">
                    <c:v>Рассмотрено обращений</c:v>
                  </c:pt>
                  <c:pt idx="1">
                    <c:v>Включено в реестр</c:v>
                  </c:pt>
                  <c:pt idx="2">
                    <c:v>Рассмотрено обращений</c:v>
                  </c:pt>
                  <c:pt idx="3">
                    <c:v>Включено в реестр</c:v>
                  </c:pt>
                </c:lvl>
                <c:lvl>
                  <c:pt idx="0">
                    <c:v>2018 год</c:v>
                  </c:pt>
                  <c:pt idx="2">
                    <c:v>2017 год</c:v>
                  </c:pt>
                </c:lvl>
              </c:multiLvlStrCache>
            </c:multiLvlStrRef>
          </c:cat>
          <c:val>
            <c:numRef>
              <c:f>'[Диаграммы 4 квартал.xls]II квартал 2011 года'!$A$86:$D$86</c:f>
              <c:numCache>
                <c:formatCode>#,##0</c:formatCode>
                <c:ptCount val="4"/>
                <c:pt idx="0">
                  <c:v>14117</c:v>
                </c:pt>
                <c:pt idx="1">
                  <c:v>7082</c:v>
                </c:pt>
                <c:pt idx="2">
                  <c:v>11902</c:v>
                </c:pt>
                <c:pt idx="3">
                  <c:v>5567</c:v>
                </c:pt>
              </c:numCache>
            </c:numRef>
          </c:val>
        </c:ser>
        <c:dLbls>
          <c:showLegendKey val="0"/>
          <c:showVal val="0"/>
          <c:showCatName val="0"/>
          <c:showSerName val="0"/>
          <c:showPercent val="0"/>
          <c:showBubbleSize val="0"/>
        </c:dLbls>
        <c:gapWidth val="150"/>
        <c:shape val="cylinder"/>
        <c:axId val="244316880"/>
        <c:axId val="244317272"/>
        <c:axId val="0"/>
      </c:bar3DChart>
      <c:catAx>
        <c:axId val="24431688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244317272"/>
        <c:crosses val="autoZero"/>
        <c:auto val="1"/>
        <c:lblAlgn val="ctr"/>
        <c:lblOffset val="100"/>
        <c:noMultiLvlLbl val="0"/>
      </c:catAx>
      <c:valAx>
        <c:axId val="244317272"/>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44316880"/>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4'!$G$7</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4'!$H$7:$L$7</c:f>
              <c:numCache>
                <c:formatCode>General</c:formatCode>
                <c:ptCount val="5"/>
                <c:pt idx="0">
                  <c:v>8109</c:v>
                </c:pt>
                <c:pt idx="1">
                  <c:v>7595</c:v>
                </c:pt>
                <c:pt idx="2">
                  <c:v>2734</c:v>
                </c:pt>
                <c:pt idx="3">
                  <c:v>2621</c:v>
                </c:pt>
                <c:pt idx="4">
                  <c:v>2486</c:v>
                </c:pt>
              </c:numCache>
            </c:numRef>
          </c:val>
          <c:extLst xmlns:c16r2="http://schemas.microsoft.com/office/drawing/2015/06/chart">
            <c:ext xmlns:c16="http://schemas.microsoft.com/office/drawing/2014/chart" uri="{C3380CC4-5D6E-409C-BE32-E72D297353CC}">
              <c16:uniqueId val="{00000000-65B9-4084-BB12-E9D1990DA9A9}"/>
            </c:ext>
          </c:extLst>
        </c:ser>
        <c:ser>
          <c:idx val="1"/>
          <c:order val="1"/>
          <c:tx>
            <c:strRef>
              <c:f>'[Диаграммы за 2018 год (редакция с 09.04.2019).xlsx]2 4'!$G$8</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4'!$H$8:$L$8</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65B9-4084-BB12-E9D1990DA9A9}"/>
            </c:ext>
          </c:extLst>
        </c:ser>
        <c:dLbls>
          <c:showLegendKey val="0"/>
          <c:showVal val="1"/>
          <c:showCatName val="0"/>
          <c:showSerName val="0"/>
          <c:showPercent val="0"/>
          <c:showBubbleSize val="0"/>
        </c:dLbls>
        <c:axId val="179336608"/>
        <c:axId val="182032240"/>
      </c:areaChart>
      <c:catAx>
        <c:axId val="1793366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82032240"/>
        <c:crosses val="autoZero"/>
        <c:auto val="1"/>
        <c:lblAlgn val="ctr"/>
        <c:lblOffset val="100"/>
        <c:noMultiLvlLbl val="0"/>
      </c:catAx>
      <c:valAx>
        <c:axId val="182032240"/>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79336608"/>
        <c:crosses val="autoZero"/>
        <c:crossBetween val="midCat"/>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1"/>
              <c:layout>
                <c:manualLayout>
                  <c:x val="-6.483333333333334E-2"/>
                  <c:y val="-6.24653689122193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9B-4A2E-AC1C-D8C6DBBF839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год.xlsx]3'!$F$6:$J$6</c:f>
              <c:strCache>
                <c:ptCount val="5"/>
                <c:pt idx="0">
                  <c:v>2014</c:v>
                </c:pt>
                <c:pt idx="1">
                  <c:v>2015</c:v>
                </c:pt>
                <c:pt idx="2">
                  <c:v>2016</c:v>
                </c:pt>
                <c:pt idx="3">
                  <c:v>2017</c:v>
                </c:pt>
                <c:pt idx="4">
                  <c:v>2018</c:v>
                </c:pt>
              </c:strCache>
            </c:strRef>
          </c:cat>
          <c:val>
            <c:numRef>
              <c:f>'[Диаграммы за 2018 год.xlsx]3'!$F$7:$J$7</c:f>
              <c:numCache>
                <c:formatCode>General</c:formatCode>
                <c:ptCount val="5"/>
                <c:pt idx="0">
                  <c:v>295</c:v>
                </c:pt>
                <c:pt idx="1">
                  <c:v>253</c:v>
                </c:pt>
                <c:pt idx="2">
                  <c:v>2195</c:v>
                </c:pt>
                <c:pt idx="3">
                  <c:v>2521</c:v>
                </c:pt>
                <c:pt idx="4">
                  <c:v>3173</c:v>
                </c:pt>
              </c:numCache>
            </c:numRef>
          </c:val>
          <c:smooth val="0"/>
          <c:extLst xmlns:c16r2="http://schemas.microsoft.com/office/drawing/2015/06/chart">
            <c:ext xmlns:c16="http://schemas.microsoft.com/office/drawing/2014/chart" uri="{C3380CC4-5D6E-409C-BE32-E72D297353CC}">
              <c16:uniqueId val="{00000001-959B-4A2E-AC1C-D8C6DBBF8398}"/>
            </c:ext>
          </c:extLst>
        </c:ser>
        <c:dLbls>
          <c:dLblPos val="t"/>
          <c:showLegendKey val="0"/>
          <c:showVal val="1"/>
          <c:showCatName val="0"/>
          <c:showSerName val="0"/>
          <c:showPercent val="0"/>
          <c:showBubbleSize val="0"/>
        </c:dLbls>
        <c:smooth val="0"/>
        <c:axId val="153554712"/>
        <c:axId val="178380336"/>
      </c:lineChart>
      <c:catAx>
        <c:axId val="15355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78380336"/>
        <c:crosses val="autoZero"/>
        <c:auto val="1"/>
        <c:lblAlgn val="ctr"/>
        <c:lblOffset val="100"/>
        <c:noMultiLvlLbl val="0"/>
      </c:catAx>
      <c:valAx>
        <c:axId val="178380336"/>
        <c:scaling>
          <c:orientation val="minMax"/>
          <c:max val="3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3554712"/>
        <c:crosses val="autoZero"/>
        <c:crossBetween val="between"/>
        <c:majorUnit val="9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4'!$G$32</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4'!$H$32:$L$32</c:f>
              <c:numCache>
                <c:formatCode>General</c:formatCode>
                <c:ptCount val="5"/>
                <c:pt idx="0">
                  <c:v>2524</c:v>
                </c:pt>
                <c:pt idx="1">
                  <c:v>2479</c:v>
                </c:pt>
                <c:pt idx="2">
                  <c:v>713</c:v>
                </c:pt>
                <c:pt idx="3">
                  <c:v>516</c:v>
                </c:pt>
                <c:pt idx="4">
                  <c:v>453</c:v>
                </c:pt>
              </c:numCache>
            </c:numRef>
          </c:val>
          <c:extLst xmlns:c16r2="http://schemas.microsoft.com/office/drawing/2015/06/chart">
            <c:ext xmlns:c16="http://schemas.microsoft.com/office/drawing/2014/chart" uri="{C3380CC4-5D6E-409C-BE32-E72D297353CC}">
              <c16:uniqueId val="{00000000-DC62-441C-B25B-4417C6451987}"/>
            </c:ext>
          </c:extLst>
        </c:ser>
        <c:ser>
          <c:idx val="1"/>
          <c:order val="1"/>
          <c:tx>
            <c:strRef>
              <c:f>'[Диаграммы за 2018 год (редакция с 09.04.2019).xlsx]2 4'!$G$33</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4'!$H$33:$L$33</c:f>
              <c:numCache>
                <c:formatCode>General</c:formatCode>
                <c:ptCount val="5"/>
                <c:pt idx="0">
                  <c:v>1143</c:v>
                </c:pt>
                <c:pt idx="1">
                  <c:v>1953</c:v>
                </c:pt>
                <c:pt idx="2">
                  <c:v>965</c:v>
                </c:pt>
                <c:pt idx="3">
                  <c:v>655</c:v>
                </c:pt>
                <c:pt idx="4">
                  <c:v>514</c:v>
                </c:pt>
              </c:numCache>
            </c:numRef>
          </c:val>
          <c:extLst xmlns:c16r2="http://schemas.microsoft.com/office/drawing/2015/06/chart">
            <c:ext xmlns:c16="http://schemas.microsoft.com/office/drawing/2014/chart" uri="{C3380CC4-5D6E-409C-BE32-E72D297353CC}">
              <c16:uniqueId val="{00000001-DC62-441C-B25B-4417C6451987}"/>
            </c:ext>
          </c:extLst>
        </c:ser>
        <c:dLbls>
          <c:showLegendKey val="0"/>
          <c:showVal val="1"/>
          <c:showCatName val="0"/>
          <c:showSerName val="0"/>
          <c:showPercent val="0"/>
          <c:showBubbleSize val="0"/>
        </c:dLbls>
        <c:axId val="179653120"/>
        <c:axId val="178433544"/>
      </c:areaChart>
      <c:catAx>
        <c:axId val="1796531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8433544"/>
        <c:crosses val="autoZero"/>
        <c:auto val="1"/>
        <c:lblAlgn val="ctr"/>
        <c:lblOffset val="100"/>
        <c:noMultiLvlLbl val="0"/>
      </c:catAx>
      <c:valAx>
        <c:axId val="178433544"/>
        <c:scaling>
          <c:orientation val="minMax"/>
          <c:max val="45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9653120"/>
        <c:crosses val="autoZero"/>
        <c:crossBetween val="midCat"/>
        <c:majorUnit val="1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6.1'!$G$8</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6.1'!$H$8:$L$8</c:f>
              <c:numCache>
                <c:formatCode>General</c:formatCode>
                <c:ptCount val="5"/>
                <c:pt idx="0">
                  <c:v>1977</c:v>
                </c:pt>
                <c:pt idx="1">
                  <c:v>2182</c:v>
                </c:pt>
                <c:pt idx="2">
                  <c:v>777</c:v>
                </c:pt>
                <c:pt idx="3">
                  <c:v>468</c:v>
                </c:pt>
                <c:pt idx="4">
                  <c:v>386</c:v>
                </c:pt>
              </c:numCache>
            </c:numRef>
          </c:val>
          <c:extLst xmlns:c16r2="http://schemas.microsoft.com/office/drawing/2015/06/chart">
            <c:ext xmlns:c16="http://schemas.microsoft.com/office/drawing/2014/chart" uri="{C3380CC4-5D6E-409C-BE32-E72D297353CC}">
              <c16:uniqueId val="{00000000-F9BA-4351-9D01-0A3F3BEF3679}"/>
            </c:ext>
          </c:extLst>
        </c:ser>
        <c:ser>
          <c:idx val="1"/>
          <c:order val="1"/>
          <c:tx>
            <c:strRef>
              <c:f>'[Диаграммы за 2018 год (редакция с 09.04.2019).xlsx]5 6 6.1'!$G$9</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6.1'!$H$9:$L$9</c:f>
              <c:numCache>
                <c:formatCode>General</c:formatCode>
                <c:ptCount val="5"/>
                <c:pt idx="0">
                  <c:v>1114</c:v>
                </c:pt>
                <c:pt idx="1">
                  <c:v>877</c:v>
                </c:pt>
                <c:pt idx="2">
                  <c:v>563</c:v>
                </c:pt>
                <c:pt idx="3">
                  <c:v>379</c:v>
                </c:pt>
                <c:pt idx="4">
                  <c:v>299</c:v>
                </c:pt>
              </c:numCache>
            </c:numRef>
          </c:val>
          <c:extLst xmlns:c16r2="http://schemas.microsoft.com/office/drawing/2015/06/chart">
            <c:ext xmlns:c16="http://schemas.microsoft.com/office/drawing/2014/chart" uri="{C3380CC4-5D6E-409C-BE32-E72D297353CC}">
              <c16:uniqueId val="{00000001-F9BA-4351-9D01-0A3F3BEF3679}"/>
            </c:ext>
          </c:extLst>
        </c:ser>
        <c:dLbls>
          <c:showLegendKey val="0"/>
          <c:showVal val="1"/>
          <c:showCatName val="0"/>
          <c:showSerName val="0"/>
          <c:showPercent val="0"/>
          <c:showBubbleSize val="0"/>
        </c:dLbls>
        <c:axId val="181957832"/>
        <c:axId val="242515944"/>
      </c:areaChart>
      <c:catAx>
        <c:axId val="181957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242515944"/>
        <c:crosses val="autoZero"/>
        <c:auto val="1"/>
        <c:lblAlgn val="ctr"/>
        <c:lblOffset val="100"/>
        <c:noMultiLvlLbl val="0"/>
      </c:catAx>
      <c:valAx>
        <c:axId val="242515944"/>
        <c:scaling>
          <c:orientation val="minMax"/>
          <c:max val="3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1957832"/>
        <c:crosses val="autoZero"/>
        <c:crossBetween val="midCat"/>
        <c:majorUnit val="1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6.1'!$G$34</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6.1'!$H$34:$L$34</c:f>
              <c:numCache>
                <c:formatCode>General</c:formatCode>
                <c:ptCount val="5"/>
                <c:pt idx="0">
                  <c:v>1678</c:v>
                </c:pt>
                <c:pt idx="1">
                  <c:v>1827</c:v>
                </c:pt>
                <c:pt idx="2">
                  <c:v>398</c:v>
                </c:pt>
                <c:pt idx="3">
                  <c:v>292</c:v>
                </c:pt>
                <c:pt idx="4">
                  <c:v>271</c:v>
                </c:pt>
              </c:numCache>
            </c:numRef>
          </c:val>
          <c:extLst xmlns:c16r2="http://schemas.microsoft.com/office/drawing/2015/06/chart">
            <c:ext xmlns:c16="http://schemas.microsoft.com/office/drawing/2014/chart" uri="{C3380CC4-5D6E-409C-BE32-E72D297353CC}">
              <c16:uniqueId val="{00000000-6E47-4710-8DFC-F65905146193}"/>
            </c:ext>
          </c:extLst>
        </c:ser>
        <c:ser>
          <c:idx val="1"/>
          <c:order val="1"/>
          <c:tx>
            <c:strRef>
              <c:f>'[Диаграммы за 2018 год (редакция с 09.04.2019).xlsx]5 6 6.1'!$G$35</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6.1'!$H$35:$L$35</c:f>
              <c:numCache>
                <c:formatCode>General</c:formatCode>
                <c:ptCount val="5"/>
                <c:pt idx="0">
                  <c:v>842</c:v>
                </c:pt>
                <c:pt idx="1">
                  <c:v>652</c:v>
                </c:pt>
                <c:pt idx="2">
                  <c:v>310</c:v>
                </c:pt>
                <c:pt idx="3">
                  <c:v>224</c:v>
                </c:pt>
                <c:pt idx="4">
                  <c:v>182</c:v>
                </c:pt>
              </c:numCache>
            </c:numRef>
          </c:val>
          <c:extLst xmlns:c16r2="http://schemas.microsoft.com/office/drawing/2015/06/chart">
            <c:ext xmlns:c16="http://schemas.microsoft.com/office/drawing/2014/chart" uri="{C3380CC4-5D6E-409C-BE32-E72D297353CC}">
              <c16:uniqueId val="{00000001-6E47-4710-8DFC-F65905146193}"/>
            </c:ext>
          </c:extLst>
        </c:ser>
        <c:dLbls>
          <c:showLegendKey val="0"/>
          <c:showVal val="1"/>
          <c:showCatName val="0"/>
          <c:showSerName val="0"/>
          <c:showPercent val="0"/>
          <c:showBubbleSize val="0"/>
        </c:dLbls>
        <c:axId val="181702392"/>
        <c:axId val="181702784"/>
      </c:areaChart>
      <c:catAx>
        <c:axId val="181702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81702784"/>
        <c:crosses val="autoZero"/>
        <c:auto val="1"/>
        <c:lblAlgn val="ctr"/>
        <c:lblOffset val="100"/>
        <c:noMultiLvlLbl val="0"/>
      </c:catAx>
      <c:valAx>
        <c:axId val="181702784"/>
        <c:scaling>
          <c:orientation val="minMax"/>
          <c:max val="2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1702392"/>
        <c:crosses val="autoZero"/>
        <c:crossBetween val="midCat"/>
        <c:majorUnit val="1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год.xlsx]5 6 6.1'!$A$54</c:f>
              <c:strCache>
                <c:ptCount val="1"/>
                <c:pt idx="0">
                  <c:v>Доля дел</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год.xlsx]5 6 6.1'!$B$53:$F$53</c:f>
              <c:strCache>
                <c:ptCount val="5"/>
                <c:pt idx="0">
                  <c:v>2014 г.</c:v>
                </c:pt>
                <c:pt idx="1">
                  <c:v>2015 г.</c:v>
                </c:pt>
                <c:pt idx="2">
                  <c:v>2016 г.</c:v>
                </c:pt>
                <c:pt idx="3">
                  <c:v>2017 г.</c:v>
                </c:pt>
                <c:pt idx="4">
                  <c:v>2018 г.</c:v>
                </c:pt>
              </c:strCache>
            </c:strRef>
          </c:cat>
          <c:val>
            <c:numRef>
              <c:f>'[Диаграммы за 2018 год.xlsx]5 6 6.1'!$B$54:$F$54</c:f>
              <c:numCache>
                <c:formatCode>0%</c:formatCode>
                <c:ptCount val="5"/>
                <c:pt idx="0">
                  <c:v>0.84876074860900352</c:v>
                </c:pt>
                <c:pt idx="1">
                  <c:v>0.83730522456461964</c:v>
                </c:pt>
                <c:pt idx="2">
                  <c:v>0.51222651222651228</c:v>
                </c:pt>
                <c:pt idx="3">
                  <c:v>0.62393162393162394</c:v>
                </c:pt>
                <c:pt idx="4">
                  <c:v>0.70129870129870131</c:v>
                </c:pt>
              </c:numCache>
            </c:numRef>
          </c:val>
        </c:ser>
        <c:dLbls>
          <c:showLegendKey val="0"/>
          <c:showVal val="0"/>
          <c:showCatName val="0"/>
          <c:showSerName val="0"/>
          <c:showPercent val="0"/>
          <c:showBubbleSize val="0"/>
        </c:dLbls>
        <c:gapWidth val="191"/>
        <c:overlap val="-24"/>
        <c:axId val="181703568"/>
        <c:axId val="181703960"/>
      </c:barChart>
      <c:catAx>
        <c:axId val="18170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crossAx val="181703960"/>
        <c:crosses val="autoZero"/>
        <c:auto val="1"/>
        <c:lblAlgn val="ctr"/>
        <c:lblOffset val="100"/>
        <c:noMultiLvlLbl val="0"/>
      </c:catAx>
      <c:valAx>
        <c:axId val="181703960"/>
        <c:scaling>
          <c:orientation val="minMax"/>
          <c:min val="0.30000000000000004"/>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1703568"/>
        <c:crosses val="autoZero"/>
        <c:crossBetween val="between"/>
        <c:minorUnit val="0.300000000000000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год.xlsx]7'!$G$4</c:f>
              <c:strCache>
                <c:ptCount val="1"/>
                <c:pt idx="0">
                  <c:v>ходатайства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год.xlsx]7'!$H$4:$L$4</c:f>
              <c:numCache>
                <c:formatCode>General</c:formatCode>
                <c:ptCount val="5"/>
                <c:pt idx="0">
                  <c:v>1928</c:v>
                </c:pt>
                <c:pt idx="1">
                  <c:v>1749</c:v>
                </c:pt>
                <c:pt idx="2">
                  <c:v>1379</c:v>
                </c:pt>
                <c:pt idx="3">
                  <c:v>1103</c:v>
                </c:pt>
                <c:pt idx="4">
                  <c:v>1086</c:v>
                </c:pt>
              </c:numCache>
            </c:numRef>
          </c:val>
          <c:smooth val="0"/>
        </c:ser>
        <c:ser>
          <c:idx val="1"/>
          <c:order val="1"/>
          <c:tx>
            <c:strRef>
              <c:f>'[Диаграммы за 2018 год.xlsx]7'!$G$5</c:f>
              <c:strCache>
                <c:ptCount val="1"/>
                <c:pt idx="0">
                  <c:v>уведомления</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год.xlsx]7'!$H$5:$L$5</c:f>
              <c:numCache>
                <c:formatCode>General</c:formatCode>
                <c:ptCount val="5"/>
                <c:pt idx="0">
                  <c:v>391</c:v>
                </c:pt>
                <c:pt idx="1">
                  <c:v>165</c:v>
                </c:pt>
                <c:pt idx="2">
                  <c:v>83</c:v>
                </c:pt>
                <c:pt idx="3">
                  <c:v>128</c:v>
                </c:pt>
                <c:pt idx="4">
                  <c:v>189</c:v>
                </c:pt>
              </c:numCache>
            </c:numRef>
          </c:val>
          <c:smooth val="0"/>
        </c:ser>
        <c:dLbls>
          <c:dLblPos val="t"/>
          <c:showLegendKey val="0"/>
          <c:showVal val="1"/>
          <c:showCatName val="0"/>
          <c:showSerName val="0"/>
          <c:showPercent val="0"/>
          <c:showBubbleSize val="0"/>
        </c:dLbls>
        <c:smooth val="0"/>
        <c:axId val="181702000"/>
        <c:axId val="243081872"/>
      </c:lineChart>
      <c:catAx>
        <c:axId val="18170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3081872"/>
        <c:crosses val="autoZero"/>
        <c:auto val="1"/>
        <c:lblAlgn val="ctr"/>
        <c:lblOffset val="100"/>
        <c:noMultiLvlLbl val="0"/>
      </c:catAx>
      <c:valAx>
        <c:axId val="243081872"/>
        <c:scaling>
          <c:orientation val="minMax"/>
          <c:max val="2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1702000"/>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0.00321</cdr:x>
      <cdr:y>0.926</cdr:y>
    </cdr:from>
    <cdr:to>
      <cdr:x>0.2341</cdr:x>
      <cdr:y>1</cdr:y>
    </cdr:to>
    <cdr:sp macro="" textlink="">
      <cdr:nvSpPr>
        <cdr:cNvPr id="2" name="Надпись 1"/>
        <cdr:cNvSpPr txBox="1"/>
      </cdr:nvSpPr>
      <cdr:spPr>
        <a:xfrm xmlns:a="http://schemas.openxmlformats.org/drawingml/2006/main">
          <a:off x="19050" y="3218180"/>
          <a:ext cx="13716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0.00481</cdr:x>
      <cdr:y>0.90956</cdr:y>
    </cdr:from>
    <cdr:to>
      <cdr:x>0.26777</cdr:x>
      <cdr:y>0.98118</cdr:y>
    </cdr:to>
    <cdr:sp macro="" textlink="">
      <cdr:nvSpPr>
        <cdr:cNvPr id="3" name="Надпись 2"/>
        <cdr:cNvSpPr txBox="1"/>
      </cdr:nvSpPr>
      <cdr:spPr>
        <a:xfrm xmlns:a="http://schemas.openxmlformats.org/drawingml/2006/main">
          <a:off x="28575" y="3161030"/>
          <a:ext cx="1562100" cy="248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Диаграмма № 1</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0.90493</cdr:y>
    </cdr:from>
    <cdr:to>
      <cdr:x>0.18528</cdr:x>
      <cdr:y>0.99648</cdr:y>
    </cdr:to>
    <cdr:sp macro="" textlink="">
      <cdr:nvSpPr>
        <cdr:cNvPr id="2" name="Надпись 1"/>
        <cdr:cNvSpPr txBox="1"/>
      </cdr:nvSpPr>
      <cdr:spPr>
        <a:xfrm xmlns:a="http://schemas.openxmlformats.org/drawingml/2006/main">
          <a:off x="0" y="2447926"/>
          <a:ext cx="1095374" cy="247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a:latin typeface="Times New Roman" panose="02020603050405020304" pitchFamily="18" charset="0"/>
              <a:cs typeface="Times New Roman" panose="02020603050405020304" pitchFamily="18" charset="0"/>
            </a:rPr>
            <a:t>Диаграмма № 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47D64-CD7F-45E9-8D2A-4C1DB8665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370</Pages>
  <Words>203441</Words>
  <Characters>1159615</Characters>
  <Application>Microsoft Office Word</Application>
  <DocSecurity>0</DocSecurity>
  <Lines>9663</Lines>
  <Paragraphs>2720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1360336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Асташкина Елена Евгеньевна</dc:creator>
  <cp:keywords/>
  <dc:description/>
  <cp:lastModifiedBy>Новичкова Татьяна Леонидовна</cp:lastModifiedBy>
  <cp:revision>154</cp:revision>
  <cp:lastPrinted>2019-04-29T12:38:00Z</cp:lastPrinted>
  <dcterms:created xsi:type="dcterms:W3CDTF">2019-04-22T10:56:00Z</dcterms:created>
  <dcterms:modified xsi:type="dcterms:W3CDTF">2019-04-29T13:53:00Z</dcterms:modified>
</cp:coreProperties>
</file>