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A9" w:rsidRPr="00DA0F88" w:rsidRDefault="00F209A9" w:rsidP="00F209A9">
      <w:pPr>
        <w:pStyle w:val="a5"/>
        <w:pageBreakBefore/>
        <w:spacing w:after="0" w:line="100" w:lineRule="atLeast"/>
        <w:ind w:left="6945"/>
        <w:jc w:val="center"/>
        <w:rPr>
          <w:sz w:val="28"/>
          <w:szCs w:val="28"/>
        </w:rPr>
      </w:pPr>
      <w:r w:rsidRPr="00DA0F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.1</w:t>
      </w:r>
    </w:p>
    <w:p w:rsidR="00F209A9" w:rsidRPr="00DA0F88" w:rsidRDefault="00F209A9" w:rsidP="00F209A9">
      <w:pPr>
        <w:pStyle w:val="a5"/>
        <w:spacing w:after="0" w:line="100" w:lineRule="atLeast"/>
        <w:ind w:left="6945"/>
        <w:jc w:val="center"/>
        <w:rPr>
          <w:sz w:val="28"/>
          <w:szCs w:val="28"/>
        </w:rPr>
      </w:pPr>
      <w:r w:rsidRPr="00DA0F88">
        <w:rPr>
          <w:sz w:val="28"/>
          <w:szCs w:val="28"/>
        </w:rPr>
        <w:t>к приказу ФАС России</w:t>
      </w:r>
    </w:p>
    <w:p w:rsidR="00F209A9" w:rsidRPr="00DA0F88" w:rsidRDefault="00F209A9" w:rsidP="00F209A9">
      <w:pPr>
        <w:pStyle w:val="a5"/>
        <w:spacing w:after="0" w:line="100" w:lineRule="atLeast"/>
        <w:ind w:left="6945"/>
        <w:jc w:val="center"/>
        <w:rPr>
          <w:sz w:val="28"/>
          <w:szCs w:val="28"/>
        </w:rPr>
      </w:pPr>
      <w:r w:rsidRPr="00DA0F88">
        <w:rPr>
          <w:sz w:val="28"/>
          <w:szCs w:val="28"/>
        </w:rPr>
        <w:t>от ____ № ____</w:t>
      </w:r>
    </w:p>
    <w:p w:rsidR="00F209A9" w:rsidRPr="00DA0F88" w:rsidRDefault="00F209A9" w:rsidP="00F209A9">
      <w:pPr>
        <w:pStyle w:val="a5"/>
        <w:spacing w:after="0" w:line="100" w:lineRule="atLeast"/>
        <w:ind w:firstLine="709"/>
        <w:jc w:val="right"/>
        <w:rPr>
          <w:sz w:val="28"/>
          <w:szCs w:val="28"/>
        </w:rPr>
      </w:pPr>
      <w:r w:rsidRPr="00DA0F88">
        <w:rPr>
          <w:sz w:val="28"/>
          <w:szCs w:val="28"/>
        </w:rPr>
        <w:t> </w:t>
      </w:r>
    </w:p>
    <w:p w:rsidR="00F209A9" w:rsidRDefault="00F209A9" w:rsidP="00F2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9A9" w:rsidRPr="00B462A3" w:rsidRDefault="00F209A9" w:rsidP="00F2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по расчету ключевого показателя развития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конкуренции 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ынке услуг связи по предоставлению широкополосного доступа к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информационно-телекоммуникационной 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субъектах Российской Федерации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 у</w:t>
      </w:r>
      <w:r w:rsidRPr="00D4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4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</w:r>
      <w:r w:rsidRPr="00B46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09A9" w:rsidRPr="0099421C" w:rsidRDefault="00F209A9" w:rsidP="00F2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9A9" w:rsidRPr="0099421C" w:rsidRDefault="00F209A9" w:rsidP="00F2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209A9" w:rsidRPr="0099421C" w:rsidRDefault="00F209A9" w:rsidP="00F2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9A9" w:rsidRPr="000D7E06" w:rsidRDefault="00F209A9" w:rsidP="00F2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Методика по расчету ключевого показателя развития конкуренции на рынке</w:t>
      </w:r>
      <w:r w:rsidRPr="00BD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 связи по предоставлению широкополосного доступа к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увеличения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субъектах Российской Федерации (далее – методика) разработана </w:t>
      </w:r>
      <w:r w:rsidRPr="00D16260">
        <w:rPr>
          <w:rFonts w:ascii="Times New Roman" w:hAnsi="Times New Roman" w:cs="Times New Roman"/>
          <w:sz w:val="28"/>
          <w:szCs w:val="28"/>
        </w:rPr>
        <w:t>в соответствии с пунктом 3 распоряжения Правительства Российской Федерации от 17.04.2019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исполнения Указа Президента Российской Федерации от 21.12.2017 № 618 «Об основных направления государственной политики по развитию конкуренции» (далее – Указ № 618), утвердившего Национальный план развития конкуренции в Российской Федерации на 2018-2020 годы (далее – Национальный план), Перечня поручений Президента Российской Федерации № Пр-817ГС по итогам заседания Государственного совета Российской Федерации от 05.04.2018 года (далее – Перечень поручений Президента РФ).</w:t>
      </w:r>
    </w:p>
    <w:p w:rsidR="00F209A9" w:rsidRPr="0099421C" w:rsidRDefault="00F209A9" w:rsidP="00F2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9A9" w:rsidRPr="00B462A3" w:rsidRDefault="00F209A9" w:rsidP="00F2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21C">
        <w:rPr>
          <w:rStyle w:val="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421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9421C">
        <w:rPr>
          <w:rFonts w:ascii="Times New Roman" w:hAnsi="Times New Roman" w:cs="Times New Roman"/>
          <w:b/>
          <w:sz w:val="28"/>
          <w:szCs w:val="28"/>
        </w:rPr>
        <w:t xml:space="preserve">асчет ключевого показателя развития конкуренции 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ынке услуг связи по предоставлению широкополосного доступа к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информационно-телекоммуникационной 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94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субъектах Российской Федерации</w:t>
      </w:r>
      <w:r w:rsidRPr="0099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 у</w:t>
      </w:r>
      <w:r w:rsidRPr="00D4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45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09A9" w:rsidRPr="0099421C" w:rsidRDefault="00F209A9" w:rsidP="00F2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A9" w:rsidRPr="0099421C" w:rsidRDefault="00F209A9" w:rsidP="00F20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1C">
        <w:rPr>
          <w:rFonts w:ascii="Times New Roman" w:hAnsi="Times New Roman" w:cs="Times New Roman"/>
          <w:sz w:val="28"/>
          <w:szCs w:val="28"/>
        </w:rPr>
        <w:t>2.1.</w:t>
      </w:r>
      <w:r w:rsidRPr="0099421C">
        <w:rPr>
          <w:rFonts w:ascii="Times New Roman" w:hAnsi="Times New Roman" w:cs="Times New Roman"/>
          <w:sz w:val="28"/>
          <w:szCs w:val="28"/>
        </w:rPr>
        <w:tab/>
        <w:t>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связи»</w:t>
      </w:r>
      <w:r w:rsidRPr="00395310">
        <w:rPr>
          <w:rFonts w:ascii="Times New Roman" w:hAnsi="Times New Roman" w:cs="Times New Roman"/>
          <w:sz w:val="28"/>
          <w:szCs w:val="28"/>
        </w:rPr>
        <w:t xml:space="preserve">: по </w:t>
      </w:r>
      <w:r>
        <w:rPr>
          <w:rFonts w:ascii="Times New Roman" w:hAnsi="Times New Roman" w:cs="Times New Roman"/>
          <w:sz w:val="28"/>
          <w:szCs w:val="28"/>
        </w:rPr>
        <w:t xml:space="preserve">доле </w:t>
      </w:r>
      <w:r w:rsidRPr="0039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</w:t>
      </w:r>
      <w:r w:rsidRPr="0039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заявлений операторов связи на размещение сетей и сооружений связи на объектах государственной и муниципальной собственности</w:t>
      </w:r>
      <w:r w:rsidRPr="00F209A9">
        <w:rPr>
          <w:rFonts w:ascii="Times New Roman" w:hAnsi="Times New Roman" w:cs="Times New Roman"/>
          <w:sz w:val="28"/>
          <w:szCs w:val="28"/>
        </w:rPr>
        <w:t>.</w:t>
      </w:r>
    </w:p>
    <w:p w:rsidR="00F209A9" w:rsidRDefault="00F209A9" w:rsidP="00F2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99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сформировать и разместить в открытом доступе перечень объектов государственной и/или муниципальной собственности </w:t>
      </w:r>
      <w:r w:rsidRPr="004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 строительства сетей и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ружений связи.</w:t>
      </w:r>
    </w:p>
    <w:p w:rsidR="00F209A9" w:rsidRDefault="00F209A9" w:rsidP="00F2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Органам исполнительной власти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заявлений на доступ к 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 строительства сетей и сооружений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9A9" w:rsidRDefault="00F209A9" w:rsidP="00F2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B335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исполнительной власти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рекомендуется при формировании 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государственной и/или муниципальной собственности </w:t>
      </w:r>
      <w:r w:rsidRPr="004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 строительства сетей и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ружений связи, порядка и 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заявлений на доступ к 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 строительства сетей и сооружений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материалы, содержащиеся в </w:t>
      </w:r>
      <w:r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лучших региональных практик по упрощению доступа организаций к объектам, находящимся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 на официальном сайте ФАС России</w:t>
      </w:r>
      <w:r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https://fas.gov.ru/p/protocols/13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9A9" w:rsidRDefault="00F209A9" w:rsidP="00F209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38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ежащим образом считается поданным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 к объектам инфраструктуры, которые указаны в сформированном и размещенном в открытом доступе перечне объектов государственной и/или муниципальной собственности для размещения </w:t>
      </w:r>
      <w:r w:rsidRPr="004626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строительства сетей и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ружений связи, поданное в установленном порядке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9A9" w:rsidRPr="0099421C" w:rsidRDefault="00F209A9" w:rsidP="00F209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отсутствия порядка, предусмотренного пунктом 2.3, 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99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 к объектам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поданным надлежащим образом.  </w:t>
      </w:r>
    </w:p>
    <w:p w:rsidR="00F209A9" w:rsidRDefault="00F209A9" w:rsidP="00F209A9">
      <w:pPr>
        <w:pStyle w:val="Textbody"/>
        <w:spacing w:after="0" w:line="276" w:lineRule="auto"/>
        <w:ind w:right="-1" w:firstLine="730"/>
        <w:jc w:val="both"/>
      </w:pPr>
      <w:r>
        <w:rPr>
          <w:sz w:val="28"/>
        </w:rPr>
        <w:t>2.6.</w:t>
      </w:r>
      <w:r>
        <w:rPr>
          <w:sz w:val="28"/>
        </w:rPr>
        <w:tab/>
      </w:r>
      <w:r w:rsidRPr="00AB13CB">
        <w:rPr>
          <w:rFonts w:eastAsia="Times New Roman" w:cs="Times New Roman"/>
          <w:bCs/>
          <w:sz w:val="28"/>
          <w:szCs w:val="28"/>
          <w:lang w:eastAsia="ru-RU"/>
        </w:rPr>
        <w:t xml:space="preserve">Определение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доли </w:t>
      </w:r>
      <w:r>
        <w:rPr>
          <w:sz w:val="28"/>
        </w:rPr>
        <w:t xml:space="preserve">удовлетворенных заявлений </w:t>
      </w:r>
      <w:r>
        <w:rPr>
          <w:rFonts w:eastAsia="Times New Roman" w:cs="Times New Roman"/>
          <w:bCs/>
          <w:sz w:val="28"/>
          <w:szCs w:val="28"/>
          <w:lang w:eastAsia="ru-RU"/>
        </w:rPr>
        <w:t>(Д</w:t>
      </w:r>
      <w:r w:rsidRPr="00206528">
        <w:rPr>
          <w:rFonts w:eastAsia="Times New Roman" w:cs="Times New Roman"/>
          <w:bCs/>
          <w:sz w:val="28"/>
          <w:szCs w:val="28"/>
          <w:vertAlign w:val="subscript"/>
          <w:lang w:eastAsia="ru-RU"/>
        </w:rPr>
        <w:t>УЗ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>
        <w:rPr>
          <w:sz w:val="28"/>
        </w:rPr>
        <w:t>:</w:t>
      </w:r>
    </w:p>
    <w:p w:rsidR="00F209A9" w:rsidRDefault="00F209A9" w:rsidP="00F209A9">
      <w:pPr>
        <w:pStyle w:val="Textbody"/>
        <w:spacing w:after="0"/>
        <w:ind w:right="-1" w:firstLine="730"/>
      </w:pPr>
      <w:r>
        <w:rPr>
          <w:sz w:val="28"/>
        </w:rPr>
        <w:t xml:space="preserve">                                                        К</w:t>
      </w:r>
      <w:r>
        <w:rPr>
          <w:sz w:val="28"/>
          <w:vertAlign w:val="subscript"/>
        </w:rPr>
        <w:t>УЗ</w:t>
      </w:r>
    </w:p>
    <w:p w:rsidR="00F209A9" w:rsidRDefault="00F209A9" w:rsidP="00F209A9">
      <w:pPr>
        <w:pStyle w:val="Textbody"/>
        <w:spacing w:after="0"/>
        <w:ind w:right="-1" w:firstLine="730"/>
        <w:jc w:val="center"/>
        <w:rPr>
          <w:sz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УЗ</w:t>
      </w:r>
      <w:r>
        <w:rPr>
          <w:sz w:val="28"/>
        </w:rPr>
        <w:t xml:space="preserve"> = ----------*100 </w:t>
      </w:r>
      <w:r>
        <w:rPr>
          <w:sz w:val="28"/>
        </w:rPr>
        <w:t>%</w:t>
      </w:r>
      <w:r>
        <w:rPr>
          <w:sz w:val="28"/>
        </w:rPr>
        <w:t>, где</w:t>
      </w:r>
    </w:p>
    <w:p w:rsidR="00F209A9" w:rsidRDefault="00F209A9" w:rsidP="00F209A9">
      <w:pPr>
        <w:pStyle w:val="Textbody"/>
        <w:spacing w:after="0"/>
        <w:ind w:right="-1" w:firstLine="730"/>
      </w:pPr>
      <w:r>
        <w:rPr>
          <w:sz w:val="28"/>
        </w:rPr>
        <w:t xml:space="preserve">                                                        К</w:t>
      </w:r>
      <w:r>
        <w:rPr>
          <w:sz w:val="28"/>
          <w:vertAlign w:val="subscript"/>
        </w:rPr>
        <w:t>О</w:t>
      </w:r>
    </w:p>
    <w:p w:rsidR="00F209A9" w:rsidRPr="00206528" w:rsidRDefault="00F209A9" w:rsidP="00F209A9">
      <w:pPr>
        <w:pStyle w:val="Textbody"/>
        <w:spacing w:after="0"/>
        <w:ind w:right="-1" w:firstLine="730"/>
        <w:jc w:val="both"/>
        <w:rPr>
          <w:rFonts w:cs="Times New Roman"/>
        </w:rPr>
      </w:pPr>
      <w:r w:rsidRPr="00206528">
        <w:rPr>
          <w:rFonts w:cs="Times New Roman"/>
          <w:sz w:val="28"/>
        </w:rPr>
        <w:t>К</w:t>
      </w:r>
      <w:r w:rsidRPr="00206528">
        <w:rPr>
          <w:rFonts w:cs="Times New Roman"/>
          <w:sz w:val="28"/>
          <w:vertAlign w:val="subscript"/>
        </w:rPr>
        <w:t xml:space="preserve">УЗ </w:t>
      </w:r>
      <w:r w:rsidRPr="00206528">
        <w:rPr>
          <w:rFonts w:cs="Times New Roman"/>
          <w:sz w:val="28"/>
        </w:rPr>
        <w:t>-</w:t>
      </w:r>
      <w:r w:rsidRPr="00206528">
        <w:rPr>
          <w:rFonts w:cs="Times New Roman"/>
          <w:sz w:val="28"/>
          <w:vertAlign w:val="subscript"/>
        </w:rPr>
        <w:t xml:space="preserve"> </w:t>
      </w:r>
      <w:r w:rsidRPr="00206528">
        <w:rPr>
          <w:rFonts w:cs="Times New Roman"/>
          <w:sz w:val="28"/>
        </w:rPr>
        <w:t>количество удовлетворенных заявлений операторов связи на доступ к инфраструктуре.</w:t>
      </w:r>
    </w:p>
    <w:p w:rsidR="00F209A9" w:rsidRPr="00206528" w:rsidRDefault="00F209A9" w:rsidP="00F209A9">
      <w:pPr>
        <w:pStyle w:val="Textbody"/>
        <w:spacing w:after="0"/>
        <w:ind w:right="-1" w:firstLine="730"/>
        <w:jc w:val="both"/>
        <w:rPr>
          <w:rFonts w:cs="Times New Roman"/>
        </w:rPr>
      </w:pPr>
      <w:r w:rsidRPr="00206528">
        <w:rPr>
          <w:rFonts w:cs="Times New Roman"/>
          <w:sz w:val="28"/>
        </w:rPr>
        <w:t>К</w:t>
      </w:r>
      <w:r w:rsidRPr="00206528">
        <w:rPr>
          <w:rFonts w:cs="Times New Roman"/>
          <w:sz w:val="28"/>
          <w:vertAlign w:val="subscript"/>
        </w:rPr>
        <w:t xml:space="preserve">О </w:t>
      </w:r>
      <w:r w:rsidRPr="00206528">
        <w:rPr>
          <w:rFonts w:cs="Times New Roman"/>
          <w:sz w:val="28"/>
        </w:rPr>
        <w:t>- общее количество надлежащим образом поданных заявлений.</w:t>
      </w:r>
    </w:p>
    <w:p w:rsidR="00F209A9" w:rsidRPr="00206528" w:rsidRDefault="00F209A9" w:rsidP="00F2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528">
        <w:rPr>
          <w:rFonts w:ascii="Times New Roman" w:hAnsi="Times New Roman" w:cs="Times New Roman"/>
          <w:sz w:val="28"/>
        </w:rPr>
        <w:t>2.7.</w:t>
      </w:r>
      <w:r w:rsidRPr="00206528">
        <w:rPr>
          <w:rFonts w:ascii="Times New Roman" w:hAnsi="Times New Roman" w:cs="Times New Roman"/>
          <w:sz w:val="28"/>
        </w:rPr>
        <w:tab/>
        <w:t>Определение значения ключевого показателя (КП):</w:t>
      </w:r>
    </w:p>
    <w:p w:rsidR="00F209A9" w:rsidRPr="00206528" w:rsidRDefault="00F209A9" w:rsidP="00F20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06528">
        <w:rPr>
          <w:rFonts w:ascii="Times New Roman" w:hAnsi="Times New Roman" w:cs="Times New Roman"/>
          <w:sz w:val="28"/>
        </w:rPr>
        <w:t>КП = УЗ</w:t>
      </w:r>
      <w:r w:rsidRPr="00206528">
        <w:rPr>
          <w:rFonts w:ascii="Times New Roman" w:hAnsi="Times New Roman" w:cs="Times New Roman"/>
          <w:sz w:val="28"/>
          <w:vertAlign w:val="subscript"/>
          <w:lang w:val="en-US"/>
        </w:rPr>
        <w:t>t</w:t>
      </w:r>
      <w:r w:rsidRPr="00206528">
        <w:rPr>
          <w:rFonts w:ascii="Times New Roman" w:hAnsi="Times New Roman" w:cs="Times New Roman"/>
          <w:sz w:val="28"/>
        </w:rPr>
        <w:t xml:space="preserve"> – УЗ</w:t>
      </w:r>
      <w:r w:rsidRPr="00206528">
        <w:rPr>
          <w:rFonts w:ascii="Times New Roman" w:hAnsi="Times New Roman" w:cs="Times New Roman"/>
          <w:sz w:val="28"/>
          <w:vertAlign w:val="subscript"/>
          <w:lang w:val="en-US"/>
        </w:rPr>
        <w:t>t</w:t>
      </w:r>
      <w:r w:rsidRPr="00206528">
        <w:rPr>
          <w:rFonts w:ascii="Times New Roman" w:hAnsi="Times New Roman" w:cs="Times New Roman"/>
          <w:sz w:val="28"/>
          <w:vertAlign w:val="subscript"/>
        </w:rPr>
        <w:t>-</w:t>
      </w:r>
      <w:proofErr w:type="gramStart"/>
      <w:r w:rsidRPr="00206528">
        <w:rPr>
          <w:rFonts w:ascii="Times New Roman" w:hAnsi="Times New Roman" w:cs="Times New Roman"/>
          <w:sz w:val="28"/>
          <w:vertAlign w:val="subscript"/>
        </w:rPr>
        <w:t xml:space="preserve">1 </w:t>
      </w:r>
      <w:r w:rsidRPr="00206528">
        <w:rPr>
          <w:rFonts w:ascii="Times New Roman" w:hAnsi="Times New Roman" w:cs="Times New Roman"/>
          <w:sz w:val="28"/>
        </w:rPr>
        <w:t>,</w:t>
      </w:r>
      <w:proofErr w:type="gramEnd"/>
      <w:r w:rsidRPr="00206528">
        <w:rPr>
          <w:rFonts w:ascii="Times New Roman" w:hAnsi="Times New Roman" w:cs="Times New Roman"/>
          <w:sz w:val="28"/>
        </w:rPr>
        <w:t xml:space="preserve"> где</w:t>
      </w:r>
    </w:p>
    <w:p w:rsidR="00F209A9" w:rsidRDefault="00F209A9" w:rsidP="00F2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528">
        <w:rPr>
          <w:rFonts w:ascii="Times New Roman" w:hAnsi="Times New Roman" w:cs="Times New Roman"/>
          <w:sz w:val="28"/>
        </w:rPr>
        <w:t>УЗ</w:t>
      </w:r>
      <w:r w:rsidRPr="00206528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206528">
        <w:rPr>
          <w:rFonts w:ascii="Times New Roman" w:hAnsi="Times New Roman" w:cs="Times New Roman"/>
          <w:sz w:val="28"/>
        </w:rPr>
        <w:t>– определяется по пункту 2.6.</w:t>
      </w:r>
    </w:p>
    <w:p w:rsidR="00F209A9" w:rsidRDefault="00F209A9" w:rsidP="00F2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206528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20652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отчетный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06528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 (год)</w:t>
      </w:r>
      <w:r w:rsidRPr="00206528">
        <w:rPr>
          <w:rFonts w:ascii="Times New Roman" w:hAnsi="Times New Roman" w:cs="Times New Roman"/>
          <w:sz w:val="28"/>
        </w:rPr>
        <w:t>.</w:t>
      </w:r>
    </w:p>
    <w:p w:rsidR="00F209A9" w:rsidRPr="00206528" w:rsidRDefault="00F209A9" w:rsidP="00F2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</w:t>
      </w:r>
      <w:r w:rsidRPr="006E19DC">
        <w:rPr>
          <w:rFonts w:ascii="Times New Roman" w:hAnsi="Times New Roman" w:cs="Times New Roman"/>
          <w:sz w:val="28"/>
        </w:rPr>
        <w:t>-1</w:t>
      </w:r>
      <w:proofErr w:type="gramEnd"/>
      <w:r w:rsidRPr="0020652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206528">
        <w:rPr>
          <w:rFonts w:ascii="Times New Roman" w:hAnsi="Times New Roman" w:cs="Times New Roman"/>
          <w:sz w:val="28"/>
        </w:rPr>
        <w:t>предыдущ</w:t>
      </w:r>
      <w:r>
        <w:rPr>
          <w:rFonts w:ascii="Times New Roman" w:hAnsi="Times New Roman" w:cs="Times New Roman"/>
          <w:sz w:val="28"/>
        </w:rPr>
        <w:t>ий</w:t>
      </w:r>
      <w:r w:rsidRPr="00206528">
        <w:rPr>
          <w:rFonts w:ascii="Times New Roman" w:hAnsi="Times New Roman" w:cs="Times New Roman"/>
          <w:sz w:val="28"/>
        </w:rPr>
        <w:t xml:space="preserve"> период</w:t>
      </w:r>
      <w:r>
        <w:rPr>
          <w:rFonts w:ascii="Times New Roman" w:hAnsi="Times New Roman" w:cs="Times New Roman"/>
          <w:sz w:val="28"/>
        </w:rPr>
        <w:t xml:space="preserve"> (год)</w:t>
      </w:r>
      <w:r w:rsidRPr="00206528">
        <w:rPr>
          <w:rFonts w:ascii="Times New Roman" w:hAnsi="Times New Roman" w:cs="Times New Roman"/>
          <w:sz w:val="28"/>
        </w:rPr>
        <w:t>.</w:t>
      </w:r>
    </w:p>
    <w:p w:rsidR="00F209A9" w:rsidRPr="00206528" w:rsidRDefault="00F209A9" w:rsidP="00F2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528">
        <w:rPr>
          <w:rFonts w:ascii="Times New Roman" w:hAnsi="Times New Roman" w:cs="Times New Roman"/>
          <w:sz w:val="28"/>
        </w:rPr>
        <w:t>2.8.</w:t>
      </w:r>
      <w:r w:rsidRPr="00206528">
        <w:rPr>
          <w:rFonts w:ascii="Times New Roman" w:hAnsi="Times New Roman" w:cs="Times New Roman"/>
          <w:sz w:val="28"/>
        </w:rPr>
        <w:tab/>
        <w:t>В случае отсутствия заявлений от операторов связи по причине отсутствия такой необходимости/заинтересов</w:t>
      </w:r>
      <w:bookmarkStart w:id="0" w:name="_GoBack"/>
      <w:bookmarkEnd w:id="0"/>
      <w:r w:rsidRPr="00206528">
        <w:rPr>
          <w:rFonts w:ascii="Times New Roman" w:hAnsi="Times New Roman" w:cs="Times New Roman"/>
          <w:sz w:val="28"/>
        </w:rPr>
        <w:t>анности операторов связи, ключевой показатель считать исполненным.</w:t>
      </w:r>
    </w:p>
    <w:p w:rsidR="006A60ED" w:rsidRPr="00F209A9" w:rsidRDefault="006A60ED" w:rsidP="00F209A9"/>
    <w:sectPr w:rsidR="006A60ED" w:rsidRPr="00F209A9" w:rsidSect="00F209A9">
      <w:headerReference w:type="default" r:id="rId6"/>
      <w:pgSz w:w="11906" w:h="16838"/>
      <w:pgMar w:top="1134" w:right="707" w:bottom="1134" w:left="1276" w:header="720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09A9">
      <w:pPr>
        <w:spacing w:after="0" w:line="240" w:lineRule="auto"/>
      </w:pPr>
      <w:r>
        <w:separator/>
      </w:r>
    </w:p>
  </w:endnote>
  <w:endnote w:type="continuationSeparator" w:id="0">
    <w:p w:rsidR="00000000" w:rsidRDefault="00F2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09A9">
      <w:pPr>
        <w:spacing w:after="0" w:line="240" w:lineRule="auto"/>
      </w:pPr>
      <w:r>
        <w:separator/>
      </w:r>
    </w:p>
  </w:footnote>
  <w:footnote w:type="continuationSeparator" w:id="0">
    <w:p w:rsidR="00000000" w:rsidRDefault="00F2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6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7785" w:rsidRPr="004B7785" w:rsidRDefault="002D01C7">
        <w:pPr>
          <w:pStyle w:val="a3"/>
          <w:jc w:val="center"/>
          <w:rPr>
            <w:rFonts w:ascii="Times New Roman" w:hAnsi="Times New Roman" w:cs="Times New Roman"/>
          </w:rPr>
        </w:pPr>
        <w:r w:rsidRPr="004B7785">
          <w:rPr>
            <w:rFonts w:ascii="Times New Roman" w:hAnsi="Times New Roman" w:cs="Times New Roman"/>
          </w:rPr>
          <w:fldChar w:fldCharType="begin"/>
        </w:r>
        <w:r w:rsidRPr="004B7785">
          <w:rPr>
            <w:rFonts w:ascii="Times New Roman" w:hAnsi="Times New Roman" w:cs="Times New Roman"/>
          </w:rPr>
          <w:instrText>PAGE   \* MERGEFORMAT</w:instrText>
        </w:r>
        <w:r w:rsidRPr="004B7785">
          <w:rPr>
            <w:rFonts w:ascii="Times New Roman" w:hAnsi="Times New Roman" w:cs="Times New Roman"/>
          </w:rPr>
          <w:fldChar w:fldCharType="separate"/>
        </w:r>
        <w:r w:rsidR="00F209A9">
          <w:rPr>
            <w:rFonts w:ascii="Times New Roman" w:hAnsi="Times New Roman" w:cs="Times New Roman"/>
            <w:noProof/>
          </w:rPr>
          <w:t>2</w:t>
        </w:r>
        <w:r w:rsidRPr="004B7785">
          <w:rPr>
            <w:rFonts w:ascii="Times New Roman" w:hAnsi="Times New Roman" w:cs="Times New Roman"/>
          </w:rPr>
          <w:fldChar w:fldCharType="end"/>
        </w:r>
      </w:p>
    </w:sdtContent>
  </w:sdt>
  <w:p w:rsidR="004B7785" w:rsidRDefault="00F20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C7"/>
    <w:rsid w:val="002D01C7"/>
    <w:rsid w:val="006A60ED"/>
    <w:rsid w:val="00F2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23AE-675D-4436-AB38-D34122B2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D01C7"/>
  </w:style>
  <w:style w:type="paragraph" w:styleId="a3">
    <w:name w:val="header"/>
    <w:basedOn w:val="a"/>
    <w:link w:val="a4"/>
    <w:uiPriority w:val="99"/>
    <w:unhideWhenUsed/>
    <w:rsid w:val="002D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C7"/>
  </w:style>
  <w:style w:type="paragraph" w:customStyle="1" w:styleId="Textbody">
    <w:name w:val="Text body"/>
    <w:basedOn w:val="a"/>
    <w:rsid w:val="002D01C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2D01C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D01C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Юлия Евгеньевна Газетдинова</cp:lastModifiedBy>
  <cp:revision>2</cp:revision>
  <dcterms:created xsi:type="dcterms:W3CDTF">2019-06-18T07:54:00Z</dcterms:created>
  <dcterms:modified xsi:type="dcterms:W3CDTF">2019-06-19T13:44:00Z</dcterms:modified>
</cp:coreProperties>
</file>