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2A03C" w14:textId="77777777" w:rsidR="00667E46" w:rsidRPr="0019558A" w:rsidRDefault="00667E46" w:rsidP="00667E4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8A">
        <w:rPr>
          <w:rFonts w:ascii="Times New Roman" w:hAnsi="Times New Roman" w:cs="Times New Roman"/>
          <w:b/>
          <w:sz w:val="28"/>
          <w:szCs w:val="28"/>
        </w:rPr>
        <w:t>Обзор состояния конкуренции на рынке банковских услуг за период времени с 2011-2019 гг.</w:t>
      </w:r>
    </w:p>
    <w:p w14:paraId="0159FE15" w14:textId="77777777" w:rsidR="00667E46" w:rsidRPr="00E44D09" w:rsidRDefault="00667E46" w:rsidP="0029646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752EC3" w14:textId="77777777" w:rsidR="0029646B" w:rsidRPr="00E44D09" w:rsidRDefault="0029646B" w:rsidP="0029646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Федеральной антимонопольной службой проведено исследование состояния конкуренции на рынке банковских услуг как на федеральном, так и на региональном уровне в четырех сегментах: кредитование физических и юридических лиц, привлечение денежных средств физических и юридических лиц во вклады (на счета) за период с 2011 по 2019 год</w:t>
      </w:r>
      <w:r w:rsidR="00E27D7C">
        <w:rPr>
          <w:rFonts w:ascii="Times New Roman" w:hAnsi="Times New Roman" w:cs="Times New Roman"/>
          <w:sz w:val="28"/>
          <w:szCs w:val="28"/>
        </w:rPr>
        <w:t>ы</w:t>
      </w:r>
      <w:r w:rsidRPr="00E44D09">
        <w:rPr>
          <w:rFonts w:ascii="Times New Roman" w:hAnsi="Times New Roman" w:cs="Times New Roman"/>
          <w:sz w:val="28"/>
          <w:szCs w:val="28"/>
        </w:rPr>
        <w:t>.</w:t>
      </w:r>
    </w:p>
    <w:p w14:paraId="4E8FE574" w14:textId="7CE8E590" w:rsidR="0029646B" w:rsidRPr="00E44D09" w:rsidRDefault="0029646B" w:rsidP="0029646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 xml:space="preserve">Полученные ФАС России результаты, включая значения показателей рыночной концентрации, свидетельствуют о </w:t>
      </w:r>
      <w:r w:rsidRPr="00A845B4">
        <w:rPr>
          <w:rFonts w:ascii="Times New Roman" w:hAnsi="Times New Roman" w:cs="Times New Roman"/>
          <w:sz w:val="28"/>
          <w:szCs w:val="28"/>
        </w:rPr>
        <w:t>продолжившейся</w:t>
      </w:r>
      <w:r w:rsidR="00A845B4">
        <w:rPr>
          <w:rFonts w:ascii="Times New Roman" w:hAnsi="Times New Roman" w:cs="Times New Roman"/>
          <w:sz w:val="28"/>
          <w:szCs w:val="28"/>
        </w:rPr>
        <w:t xml:space="preserve"> </w:t>
      </w:r>
      <w:r w:rsidRPr="00E44D09">
        <w:rPr>
          <w:rFonts w:ascii="Times New Roman" w:hAnsi="Times New Roman" w:cs="Times New Roman"/>
          <w:sz w:val="28"/>
          <w:szCs w:val="28"/>
        </w:rPr>
        <w:t xml:space="preserve">в 2019 году тенденции к ухудшению конкурентной среды на федеральных рынках оказания </w:t>
      </w:r>
      <w:r w:rsidR="00E27D7C"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Pr="00E44D09">
        <w:rPr>
          <w:rFonts w:ascii="Times New Roman" w:hAnsi="Times New Roman" w:cs="Times New Roman"/>
          <w:sz w:val="28"/>
          <w:szCs w:val="28"/>
        </w:rPr>
        <w:t>услуг физическим лицам, а также на федеральном рынке кредитования юридических лиц. При этом на федеральном рынке привлечения денежных средств юридических лиц, напротив, с 2018 года наблюдается положительная динамика.</w:t>
      </w:r>
    </w:p>
    <w:p w14:paraId="016266D7" w14:textId="77777777" w:rsidR="0029646B" w:rsidRPr="00E44D09" w:rsidRDefault="0029646B" w:rsidP="0029646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Тенденция к ухудшению конкурентной среды особенно характерна для федерального рынка кредитования физических лиц, где наблюдался наибольший рост показателей рыночной концентрации (</w:t>
      </w:r>
      <w:r w:rsidRPr="00E44D0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E44D09">
        <w:rPr>
          <w:rFonts w:ascii="Times New Roman" w:hAnsi="Times New Roman" w:cs="Times New Roman"/>
          <w:sz w:val="28"/>
          <w:szCs w:val="28"/>
        </w:rPr>
        <w:t xml:space="preserve"> и 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E4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44D09">
        <w:rPr>
          <w:rFonts w:ascii="Times New Roman" w:hAnsi="Times New Roman" w:cs="Times New Roman"/>
          <w:sz w:val="28"/>
          <w:szCs w:val="28"/>
        </w:rPr>
        <w:t>).</w:t>
      </w:r>
    </w:p>
    <w:p w14:paraId="370FF576" w14:textId="77777777" w:rsidR="0029646B" w:rsidRPr="00E44D09" w:rsidRDefault="0029646B" w:rsidP="0029646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 xml:space="preserve">Так, в 2011 году этот федеральный рынок являлся </w:t>
      </w:r>
      <w:proofErr w:type="spellStart"/>
      <w:r w:rsidRPr="00E44D09">
        <w:rPr>
          <w:rFonts w:ascii="Times New Roman" w:hAnsi="Times New Roman" w:cs="Times New Roman"/>
          <w:sz w:val="28"/>
          <w:szCs w:val="28"/>
        </w:rPr>
        <w:t>умеренноконцентрированным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 xml:space="preserve"> (</w:t>
      </w:r>
      <w:r w:rsidRPr="00E44D0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E44D09">
        <w:rPr>
          <w:rFonts w:ascii="Times New Roman" w:hAnsi="Times New Roman" w:cs="Times New Roman"/>
          <w:sz w:val="28"/>
          <w:szCs w:val="28"/>
        </w:rPr>
        <w:t xml:space="preserve"> = 1271; 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E4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E44D09">
        <w:rPr>
          <w:rFonts w:ascii="Times New Roman" w:hAnsi="Times New Roman" w:cs="Times New Roman"/>
          <w:sz w:val="28"/>
          <w:szCs w:val="28"/>
        </w:rPr>
        <w:t>= 48,5%), тогда как начиная с 2016 года и до конца исследуемого периода времени этот федеральный рынок характеризовался высоким уровнем концентрации (</w:t>
      </w:r>
      <w:r w:rsidRPr="00E44D0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E44D09">
        <w:rPr>
          <w:rFonts w:ascii="Times New Roman" w:hAnsi="Times New Roman" w:cs="Times New Roman"/>
          <w:sz w:val="28"/>
          <w:szCs w:val="28"/>
        </w:rPr>
        <w:t xml:space="preserve"> от 2072 до 2218; 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E4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44D09">
        <w:rPr>
          <w:rFonts w:ascii="Times New Roman" w:hAnsi="Times New Roman" w:cs="Times New Roman"/>
          <w:sz w:val="28"/>
          <w:szCs w:val="28"/>
        </w:rPr>
        <w:t xml:space="preserve"> от 62,3% до 65,6%).</w:t>
      </w:r>
    </w:p>
    <w:p w14:paraId="7A4881E9" w14:textId="17C81B14" w:rsidR="0029646B" w:rsidRPr="00CE4DA9" w:rsidRDefault="0029646B" w:rsidP="0029646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 xml:space="preserve">Федеральный рынок кредитования юридических лиц, в свою очередь, на протяжении всего исследуемого периода времени </w:t>
      </w:r>
      <w:r w:rsidR="00A845B4" w:rsidRPr="00CE4DA9">
        <w:rPr>
          <w:rFonts w:ascii="Times New Roman" w:hAnsi="Times New Roman" w:cs="Times New Roman"/>
          <w:sz w:val="28"/>
          <w:szCs w:val="28"/>
        </w:rPr>
        <w:t xml:space="preserve">являлся </w:t>
      </w:r>
      <w:proofErr w:type="spellStart"/>
      <w:r w:rsidR="00A845B4" w:rsidRPr="00CE4DA9">
        <w:rPr>
          <w:rFonts w:ascii="Times New Roman" w:hAnsi="Times New Roman" w:cs="Times New Roman"/>
          <w:sz w:val="28"/>
          <w:szCs w:val="28"/>
        </w:rPr>
        <w:t>умеренноконцентрированным</w:t>
      </w:r>
      <w:proofErr w:type="spellEnd"/>
      <w:r w:rsidR="00A845B4" w:rsidRPr="00CE4DA9">
        <w:rPr>
          <w:rFonts w:ascii="Times New Roman" w:hAnsi="Times New Roman" w:cs="Times New Roman"/>
          <w:sz w:val="28"/>
          <w:szCs w:val="28"/>
        </w:rPr>
        <w:t xml:space="preserve"> с тенденцией к росту показателей концентрации </w:t>
      </w:r>
      <w:r w:rsidRPr="00CE4DA9">
        <w:rPr>
          <w:rFonts w:ascii="Times New Roman" w:hAnsi="Times New Roman" w:cs="Times New Roman"/>
          <w:sz w:val="28"/>
          <w:szCs w:val="28"/>
        </w:rPr>
        <w:t>(</w:t>
      </w:r>
      <w:r w:rsidRPr="00CE4DA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CE4DA9">
        <w:rPr>
          <w:rFonts w:ascii="Times New Roman" w:hAnsi="Times New Roman" w:cs="Times New Roman"/>
          <w:sz w:val="28"/>
          <w:szCs w:val="28"/>
        </w:rPr>
        <w:t xml:space="preserve"> от 1387 до 1682; </w:t>
      </w:r>
      <w:r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CE4D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E4DA9">
        <w:rPr>
          <w:rFonts w:ascii="Times New Roman" w:hAnsi="Times New Roman" w:cs="Times New Roman"/>
          <w:sz w:val="28"/>
          <w:szCs w:val="28"/>
        </w:rPr>
        <w:t xml:space="preserve">от 53,8% до 62,8%). При этом необходимо отметить, </w:t>
      </w:r>
      <w:r w:rsidR="00A845B4" w:rsidRPr="00CE4DA9">
        <w:rPr>
          <w:rFonts w:ascii="Times New Roman" w:hAnsi="Times New Roman" w:cs="Times New Roman"/>
          <w:sz w:val="28"/>
          <w:szCs w:val="28"/>
        </w:rPr>
        <w:t xml:space="preserve">что </w:t>
      </w:r>
      <w:r w:rsidRPr="00CE4DA9">
        <w:rPr>
          <w:rFonts w:ascii="Times New Roman" w:hAnsi="Times New Roman" w:cs="Times New Roman"/>
          <w:sz w:val="28"/>
          <w:szCs w:val="28"/>
        </w:rPr>
        <w:t>в 2019 году наблюдается их незначительный прирост, что в свою очередь свидетельствует о замедлении отрицательной динамики.</w:t>
      </w:r>
    </w:p>
    <w:p w14:paraId="4AACCF57" w14:textId="6F59120F" w:rsidR="0029646B" w:rsidRPr="00E44D09" w:rsidRDefault="005F5804" w:rsidP="0029646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>У</w:t>
      </w:r>
      <w:r w:rsidR="0029646B" w:rsidRPr="00CE4DA9">
        <w:rPr>
          <w:rFonts w:ascii="Times New Roman" w:hAnsi="Times New Roman" w:cs="Times New Roman"/>
          <w:sz w:val="28"/>
          <w:szCs w:val="28"/>
        </w:rPr>
        <w:t>ровень концентрации на федеральном рынке привлечения денежных средств физических лиц</w:t>
      </w:r>
      <w:r w:rsidRPr="00CE4DA9">
        <w:rPr>
          <w:rFonts w:ascii="Times New Roman" w:hAnsi="Times New Roman" w:cs="Times New Roman"/>
          <w:sz w:val="28"/>
          <w:szCs w:val="28"/>
        </w:rPr>
        <w:t xml:space="preserve"> не изменился и</w:t>
      </w:r>
      <w:r w:rsidR="0029646B" w:rsidRPr="00CE4DA9">
        <w:rPr>
          <w:rFonts w:ascii="Times New Roman" w:hAnsi="Times New Roman" w:cs="Times New Roman"/>
          <w:sz w:val="28"/>
          <w:szCs w:val="28"/>
        </w:rPr>
        <w:t xml:space="preserve"> характеризовался высоким </w:t>
      </w:r>
      <w:r w:rsidRPr="00CE4DA9">
        <w:rPr>
          <w:rFonts w:ascii="Times New Roman" w:hAnsi="Times New Roman" w:cs="Times New Roman"/>
          <w:sz w:val="28"/>
          <w:szCs w:val="28"/>
        </w:rPr>
        <w:t>показателями</w:t>
      </w:r>
      <w:r w:rsidR="0029646B" w:rsidRPr="00CE4DA9">
        <w:rPr>
          <w:rFonts w:ascii="Times New Roman" w:hAnsi="Times New Roman" w:cs="Times New Roman"/>
          <w:sz w:val="28"/>
          <w:szCs w:val="28"/>
        </w:rPr>
        <w:t xml:space="preserve"> на протяжении всего исследуемого периода времени (</w:t>
      </w:r>
      <w:r w:rsidR="0029646B" w:rsidRPr="00CE4DA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="0029646B" w:rsidRPr="00CE4DA9">
        <w:rPr>
          <w:rFonts w:ascii="Times New Roman" w:hAnsi="Times New Roman" w:cs="Times New Roman"/>
          <w:sz w:val="28"/>
          <w:szCs w:val="28"/>
        </w:rPr>
        <w:t xml:space="preserve"> от 2190 до 2365; </w:t>
      </w:r>
      <w:r w:rsidR="0029646B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="0029646B" w:rsidRPr="00CE4D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="0029646B" w:rsidRPr="00CE4DA9">
        <w:rPr>
          <w:rFonts w:ascii="Times New Roman" w:hAnsi="Times New Roman" w:cs="Times New Roman"/>
          <w:sz w:val="28"/>
          <w:szCs w:val="28"/>
        </w:rPr>
        <w:t xml:space="preserve">от 56,7% до 64,3%). При этом по сравнению с 2018 годом в 2019 году наблюдается несущественное снижение </w:t>
      </w:r>
      <w:r w:rsidR="0029646B" w:rsidRPr="00CE4DA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="0029646B" w:rsidRPr="00CE4DA9">
        <w:rPr>
          <w:rFonts w:ascii="Times New Roman" w:hAnsi="Times New Roman" w:cs="Times New Roman"/>
          <w:sz w:val="28"/>
          <w:szCs w:val="28"/>
        </w:rPr>
        <w:t xml:space="preserve"> (с 2296 до 2279) с одновременным приростом </w:t>
      </w:r>
      <w:r w:rsidR="0029646B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="0029646B" w:rsidRPr="00CE4D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="0029646B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(с 62,5% до 64,3%).</w:t>
      </w:r>
    </w:p>
    <w:p w14:paraId="629B14A5" w14:textId="23F2940D" w:rsidR="0029646B" w:rsidRPr="00E44D09" w:rsidRDefault="0029646B" w:rsidP="0029646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 xml:space="preserve">Федеральный рынок привлечения денежных средств юридических лиц, являвшийся в 2011 году </w:t>
      </w:r>
      <w:proofErr w:type="spellStart"/>
      <w:r w:rsidRPr="00E44D09">
        <w:rPr>
          <w:rFonts w:ascii="Times New Roman" w:hAnsi="Times New Roman" w:cs="Times New Roman"/>
          <w:sz w:val="28"/>
          <w:szCs w:val="28"/>
        </w:rPr>
        <w:t>низкоконцентрированным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 xml:space="preserve"> (</w:t>
      </w:r>
      <w:r w:rsidRPr="00E44D0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E44D09">
        <w:rPr>
          <w:rFonts w:ascii="Times New Roman" w:hAnsi="Times New Roman" w:cs="Times New Roman"/>
          <w:sz w:val="28"/>
          <w:szCs w:val="28"/>
        </w:rPr>
        <w:t xml:space="preserve"> = 960; 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E4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44D09">
        <w:rPr>
          <w:rFonts w:ascii="Times New Roman" w:hAnsi="Times New Roman" w:cs="Times New Roman"/>
          <w:sz w:val="28"/>
          <w:szCs w:val="28"/>
        </w:rPr>
        <w:t>= 47,7%), начиная с 2013 года характеризовался умеренным уровнем концентрации (</w:t>
      </w:r>
      <w:r w:rsidRPr="00E44D0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E44D09">
        <w:rPr>
          <w:rFonts w:ascii="Times New Roman" w:hAnsi="Times New Roman" w:cs="Times New Roman"/>
          <w:sz w:val="28"/>
          <w:szCs w:val="28"/>
        </w:rPr>
        <w:t xml:space="preserve"> от 1016 до 1667; 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E4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E44D09">
        <w:rPr>
          <w:rFonts w:ascii="Times New Roman" w:hAnsi="Times New Roman" w:cs="Times New Roman"/>
          <w:sz w:val="28"/>
          <w:szCs w:val="28"/>
        </w:rPr>
        <w:t>от 59,3% до 64,7%). Вместе с тем необходимо отметить, что с 2018 года наблюдается тенденция к улучшению конкурентной среды на указанном рынке. Так, в 2017 году показатели концентрации достигали максимальных значений (</w:t>
      </w:r>
      <w:r w:rsidRPr="00E44D0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E44D09">
        <w:rPr>
          <w:rFonts w:ascii="Times New Roman" w:hAnsi="Times New Roman" w:cs="Times New Roman"/>
          <w:sz w:val="28"/>
          <w:szCs w:val="28"/>
        </w:rPr>
        <w:t xml:space="preserve"> = 1580, 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E4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44D09">
        <w:rPr>
          <w:rFonts w:ascii="Times New Roman" w:hAnsi="Times New Roman" w:cs="Times New Roman"/>
          <w:sz w:val="28"/>
          <w:szCs w:val="28"/>
        </w:rPr>
        <w:t>= 64,7%), при этом в 2018 году наблю</w:t>
      </w:r>
      <w:r w:rsidR="00865699">
        <w:rPr>
          <w:rFonts w:ascii="Times New Roman" w:hAnsi="Times New Roman" w:cs="Times New Roman"/>
          <w:sz w:val="28"/>
          <w:szCs w:val="28"/>
        </w:rPr>
        <w:t>да</w:t>
      </w:r>
      <w:r w:rsidRPr="00E44D09">
        <w:rPr>
          <w:rFonts w:ascii="Times New Roman" w:hAnsi="Times New Roman" w:cs="Times New Roman"/>
          <w:sz w:val="28"/>
          <w:szCs w:val="28"/>
        </w:rPr>
        <w:t>лось их снижение (</w:t>
      </w:r>
      <w:r w:rsidRPr="00E44D0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E44D09">
        <w:rPr>
          <w:rFonts w:ascii="Times New Roman" w:hAnsi="Times New Roman" w:cs="Times New Roman"/>
          <w:sz w:val="28"/>
          <w:szCs w:val="28"/>
        </w:rPr>
        <w:t xml:space="preserve"> = 1394, 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E4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44D09">
        <w:rPr>
          <w:rFonts w:ascii="Times New Roman" w:hAnsi="Times New Roman" w:cs="Times New Roman"/>
          <w:sz w:val="28"/>
          <w:szCs w:val="28"/>
        </w:rPr>
        <w:t>= 60,9%), сохранившееся и в 2019 году (</w:t>
      </w:r>
      <w:r w:rsidRPr="00E44D09">
        <w:rPr>
          <w:rFonts w:ascii="Times New Roman" w:hAnsi="Times New Roman" w:cs="Times New Roman"/>
          <w:sz w:val="28"/>
          <w:szCs w:val="28"/>
          <w:lang w:val="en-US"/>
        </w:rPr>
        <w:t>HHI</w:t>
      </w:r>
      <w:r w:rsidRPr="00E44D09">
        <w:rPr>
          <w:rFonts w:ascii="Times New Roman" w:hAnsi="Times New Roman" w:cs="Times New Roman"/>
          <w:sz w:val="28"/>
          <w:szCs w:val="28"/>
        </w:rPr>
        <w:t xml:space="preserve"> = 1306, 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E4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44D09">
        <w:rPr>
          <w:rFonts w:ascii="Times New Roman" w:hAnsi="Times New Roman" w:cs="Times New Roman"/>
          <w:sz w:val="28"/>
          <w:szCs w:val="28"/>
        </w:rPr>
        <w:t>= 59,3%).</w:t>
      </w:r>
    </w:p>
    <w:p w14:paraId="7273E830" w14:textId="77777777" w:rsidR="00E7102F" w:rsidRDefault="00E7102F" w:rsidP="00E7102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9">
        <w:rPr>
          <w:rFonts w:ascii="Times New Roman" w:hAnsi="Times New Roman" w:cs="Times New Roman"/>
          <w:sz w:val="28"/>
          <w:szCs w:val="28"/>
        </w:rPr>
        <w:lastRenderedPageBreak/>
        <w:t>Динамика изменения показателей рыночной концентрации на федеральных рынках (HHI и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CR</w:t>
      </w:r>
      <w:r w:rsidRPr="00E44D0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</w:t>
      </w:r>
      <w:r w:rsidR="00F839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рис</w:t>
      </w:r>
      <w:r w:rsidR="00D6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унках </w:t>
      </w:r>
      <w:r w:rsidR="00F839CA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соответственно.</w:t>
      </w:r>
    </w:p>
    <w:p w14:paraId="639F6901" w14:textId="77777777" w:rsidR="00B3651B" w:rsidRPr="00B3651B" w:rsidRDefault="00B94485" w:rsidP="00B3651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651B">
        <w:rPr>
          <w:noProof/>
          <w:sz w:val="26"/>
          <w:szCs w:val="26"/>
          <w:lang w:eastAsia="ru-RU"/>
        </w:rPr>
        <w:drawing>
          <wp:inline distT="0" distB="0" distL="0" distR="0" wp14:anchorId="503BE33A" wp14:editId="24891697">
            <wp:extent cx="5486400" cy="76200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58C3708" w14:textId="77777777" w:rsidR="00D64114" w:rsidRPr="00B3651B" w:rsidRDefault="00B3651B" w:rsidP="00B3651B">
      <w:pPr>
        <w:pStyle w:val="a7"/>
        <w:jc w:val="center"/>
        <w:rPr>
          <w:b/>
          <w:color w:val="auto"/>
          <w:sz w:val="26"/>
          <w:szCs w:val="26"/>
        </w:rPr>
      </w:pPr>
      <w:r w:rsidRPr="00B3651B">
        <w:rPr>
          <w:b/>
          <w:color w:val="auto"/>
          <w:sz w:val="26"/>
          <w:szCs w:val="26"/>
        </w:rPr>
        <w:t xml:space="preserve">Рисунок </w:t>
      </w:r>
      <w:r w:rsidRPr="00B3651B">
        <w:rPr>
          <w:b/>
          <w:color w:val="auto"/>
          <w:sz w:val="26"/>
          <w:szCs w:val="26"/>
        </w:rPr>
        <w:fldChar w:fldCharType="begin"/>
      </w:r>
      <w:r w:rsidRPr="00B3651B">
        <w:rPr>
          <w:b/>
          <w:color w:val="auto"/>
          <w:sz w:val="26"/>
          <w:szCs w:val="26"/>
        </w:rPr>
        <w:instrText xml:space="preserve"> SEQ Рисунок \* ARABIC </w:instrText>
      </w:r>
      <w:r w:rsidRPr="00B3651B">
        <w:rPr>
          <w:b/>
          <w:color w:val="auto"/>
          <w:sz w:val="26"/>
          <w:szCs w:val="26"/>
        </w:rPr>
        <w:fldChar w:fldCharType="separate"/>
      </w:r>
      <w:r w:rsidRPr="00B3651B">
        <w:rPr>
          <w:b/>
          <w:noProof/>
          <w:color w:val="auto"/>
          <w:sz w:val="26"/>
          <w:szCs w:val="26"/>
        </w:rPr>
        <w:t>1</w:t>
      </w:r>
      <w:r w:rsidRPr="00B3651B">
        <w:rPr>
          <w:b/>
          <w:color w:val="auto"/>
          <w:sz w:val="26"/>
          <w:szCs w:val="26"/>
        </w:rPr>
        <w:fldChar w:fldCharType="end"/>
      </w:r>
      <w:r w:rsidR="0019558A">
        <w:rPr>
          <w:b/>
          <w:color w:val="auto"/>
          <w:sz w:val="26"/>
          <w:szCs w:val="26"/>
        </w:rPr>
        <w:t>.</w:t>
      </w:r>
      <w:r w:rsidRPr="00B3651B">
        <w:rPr>
          <w:b/>
          <w:color w:val="auto"/>
          <w:sz w:val="26"/>
          <w:szCs w:val="26"/>
        </w:rPr>
        <w:t xml:space="preserve"> Динамика изменения Индекса </w:t>
      </w:r>
      <w:proofErr w:type="spellStart"/>
      <w:r w:rsidR="00954B32">
        <w:rPr>
          <w:b/>
          <w:color w:val="auto"/>
          <w:sz w:val="26"/>
          <w:szCs w:val="26"/>
        </w:rPr>
        <w:t>Герфиндаля</w:t>
      </w:r>
      <w:proofErr w:type="spellEnd"/>
      <w:r w:rsidR="00954B32">
        <w:rPr>
          <w:b/>
          <w:color w:val="auto"/>
          <w:sz w:val="26"/>
          <w:szCs w:val="26"/>
        </w:rPr>
        <w:t>—</w:t>
      </w:r>
      <w:proofErr w:type="spellStart"/>
      <w:r w:rsidR="00954B32" w:rsidRPr="00954B32">
        <w:rPr>
          <w:b/>
          <w:color w:val="auto"/>
          <w:sz w:val="26"/>
          <w:szCs w:val="26"/>
        </w:rPr>
        <w:t>Гиршмана</w:t>
      </w:r>
      <w:proofErr w:type="spellEnd"/>
      <w:r w:rsidR="00954B32" w:rsidRPr="00954B32">
        <w:rPr>
          <w:b/>
          <w:color w:val="auto"/>
          <w:sz w:val="26"/>
          <w:szCs w:val="26"/>
        </w:rPr>
        <w:t xml:space="preserve"> </w:t>
      </w:r>
      <w:r w:rsidRPr="00B3651B">
        <w:rPr>
          <w:b/>
          <w:color w:val="auto"/>
          <w:sz w:val="26"/>
          <w:szCs w:val="26"/>
        </w:rPr>
        <w:t>(HHI)</w:t>
      </w:r>
    </w:p>
    <w:p w14:paraId="1F282EC9" w14:textId="77777777" w:rsidR="00B3651B" w:rsidRPr="00B3651B" w:rsidRDefault="00B94485" w:rsidP="00B3651B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3651B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6931F299" wp14:editId="3C34CA26">
            <wp:extent cx="5486400" cy="7620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9798AE" w14:textId="77777777" w:rsidR="00D64114" w:rsidRPr="00B3651B" w:rsidRDefault="00B3651B" w:rsidP="00B3651B">
      <w:pPr>
        <w:pStyle w:val="a7"/>
        <w:jc w:val="center"/>
        <w:rPr>
          <w:b/>
          <w:color w:val="auto"/>
          <w:sz w:val="26"/>
          <w:szCs w:val="26"/>
        </w:rPr>
      </w:pPr>
      <w:r w:rsidRPr="00B3651B">
        <w:rPr>
          <w:b/>
          <w:color w:val="auto"/>
          <w:sz w:val="26"/>
          <w:szCs w:val="26"/>
        </w:rPr>
        <w:t xml:space="preserve">Рисунок </w:t>
      </w:r>
      <w:r w:rsidRPr="00B3651B">
        <w:rPr>
          <w:b/>
          <w:color w:val="auto"/>
          <w:sz w:val="26"/>
          <w:szCs w:val="26"/>
        </w:rPr>
        <w:fldChar w:fldCharType="begin"/>
      </w:r>
      <w:r w:rsidRPr="00B3651B">
        <w:rPr>
          <w:b/>
          <w:color w:val="auto"/>
          <w:sz w:val="26"/>
          <w:szCs w:val="26"/>
        </w:rPr>
        <w:instrText xml:space="preserve"> SEQ Рисунок \* ARABIC </w:instrText>
      </w:r>
      <w:r w:rsidRPr="00B3651B">
        <w:rPr>
          <w:b/>
          <w:color w:val="auto"/>
          <w:sz w:val="26"/>
          <w:szCs w:val="26"/>
        </w:rPr>
        <w:fldChar w:fldCharType="separate"/>
      </w:r>
      <w:r w:rsidRPr="00B3651B">
        <w:rPr>
          <w:b/>
          <w:noProof/>
          <w:color w:val="auto"/>
          <w:sz w:val="26"/>
          <w:szCs w:val="26"/>
        </w:rPr>
        <w:t>2</w:t>
      </w:r>
      <w:r w:rsidRPr="00B3651B">
        <w:rPr>
          <w:b/>
          <w:color w:val="auto"/>
          <w:sz w:val="26"/>
          <w:szCs w:val="26"/>
        </w:rPr>
        <w:fldChar w:fldCharType="end"/>
      </w:r>
      <w:r w:rsidR="0019558A">
        <w:rPr>
          <w:b/>
          <w:color w:val="auto"/>
          <w:sz w:val="26"/>
          <w:szCs w:val="26"/>
        </w:rPr>
        <w:t>.</w:t>
      </w:r>
      <w:r w:rsidRPr="00B3651B">
        <w:rPr>
          <w:b/>
          <w:color w:val="auto"/>
          <w:sz w:val="26"/>
          <w:szCs w:val="26"/>
        </w:rPr>
        <w:t xml:space="preserve"> Динамика изменения CR3</w:t>
      </w:r>
    </w:p>
    <w:p w14:paraId="64E2C380" w14:textId="40E9F2E0" w:rsidR="004907A3" w:rsidRDefault="006D2813" w:rsidP="004907A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3">
        <w:rPr>
          <w:rFonts w:ascii="Times New Roman" w:hAnsi="Times New Roman" w:cs="Times New Roman"/>
          <w:sz w:val="28"/>
          <w:szCs w:val="28"/>
        </w:rPr>
        <w:t>Одновременно с этим в ходе исследования было установлено, что во всех проанализированных</w:t>
      </w:r>
      <w:r w:rsidRPr="00E44D09">
        <w:rPr>
          <w:rFonts w:ascii="Times New Roman" w:hAnsi="Times New Roman" w:cs="Times New Roman"/>
          <w:sz w:val="28"/>
          <w:szCs w:val="28"/>
        </w:rPr>
        <w:t xml:space="preserve"> сегментах на федеральном уровне превалирующую долю занимают 1-2 группы банков с государственным участием, причем их доля вместе с третьим по размеру игроком, имеющим, как правило, незначительную по сравнению с лидером долю, неизменно росла и в зависимости от сегмента в 2019 году в среднем составляла от 59% до 66%. </w:t>
      </w:r>
      <w:r w:rsidR="004907A3" w:rsidRPr="004907A3">
        <w:rPr>
          <w:rFonts w:ascii="Times New Roman" w:hAnsi="Times New Roman" w:cs="Times New Roman"/>
          <w:sz w:val="28"/>
          <w:szCs w:val="28"/>
        </w:rPr>
        <w:t xml:space="preserve">В </w:t>
      </w:r>
      <w:r w:rsidR="004907A3" w:rsidRPr="004907A3">
        <w:rPr>
          <w:rFonts w:ascii="Times New Roman" w:hAnsi="Times New Roman" w:cs="Times New Roman"/>
          <w:sz w:val="28"/>
          <w:szCs w:val="28"/>
        </w:rPr>
        <w:lastRenderedPageBreak/>
        <w:t xml:space="preserve">число </w:t>
      </w:r>
      <w:r w:rsidR="004907A3">
        <w:rPr>
          <w:rFonts w:ascii="Times New Roman" w:hAnsi="Times New Roman" w:cs="Times New Roman"/>
          <w:sz w:val="28"/>
          <w:szCs w:val="28"/>
        </w:rPr>
        <w:t>таких</w:t>
      </w:r>
      <w:r w:rsidR="004907A3" w:rsidRPr="004907A3">
        <w:rPr>
          <w:rFonts w:ascii="Times New Roman" w:hAnsi="Times New Roman" w:cs="Times New Roman"/>
          <w:sz w:val="28"/>
          <w:szCs w:val="28"/>
        </w:rPr>
        <w:t xml:space="preserve"> </w:t>
      </w:r>
      <w:r w:rsidR="004907A3" w:rsidRPr="004907A3">
        <w:rPr>
          <w:rFonts w:ascii="Times New Roman" w:hAnsi="Times New Roman" w:cs="Times New Roman"/>
          <w:sz w:val="28"/>
          <w:szCs w:val="28"/>
        </w:rPr>
        <w:t>групп на протяжении всего периода неизменно входил</w:t>
      </w:r>
      <w:r w:rsidR="001B66D1">
        <w:rPr>
          <w:rFonts w:ascii="Times New Roman" w:hAnsi="Times New Roman" w:cs="Times New Roman"/>
          <w:sz w:val="28"/>
          <w:szCs w:val="28"/>
        </w:rPr>
        <w:t>и</w:t>
      </w:r>
      <w:r w:rsidR="004907A3" w:rsidRPr="004907A3">
        <w:rPr>
          <w:rFonts w:ascii="Times New Roman" w:hAnsi="Times New Roman" w:cs="Times New Roman"/>
          <w:sz w:val="28"/>
          <w:szCs w:val="28"/>
        </w:rPr>
        <w:t xml:space="preserve"> </w:t>
      </w:r>
      <w:r w:rsidR="00391639">
        <w:rPr>
          <w:rFonts w:ascii="Times New Roman" w:hAnsi="Times New Roman" w:cs="Times New Roman"/>
          <w:sz w:val="28"/>
          <w:szCs w:val="28"/>
        </w:rPr>
        <w:t xml:space="preserve">одни и те же </w:t>
      </w:r>
      <w:r w:rsidR="004907A3" w:rsidRPr="004907A3">
        <w:rPr>
          <w:rFonts w:ascii="Times New Roman" w:hAnsi="Times New Roman" w:cs="Times New Roman"/>
          <w:sz w:val="28"/>
          <w:szCs w:val="28"/>
        </w:rPr>
        <w:t>группы лиц банков</w:t>
      </w:r>
      <w:r w:rsidR="004907A3" w:rsidRPr="00E44D09">
        <w:rPr>
          <w:rFonts w:ascii="Times New Roman" w:hAnsi="Times New Roman" w:cs="Times New Roman"/>
          <w:sz w:val="28"/>
          <w:szCs w:val="28"/>
        </w:rPr>
        <w:t xml:space="preserve"> с государственным участием </w:t>
      </w:r>
      <w:r w:rsidR="004907A3">
        <w:rPr>
          <w:rFonts w:ascii="Times New Roman" w:hAnsi="Times New Roman" w:cs="Times New Roman"/>
          <w:sz w:val="28"/>
          <w:szCs w:val="28"/>
        </w:rPr>
        <w:t xml:space="preserve">и </w:t>
      </w:r>
      <w:r w:rsidR="004907A3" w:rsidRPr="00E44D09">
        <w:rPr>
          <w:rFonts w:ascii="Times New Roman" w:hAnsi="Times New Roman" w:cs="Times New Roman"/>
          <w:sz w:val="28"/>
          <w:szCs w:val="28"/>
        </w:rPr>
        <w:t>в некоторых случаях (в разные периоды времени и в отдельных сегментах рынка) – группы лиц банков с частной формой собственности</w:t>
      </w:r>
      <w:r w:rsidR="004907A3">
        <w:rPr>
          <w:rFonts w:ascii="Times New Roman" w:hAnsi="Times New Roman" w:cs="Times New Roman"/>
          <w:sz w:val="28"/>
          <w:szCs w:val="28"/>
        </w:rPr>
        <w:t>.</w:t>
      </w:r>
      <w:r w:rsidR="004907A3" w:rsidRPr="00E44D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925E0" w14:textId="6ABEA48E" w:rsidR="006D2813" w:rsidRPr="00E44D0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При этом отрыв тройки лидеров</w:t>
      </w:r>
      <w:bookmarkStart w:id="0" w:name="_GoBack"/>
      <w:bookmarkEnd w:id="0"/>
      <w:r w:rsidRPr="00E44D09">
        <w:rPr>
          <w:rFonts w:ascii="Times New Roman" w:hAnsi="Times New Roman" w:cs="Times New Roman"/>
          <w:sz w:val="28"/>
          <w:szCs w:val="28"/>
        </w:rPr>
        <w:t xml:space="preserve"> от остальных игроков в 2019 году составлял от 54 до 62 </w:t>
      </w:r>
      <w:proofErr w:type="spellStart"/>
      <w:r w:rsidRPr="00E44D0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>.</w:t>
      </w:r>
      <w:r w:rsidR="00E27D7C">
        <w:rPr>
          <w:rFonts w:ascii="Times New Roman" w:hAnsi="Times New Roman" w:cs="Times New Roman"/>
          <w:sz w:val="28"/>
          <w:szCs w:val="28"/>
        </w:rPr>
        <w:t xml:space="preserve"> </w:t>
      </w:r>
      <w:r w:rsidR="00E27D7C" w:rsidRPr="00CE4DA9">
        <w:rPr>
          <w:rFonts w:ascii="Times New Roman" w:hAnsi="Times New Roman" w:cs="Times New Roman"/>
          <w:sz w:val="28"/>
          <w:szCs w:val="28"/>
        </w:rPr>
        <w:t>Так, доля четвертого игрока в зависимости от сегмента не превышала 3% – 6%.</w:t>
      </w:r>
    </w:p>
    <w:p w14:paraId="7AF60347" w14:textId="5CDDA328" w:rsidR="00E56B2E" w:rsidRDefault="00E56B2E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2E">
        <w:rPr>
          <w:rFonts w:ascii="Times New Roman" w:hAnsi="Times New Roman" w:cs="Times New Roman"/>
          <w:sz w:val="28"/>
          <w:szCs w:val="28"/>
        </w:rPr>
        <w:t xml:space="preserve">В зависимости от сегмента федерального рынка в 2019 году доля лидера составляла от 22% до 44%, а его отрыв от второго игрока составлял от 14 до 28 </w:t>
      </w:r>
      <w:proofErr w:type="spellStart"/>
      <w:r w:rsidRPr="00E56B2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56B2E">
        <w:rPr>
          <w:rFonts w:ascii="Times New Roman" w:hAnsi="Times New Roman" w:cs="Times New Roman"/>
          <w:sz w:val="28"/>
          <w:szCs w:val="28"/>
        </w:rPr>
        <w:t xml:space="preserve">., за исключением сегмента привлечения во вклады (на счета) средств юридических лиц, где эти игроки поменялись местами с отрывом в 1 </w:t>
      </w:r>
      <w:proofErr w:type="spellStart"/>
      <w:r w:rsidRPr="00E56B2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56B2E">
        <w:rPr>
          <w:rFonts w:ascii="Times New Roman" w:hAnsi="Times New Roman" w:cs="Times New Roman"/>
          <w:sz w:val="28"/>
          <w:szCs w:val="28"/>
        </w:rPr>
        <w:t xml:space="preserve">. В свою очередь, в остальных сегментах федерального рынка доля второго игрока составляла от 16% до 23%, а его отрыв от третьего игрока варьировался в диапазоне от 7 до 16 </w:t>
      </w:r>
      <w:proofErr w:type="spellStart"/>
      <w:r w:rsidRPr="00E56B2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56B2E">
        <w:rPr>
          <w:rFonts w:ascii="Times New Roman" w:hAnsi="Times New Roman" w:cs="Times New Roman"/>
          <w:sz w:val="28"/>
          <w:szCs w:val="28"/>
        </w:rPr>
        <w:t>.</w:t>
      </w:r>
    </w:p>
    <w:p w14:paraId="3437784A" w14:textId="77777777" w:rsidR="006D2813" w:rsidRPr="00E44D0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>Кроме того, по результатам проведенного исследования наблюдается тенденция к усилению позиций на рынке именно крупных кредитных организаций с участием в уставном капитале Российской Федерации или Банка России.</w:t>
      </w:r>
    </w:p>
    <w:p w14:paraId="4F0E8892" w14:textId="77777777" w:rsidR="006D2813" w:rsidRPr="00E44D0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На основании данных</w:t>
      </w:r>
      <w:r w:rsidR="00954B32">
        <w:rPr>
          <w:rFonts w:ascii="Times New Roman" w:hAnsi="Times New Roman" w:cs="Times New Roman"/>
          <w:sz w:val="28"/>
          <w:szCs w:val="28"/>
        </w:rPr>
        <w:t>,</w:t>
      </w:r>
      <w:r w:rsidRPr="00E44D09">
        <w:rPr>
          <w:rFonts w:ascii="Times New Roman" w:hAnsi="Times New Roman" w:cs="Times New Roman"/>
          <w:sz w:val="28"/>
          <w:szCs w:val="28"/>
        </w:rPr>
        <w:t xml:space="preserve"> предоставленных Центральным банком Российской Федерации</w:t>
      </w:r>
      <w:r w:rsidR="00954B32">
        <w:rPr>
          <w:rFonts w:ascii="Times New Roman" w:hAnsi="Times New Roman" w:cs="Times New Roman"/>
          <w:sz w:val="28"/>
          <w:szCs w:val="28"/>
        </w:rPr>
        <w:t>,</w:t>
      </w:r>
      <w:r w:rsidRPr="00E44D09">
        <w:rPr>
          <w:rFonts w:ascii="Times New Roman" w:hAnsi="Times New Roman" w:cs="Times New Roman"/>
          <w:sz w:val="28"/>
          <w:szCs w:val="28"/>
        </w:rPr>
        <w:t xml:space="preserve"> по состоянию на 31.12.2019:</w:t>
      </w:r>
    </w:p>
    <w:p w14:paraId="7B9A3322" w14:textId="75EAE921" w:rsidR="006D2813" w:rsidRPr="00E44D0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- деятельность на рынке кредитования физических лиц фактически осуществляло 366 кредитных организаци</w:t>
      </w:r>
      <w:r w:rsidR="00954B32">
        <w:rPr>
          <w:rFonts w:ascii="Times New Roman" w:hAnsi="Times New Roman" w:cs="Times New Roman"/>
          <w:sz w:val="28"/>
          <w:szCs w:val="28"/>
        </w:rPr>
        <w:t>й</w:t>
      </w:r>
      <w:r w:rsidRPr="00E44D09">
        <w:rPr>
          <w:rFonts w:ascii="Times New Roman" w:hAnsi="Times New Roman" w:cs="Times New Roman"/>
          <w:sz w:val="28"/>
          <w:szCs w:val="28"/>
        </w:rPr>
        <w:t>, 44 из которых являлись организациями с государственным участием, а совокупная рыночная доля этих 44 банков с государственным участием на рассматриваемом рынке составила 73% (по сравнению с 2018 годом общая совокупная рыночная доля банков</w:t>
      </w:r>
      <w:r w:rsidR="00C11241">
        <w:rPr>
          <w:rFonts w:ascii="Times New Roman" w:hAnsi="Times New Roman" w:cs="Times New Roman"/>
          <w:sz w:val="28"/>
          <w:szCs w:val="28"/>
        </w:rPr>
        <w:t xml:space="preserve"> с государственным участием</w:t>
      </w:r>
      <w:r w:rsidRPr="00E44D09">
        <w:rPr>
          <w:rFonts w:ascii="Times New Roman" w:hAnsi="Times New Roman" w:cs="Times New Roman"/>
          <w:sz w:val="28"/>
          <w:szCs w:val="28"/>
        </w:rPr>
        <w:t xml:space="preserve"> увеличилась на 2 </w:t>
      </w:r>
      <w:proofErr w:type="spellStart"/>
      <w:r w:rsidR="00A101D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101D6">
        <w:rPr>
          <w:rFonts w:ascii="Times New Roman" w:hAnsi="Times New Roman" w:cs="Times New Roman"/>
          <w:sz w:val="28"/>
          <w:szCs w:val="28"/>
        </w:rPr>
        <w:t>.</w:t>
      </w:r>
      <w:r w:rsidR="00E27D7C">
        <w:rPr>
          <w:rFonts w:ascii="Times New Roman" w:hAnsi="Times New Roman" w:cs="Times New Roman"/>
          <w:sz w:val="28"/>
          <w:szCs w:val="28"/>
        </w:rPr>
        <w:t>)</w:t>
      </w:r>
      <w:r w:rsidRPr="00E44D09">
        <w:rPr>
          <w:rFonts w:ascii="Times New Roman" w:hAnsi="Times New Roman" w:cs="Times New Roman"/>
          <w:sz w:val="28"/>
          <w:szCs w:val="28"/>
        </w:rPr>
        <w:t>;</w:t>
      </w:r>
    </w:p>
    <w:p w14:paraId="65A8A758" w14:textId="37B7C2AA" w:rsidR="006D2813" w:rsidRPr="00E44D0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- деятельность на рынке кредитования юридических лиц факти</w:t>
      </w:r>
      <w:r w:rsidR="00954B32">
        <w:rPr>
          <w:rFonts w:ascii="Times New Roman" w:hAnsi="Times New Roman" w:cs="Times New Roman"/>
          <w:sz w:val="28"/>
          <w:szCs w:val="28"/>
        </w:rPr>
        <w:t>чески осуществляло 383 кредитные</w:t>
      </w:r>
      <w:r w:rsidRPr="00E44D09">
        <w:rPr>
          <w:rFonts w:ascii="Times New Roman" w:hAnsi="Times New Roman" w:cs="Times New Roman"/>
          <w:sz w:val="28"/>
          <w:szCs w:val="28"/>
        </w:rPr>
        <w:t xml:space="preserve"> организации, 45 из которых являлись организациями с государственным участием, а совокупная рыночная доля этих 45 банков с государственным участием на рассматриваемом рынке составила 80% (по сравнению с 2018 годом общая совокупная рыночная доля </w:t>
      </w:r>
      <w:r w:rsidR="00C11241" w:rsidRPr="00E44D09">
        <w:rPr>
          <w:rFonts w:ascii="Times New Roman" w:hAnsi="Times New Roman" w:cs="Times New Roman"/>
          <w:sz w:val="28"/>
          <w:szCs w:val="28"/>
        </w:rPr>
        <w:t>банков</w:t>
      </w:r>
      <w:r w:rsidR="00C11241">
        <w:rPr>
          <w:rFonts w:ascii="Times New Roman" w:hAnsi="Times New Roman" w:cs="Times New Roman"/>
          <w:sz w:val="28"/>
          <w:szCs w:val="28"/>
        </w:rPr>
        <w:t xml:space="preserve"> с государственным участием</w:t>
      </w:r>
      <w:r w:rsidR="00C11241" w:rsidRPr="00E44D09">
        <w:rPr>
          <w:rFonts w:ascii="Times New Roman" w:hAnsi="Times New Roman" w:cs="Times New Roman"/>
          <w:sz w:val="28"/>
          <w:szCs w:val="28"/>
        </w:rPr>
        <w:t xml:space="preserve"> </w:t>
      </w:r>
      <w:r w:rsidRPr="00E44D09">
        <w:rPr>
          <w:rFonts w:ascii="Times New Roman" w:hAnsi="Times New Roman" w:cs="Times New Roman"/>
          <w:sz w:val="28"/>
          <w:szCs w:val="28"/>
        </w:rPr>
        <w:t xml:space="preserve">увеличилась на 5 </w:t>
      </w:r>
      <w:proofErr w:type="spellStart"/>
      <w:r w:rsidRPr="00E44D0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>.);</w:t>
      </w:r>
    </w:p>
    <w:p w14:paraId="1228CEE3" w14:textId="506D320C" w:rsidR="006D2813" w:rsidRPr="00E44D0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- деятельность на рынке привлечения денежных средств физических лиц фактически осуществляло 366 кредитных организаци</w:t>
      </w:r>
      <w:r w:rsidR="00954B32">
        <w:rPr>
          <w:rFonts w:ascii="Times New Roman" w:hAnsi="Times New Roman" w:cs="Times New Roman"/>
          <w:sz w:val="28"/>
          <w:szCs w:val="28"/>
        </w:rPr>
        <w:t>й</w:t>
      </w:r>
      <w:r w:rsidRPr="00E44D09">
        <w:rPr>
          <w:rFonts w:ascii="Times New Roman" w:hAnsi="Times New Roman" w:cs="Times New Roman"/>
          <w:sz w:val="28"/>
          <w:szCs w:val="28"/>
        </w:rPr>
        <w:t xml:space="preserve">, 45 из которых являлись организациями с государственным участием, а совокупная рыночная доля этих 45 банков с государственным участием на рассматриваемом рынке составила 75% (по сравнению с 2018 годом общая совокупная рыночная доля </w:t>
      </w:r>
      <w:r w:rsidR="00C11241" w:rsidRPr="00E44D09">
        <w:rPr>
          <w:rFonts w:ascii="Times New Roman" w:hAnsi="Times New Roman" w:cs="Times New Roman"/>
          <w:sz w:val="28"/>
          <w:szCs w:val="28"/>
        </w:rPr>
        <w:t>банков</w:t>
      </w:r>
      <w:r w:rsidR="00C11241">
        <w:rPr>
          <w:rFonts w:ascii="Times New Roman" w:hAnsi="Times New Roman" w:cs="Times New Roman"/>
          <w:sz w:val="28"/>
          <w:szCs w:val="28"/>
        </w:rPr>
        <w:t xml:space="preserve"> с государственным участием</w:t>
      </w:r>
      <w:r w:rsidR="00C11241" w:rsidRPr="00E44D09">
        <w:rPr>
          <w:rFonts w:ascii="Times New Roman" w:hAnsi="Times New Roman" w:cs="Times New Roman"/>
          <w:sz w:val="28"/>
          <w:szCs w:val="28"/>
        </w:rPr>
        <w:t xml:space="preserve"> </w:t>
      </w:r>
      <w:r w:rsidRPr="00E44D09">
        <w:rPr>
          <w:rFonts w:ascii="Times New Roman" w:hAnsi="Times New Roman" w:cs="Times New Roman"/>
          <w:sz w:val="28"/>
          <w:szCs w:val="28"/>
        </w:rPr>
        <w:t xml:space="preserve">увеличилась на 4 </w:t>
      </w:r>
      <w:proofErr w:type="spellStart"/>
      <w:r w:rsidRPr="00E44D0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>.);</w:t>
      </w:r>
    </w:p>
    <w:p w14:paraId="42958DDE" w14:textId="2CB9D153" w:rsidR="006D2813" w:rsidRPr="00E44D0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- деятельность на рынке привлечения денежных средств юридических лиц фактически осущес</w:t>
      </w:r>
      <w:r w:rsidR="00954B32">
        <w:rPr>
          <w:rFonts w:ascii="Times New Roman" w:hAnsi="Times New Roman" w:cs="Times New Roman"/>
          <w:sz w:val="28"/>
          <w:szCs w:val="28"/>
        </w:rPr>
        <w:t>твляло 325 кредитных организаций</w:t>
      </w:r>
      <w:r w:rsidRPr="00E44D09">
        <w:rPr>
          <w:rFonts w:ascii="Times New Roman" w:hAnsi="Times New Roman" w:cs="Times New Roman"/>
          <w:sz w:val="28"/>
          <w:szCs w:val="28"/>
        </w:rPr>
        <w:t xml:space="preserve">, 43 из которых являлись организациями с государственным участием, а совокупная рыночная доля этих 43 банков с государственным участием на рассматриваемом рынке составила 77% (по сравнению с 2018 годом общая совокупная рыночная доля </w:t>
      </w:r>
      <w:r w:rsidR="00C11241" w:rsidRPr="00E44D09">
        <w:rPr>
          <w:rFonts w:ascii="Times New Roman" w:hAnsi="Times New Roman" w:cs="Times New Roman"/>
          <w:sz w:val="28"/>
          <w:szCs w:val="28"/>
        </w:rPr>
        <w:t>банков</w:t>
      </w:r>
      <w:r w:rsidR="00C11241">
        <w:rPr>
          <w:rFonts w:ascii="Times New Roman" w:hAnsi="Times New Roman" w:cs="Times New Roman"/>
          <w:sz w:val="28"/>
          <w:szCs w:val="28"/>
        </w:rPr>
        <w:t xml:space="preserve"> с государственным участием</w:t>
      </w:r>
      <w:r w:rsidR="00C11241" w:rsidRPr="00E44D09">
        <w:rPr>
          <w:rFonts w:ascii="Times New Roman" w:hAnsi="Times New Roman" w:cs="Times New Roman"/>
          <w:sz w:val="28"/>
          <w:szCs w:val="28"/>
        </w:rPr>
        <w:t xml:space="preserve"> </w:t>
      </w:r>
      <w:r w:rsidRPr="00E44D09">
        <w:rPr>
          <w:rFonts w:ascii="Times New Roman" w:hAnsi="Times New Roman" w:cs="Times New Roman"/>
          <w:sz w:val="28"/>
          <w:szCs w:val="28"/>
        </w:rPr>
        <w:t xml:space="preserve">увеличилась на 4 </w:t>
      </w:r>
      <w:proofErr w:type="spellStart"/>
      <w:r w:rsidRPr="00E44D0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>.).</w:t>
      </w:r>
    </w:p>
    <w:p w14:paraId="7E704859" w14:textId="6BF83328" w:rsidR="006D2813" w:rsidRPr="00CE4DA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lastRenderedPageBreak/>
        <w:t xml:space="preserve">При этом на </w:t>
      </w:r>
      <w:r w:rsidRPr="00CE4DA9">
        <w:rPr>
          <w:rFonts w:ascii="Times New Roman" w:hAnsi="Times New Roman" w:cs="Times New Roman"/>
          <w:i/>
          <w:sz w:val="28"/>
          <w:szCs w:val="28"/>
        </w:rPr>
        <w:t>региональных рынках</w:t>
      </w:r>
      <w:r w:rsidRPr="00CE4DA9">
        <w:rPr>
          <w:rFonts w:ascii="Times New Roman" w:hAnsi="Times New Roman" w:cs="Times New Roman"/>
          <w:sz w:val="28"/>
          <w:szCs w:val="28"/>
        </w:rPr>
        <w:t xml:space="preserve"> доля </w:t>
      </w:r>
      <w:r w:rsidR="00C11241" w:rsidRPr="00CE4DA9">
        <w:rPr>
          <w:rFonts w:ascii="Times New Roman" w:hAnsi="Times New Roman" w:cs="Times New Roman"/>
          <w:sz w:val="28"/>
          <w:szCs w:val="28"/>
        </w:rPr>
        <w:t xml:space="preserve">банков с государственным участием </w:t>
      </w:r>
      <w:r w:rsidRPr="00CE4DA9">
        <w:rPr>
          <w:rFonts w:ascii="Times New Roman" w:hAnsi="Times New Roman" w:cs="Times New Roman"/>
          <w:sz w:val="28"/>
          <w:szCs w:val="28"/>
        </w:rPr>
        <w:t>превышает федеральное значение, так:</w:t>
      </w:r>
    </w:p>
    <w:p w14:paraId="34948235" w14:textId="1DE73E4C" w:rsidR="006D2813" w:rsidRPr="00CE4DA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 xml:space="preserve">- в 70 субъектах Российской Федерации на рынках кредитования физических лиц доля банков с государственным участием превышает 73%; максимальная доля этих банков составляла 94% (Чукотский </w:t>
      </w:r>
      <w:r w:rsidR="00817B84" w:rsidRPr="00CE4DA9">
        <w:rPr>
          <w:rFonts w:ascii="Times New Roman" w:hAnsi="Times New Roman" w:cs="Times New Roman"/>
          <w:sz w:val="28"/>
          <w:szCs w:val="28"/>
        </w:rPr>
        <w:t>автономный округ</w:t>
      </w:r>
      <w:r w:rsidRPr="00CE4DA9">
        <w:rPr>
          <w:rFonts w:ascii="Times New Roman" w:hAnsi="Times New Roman" w:cs="Times New Roman"/>
          <w:sz w:val="28"/>
          <w:szCs w:val="28"/>
        </w:rPr>
        <w:t>); на 61 региональн</w:t>
      </w:r>
      <w:r w:rsidR="00957875" w:rsidRPr="00CE4DA9">
        <w:rPr>
          <w:rFonts w:ascii="Times New Roman" w:hAnsi="Times New Roman" w:cs="Times New Roman"/>
          <w:sz w:val="28"/>
          <w:szCs w:val="28"/>
        </w:rPr>
        <w:t>ом</w:t>
      </w:r>
      <w:r w:rsidRPr="00CE4DA9">
        <w:rPr>
          <w:rFonts w:ascii="Times New Roman" w:hAnsi="Times New Roman" w:cs="Times New Roman"/>
          <w:sz w:val="28"/>
          <w:szCs w:val="28"/>
        </w:rPr>
        <w:t xml:space="preserve"> рынк</w:t>
      </w:r>
      <w:r w:rsidR="00957875" w:rsidRPr="00CE4DA9">
        <w:rPr>
          <w:rFonts w:ascii="Times New Roman" w:hAnsi="Times New Roman" w:cs="Times New Roman"/>
          <w:sz w:val="28"/>
          <w:szCs w:val="28"/>
        </w:rPr>
        <w:t>е</w:t>
      </w:r>
      <w:r w:rsidRPr="00CE4DA9">
        <w:rPr>
          <w:rFonts w:ascii="Times New Roman" w:hAnsi="Times New Roman" w:cs="Times New Roman"/>
          <w:sz w:val="28"/>
          <w:szCs w:val="28"/>
        </w:rPr>
        <w:t xml:space="preserve"> в тройку лидеров входили только</w:t>
      </w:r>
      <w:r w:rsidR="00C11241" w:rsidRPr="00CE4DA9">
        <w:rPr>
          <w:rFonts w:ascii="Times New Roman" w:hAnsi="Times New Roman" w:cs="Times New Roman"/>
          <w:sz w:val="28"/>
          <w:szCs w:val="28"/>
        </w:rPr>
        <w:t xml:space="preserve"> банки с государственным участием</w:t>
      </w:r>
      <w:r w:rsidRPr="00CE4DA9">
        <w:rPr>
          <w:rFonts w:ascii="Times New Roman" w:hAnsi="Times New Roman" w:cs="Times New Roman"/>
          <w:sz w:val="28"/>
          <w:szCs w:val="28"/>
        </w:rPr>
        <w:t>;</w:t>
      </w:r>
    </w:p>
    <w:p w14:paraId="4053F91B" w14:textId="3BBB998D" w:rsidR="006D2813" w:rsidRPr="00CE4DA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 xml:space="preserve">- в 52 субъектах Российской Федерации на рынках кредитования юридических лиц доля банков с государственным участием превышает 80%; максимальная доля этих банков составляла 99,9% (Республика Ингушетия); на 66 региональных рынках в тройку лидеров входили только </w:t>
      </w:r>
      <w:r w:rsidR="00C11241" w:rsidRPr="00CE4DA9">
        <w:rPr>
          <w:rFonts w:ascii="Times New Roman" w:hAnsi="Times New Roman" w:cs="Times New Roman"/>
          <w:sz w:val="28"/>
          <w:szCs w:val="28"/>
        </w:rPr>
        <w:t>банки с государственным участием</w:t>
      </w:r>
      <w:r w:rsidRPr="00CE4DA9">
        <w:rPr>
          <w:rFonts w:ascii="Times New Roman" w:hAnsi="Times New Roman" w:cs="Times New Roman"/>
          <w:sz w:val="28"/>
          <w:szCs w:val="28"/>
        </w:rPr>
        <w:t>;</w:t>
      </w:r>
    </w:p>
    <w:p w14:paraId="70885015" w14:textId="0B714F73" w:rsidR="006D2813" w:rsidRPr="00CE4DA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 xml:space="preserve">- в 69 субъектах Российской Федерации на рынках привлечения денежных средств физических лиц доля банков с государственным участием превышает 70%; максимальная доля этих банков составляла 99,9% (Чукотский </w:t>
      </w:r>
      <w:r w:rsidR="00817B84" w:rsidRPr="00CE4DA9">
        <w:rPr>
          <w:rFonts w:ascii="Times New Roman" w:hAnsi="Times New Roman" w:cs="Times New Roman"/>
          <w:sz w:val="28"/>
          <w:szCs w:val="28"/>
        </w:rPr>
        <w:t>автономный округ</w:t>
      </w:r>
      <w:r w:rsidRPr="00CE4DA9">
        <w:rPr>
          <w:rFonts w:ascii="Times New Roman" w:hAnsi="Times New Roman" w:cs="Times New Roman"/>
          <w:sz w:val="28"/>
          <w:szCs w:val="28"/>
        </w:rPr>
        <w:t xml:space="preserve">); на 69 региональных рынках в тройку лидеров входили только </w:t>
      </w:r>
      <w:r w:rsidR="00C11241" w:rsidRPr="00CE4DA9">
        <w:rPr>
          <w:rFonts w:ascii="Times New Roman" w:hAnsi="Times New Roman" w:cs="Times New Roman"/>
          <w:sz w:val="28"/>
          <w:szCs w:val="28"/>
        </w:rPr>
        <w:t>банки с государственным участием</w:t>
      </w:r>
      <w:r w:rsidRPr="00CE4DA9">
        <w:rPr>
          <w:rFonts w:ascii="Times New Roman" w:hAnsi="Times New Roman" w:cs="Times New Roman"/>
          <w:sz w:val="28"/>
          <w:szCs w:val="28"/>
        </w:rPr>
        <w:t>;</w:t>
      </w:r>
    </w:p>
    <w:p w14:paraId="38751636" w14:textId="7BC5BD41" w:rsidR="006D2813" w:rsidRPr="00CE4DA9" w:rsidRDefault="006D2813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 xml:space="preserve">- в 69 субъектах Российской Федерации на рынках привлечения денежных средств юридических лиц доля банков с государственным участием превышает 77%; максимальная доля этих банков составляла 100% (Чукотский </w:t>
      </w:r>
      <w:r w:rsidR="00817B84" w:rsidRPr="00CE4DA9">
        <w:rPr>
          <w:rFonts w:ascii="Times New Roman" w:hAnsi="Times New Roman" w:cs="Times New Roman"/>
          <w:sz w:val="28"/>
          <w:szCs w:val="28"/>
        </w:rPr>
        <w:t>автономный округ</w:t>
      </w:r>
      <w:r w:rsidRPr="00CE4DA9">
        <w:rPr>
          <w:rFonts w:ascii="Times New Roman" w:hAnsi="Times New Roman" w:cs="Times New Roman"/>
          <w:sz w:val="28"/>
          <w:szCs w:val="28"/>
        </w:rPr>
        <w:t>, Республики Дагестан и Ингушетия</w:t>
      </w:r>
      <w:r w:rsidR="00F302EE" w:rsidRPr="00CE4DA9">
        <w:rPr>
          <w:rFonts w:ascii="Times New Roman" w:hAnsi="Times New Roman" w:cs="Times New Roman"/>
          <w:sz w:val="28"/>
          <w:szCs w:val="28"/>
        </w:rPr>
        <w:t xml:space="preserve">, </w:t>
      </w:r>
      <w:r w:rsidR="00F302EE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Калмыкия</w:t>
      </w:r>
      <w:r w:rsidRPr="00CE4DA9">
        <w:rPr>
          <w:rFonts w:ascii="Times New Roman" w:hAnsi="Times New Roman" w:cs="Times New Roman"/>
          <w:sz w:val="28"/>
          <w:szCs w:val="28"/>
        </w:rPr>
        <w:t xml:space="preserve">); на 73 региональных рынках в тройку лидеров входили только </w:t>
      </w:r>
      <w:r w:rsidR="00C11241" w:rsidRPr="00CE4DA9">
        <w:rPr>
          <w:rFonts w:ascii="Times New Roman" w:hAnsi="Times New Roman" w:cs="Times New Roman"/>
          <w:sz w:val="28"/>
          <w:szCs w:val="28"/>
        </w:rPr>
        <w:t>банки с государственным участием</w:t>
      </w:r>
      <w:r w:rsidRPr="00CE4DA9">
        <w:rPr>
          <w:rFonts w:ascii="Times New Roman" w:hAnsi="Times New Roman" w:cs="Times New Roman"/>
          <w:sz w:val="28"/>
          <w:szCs w:val="28"/>
        </w:rPr>
        <w:t>.</w:t>
      </w:r>
    </w:p>
    <w:p w14:paraId="7EE1F4B3" w14:textId="004451E2" w:rsidR="00AF66CE" w:rsidRPr="00CE4DA9" w:rsidRDefault="00AF66CE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465E2" w:rsidRPr="00CE4DA9">
        <w:rPr>
          <w:rFonts w:ascii="Times New Roman" w:hAnsi="Times New Roman" w:cs="Times New Roman"/>
          <w:sz w:val="28"/>
          <w:szCs w:val="28"/>
        </w:rPr>
        <w:t xml:space="preserve">в зависимости от сегмента </w:t>
      </w:r>
      <w:r w:rsidR="00F302EE" w:rsidRPr="00CE4DA9">
        <w:rPr>
          <w:rFonts w:ascii="Times New Roman" w:hAnsi="Times New Roman" w:cs="Times New Roman"/>
          <w:sz w:val="28"/>
          <w:szCs w:val="28"/>
        </w:rPr>
        <w:t xml:space="preserve">в </w:t>
      </w:r>
      <w:r w:rsidR="004465E2" w:rsidRPr="00CE4DA9">
        <w:rPr>
          <w:rFonts w:ascii="Times New Roman" w:hAnsi="Times New Roman" w:cs="Times New Roman"/>
          <w:sz w:val="28"/>
          <w:szCs w:val="28"/>
        </w:rPr>
        <w:t>61-73 субъектах</w:t>
      </w:r>
      <w:r w:rsidRPr="00CE4DA9">
        <w:rPr>
          <w:rFonts w:ascii="Times New Roman" w:hAnsi="Times New Roman" w:cs="Times New Roman"/>
          <w:sz w:val="28"/>
          <w:szCs w:val="28"/>
        </w:rPr>
        <w:t xml:space="preserve"> Российской Федерации на рынке банковских услуг в тройку лидеров входят исключительно </w:t>
      </w:r>
      <w:r w:rsidR="00C11241" w:rsidRPr="00CE4DA9">
        <w:rPr>
          <w:rFonts w:ascii="Times New Roman" w:hAnsi="Times New Roman" w:cs="Times New Roman"/>
          <w:sz w:val="28"/>
          <w:szCs w:val="28"/>
        </w:rPr>
        <w:t>банки с государственным участием</w:t>
      </w:r>
      <w:r w:rsidRPr="00CE4DA9">
        <w:rPr>
          <w:rFonts w:ascii="Times New Roman" w:hAnsi="Times New Roman" w:cs="Times New Roman"/>
          <w:sz w:val="28"/>
          <w:szCs w:val="28"/>
        </w:rPr>
        <w:t>.</w:t>
      </w:r>
    </w:p>
    <w:p w14:paraId="3D756420" w14:textId="77777777" w:rsidR="006D2813" w:rsidRPr="00E44D09" w:rsidRDefault="00AF66CE" w:rsidP="006D281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6D2813" w:rsidRPr="00CE4DA9">
        <w:rPr>
          <w:rFonts w:ascii="Times New Roman" w:hAnsi="Times New Roman" w:cs="Times New Roman"/>
          <w:sz w:val="28"/>
          <w:szCs w:val="28"/>
        </w:rPr>
        <w:t>на 45 региональных рынках банковских услуг</w:t>
      </w:r>
      <w:r w:rsidRPr="00CE4DA9">
        <w:rPr>
          <w:rFonts w:ascii="Times New Roman" w:hAnsi="Times New Roman" w:cs="Times New Roman"/>
          <w:sz w:val="28"/>
          <w:szCs w:val="28"/>
        </w:rPr>
        <w:t xml:space="preserve"> доля банков с государственным участием превышала 90%</w:t>
      </w:r>
      <w:r w:rsidR="006D2813" w:rsidRPr="00CE4DA9">
        <w:rPr>
          <w:rFonts w:ascii="Times New Roman" w:hAnsi="Times New Roman" w:cs="Times New Roman"/>
          <w:sz w:val="28"/>
          <w:szCs w:val="28"/>
        </w:rPr>
        <w:t>, из которых 38 рынков – рынки привлечения денежных средств юридических лиц.</w:t>
      </w:r>
    </w:p>
    <w:p w14:paraId="5B8EE515" w14:textId="77777777" w:rsidR="0029646B" w:rsidRPr="00CE4DA9" w:rsidRDefault="0029646B" w:rsidP="0029646B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 xml:space="preserve">Кроме того, произведенные расчеты свидетельствуют, что большинство региональных рынков (от 48 до 82 субъектов Российской Федерации в зависимости от продуктового сегмента) к 2019 году являлись высококонцентрированными. Одновременно, доля тройки лидеров в зависимости от продуктового сегмента составляла от 52% до 100%, что </w:t>
      </w:r>
      <w:r w:rsidRPr="00CE4DA9">
        <w:rPr>
          <w:rFonts w:ascii="Times New Roman" w:hAnsi="Times New Roman" w:cs="Times New Roman"/>
          <w:sz w:val="28"/>
          <w:szCs w:val="28"/>
        </w:rPr>
        <w:t xml:space="preserve">свидетельствует о невысоком уровне развития конкуренции. </w:t>
      </w:r>
    </w:p>
    <w:p w14:paraId="13F73F15" w14:textId="7A609A14" w:rsidR="009D6EB2" w:rsidRPr="00CE4DA9" w:rsidRDefault="000E2413" w:rsidP="0068498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t>Одновременно с этим необходимо отметить, что</w:t>
      </w:r>
      <w:r w:rsidR="004465E2" w:rsidRPr="00CE4DA9">
        <w:rPr>
          <w:rFonts w:ascii="Times New Roman" w:hAnsi="Times New Roman" w:cs="Times New Roman"/>
          <w:sz w:val="28"/>
          <w:szCs w:val="28"/>
        </w:rPr>
        <w:t xml:space="preserve"> к 2020 году доля тройки лидеров в зависимости от сегмента</w:t>
      </w:r>
      <w:r w:rsidR="009D6EB2" w:rsidRPr="00CE4DA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465E2" w:rsidRPr="00CE4DA9">
        <w:rPr>
          <w:rFonts w:ascii="Times New Roman" w:hAnsi="Times New Roman" w:cs="Times New Roman"/>
          <w:sz w:val="28"/>
          <w:szCs w:val="28"/>
        </w:rPr>
        <w:t xml:space="preserve"> не менее 50% </w:t>
      </w:r>
      <w:r w:rsidR="00E7102F" w:rsidRPr="00CE4DA9">
        <w:rPr>
          <w:rFonts w:ascii="Times New Roman" w:hAnsi="Times New Roman" w:cs="Times New Roman"/>
          <w:sz w:val="28"/>
          <w:szCs w:val="28"/>
        </w:rPr>
        <w:t xml:space="preserve">и в большинстве случаев </w:t>
      </w:r>
      <w:r w:rsidR="004C4938" w:rsidRPr="00CE4DA9">
        <w:rPr>
          <w:rFonts w:ascii="Times New Roman" w:hAnsi="Times New Roman" w:cs="Times New Roman"/>
          <w:sz w:val="28"/>
          <w:szCs w:val="28"/>
        </w:rPr>
        <w:t xml:space="preserve">такими лидерами являлись банки </w:t>
      </w:r>
      <w:r w:rsidR="00C11241" w:rsidRPr="00CE4DA9">
        <w:rPr>
          <w:rFonts w:ascii="Times New Roman" w:hAnsi="Times New Roman" w:cs="Times New Roman"/>
          <w:sz w:val="28"/>
          <w:szCs w:val="28"/>
        </w:rPr>
        <w:t>государственным участием</w:t>
      </w:r>
      <w:r w:rsidR="00E7102F" w:rsidRPr="00CE4DA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3BC40D" w14:textId="77777777" w:rsidR="0000245B" w:rsidRPr="00CE4DA9" w:rsidRDefault="00E7102F" w:rsidP="005F60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</w:t>
      </w:r>
      <w:r w:rsidR="0000245B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2019 года</w:t>
      </w:r>
      <w:r w:rsidR="005F6073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56AC6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073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6AC6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субъектах</w:t>
      </w:r>
      <w:r w:rsidR="001B2828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073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00245B" w:rsidRPr="00CE4DA9">
        <w:rPr>
          <w:rFonts w:ascii="Times New Roman" w:hAnsi="Times New Roman" w:cs="Times New Roman"/>
          <w:sz w:val="28"/>
          <w:szCs w:val="28"/>
        </w:rPr>
        <w:t xml:space="preserve">деятельность по привлечению средств юридических лиц </w:t>
      </w:r>
      <w:r w:rsidR="00F56AC6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осуществляю</w:t>
      </w:r>
      <w:r w:rsidR="001B2828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 1</w:t>
      </w:r>
      <w:r w:rsidR="00BC55B7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-3 банка, в свою очер</w:t>
      </w:r>
      <w:r w:rsidR="00F56AC6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являющиеся государст</w:t>
      </w:r>
      <w:r w:rsidR="00B56309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(Республика Ингушетия, Республика Дагестан, Р</w:t>
      </w:r>
      <w:r w:rsidR="00F56AC6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 Калмыкия, Чукотский </w:t>
      </w:r>
      <w:r w:rsidR="00817B84" w:rsidRPr="00CE4DA9">
        <w:rPr>
          <w:rFonts w:ascii="Times New Roman" w:hAnsi="Times New Roman" w:cs="Times New Roman"/>
          <w:sz w:val="28"/>
          <w:szCs w:val="28"/>
        </w:rPr>
        <w:t>автономный округ</w:t>
      </w:r>
      <w:r w:rsidR="00F56AC6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6073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2DCDBC7" w14:textId="719CB97C" w:rsidR="00292607" w:rsidRPr="00CE4DA9" w:rsidRDefault="00292607" w:rsidP="002926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A9">
        <w:rPr>
          <w:rFonts w:ascii="Times New Roman" w:hAnsi="Times New Roman" w:cs="Times New Roman"/>
          <w:sz w:val="28"/>
          <w:szCs w:val="28"/>
        </w:rPr>
        <w:lastRenderedPageBreak/>
        <w:t xml:space="preserve">Так, на конец 2019 года в </w:t>
      </w:r>
      <w:r w:rsidR="00C25CD6" w:rsidRPr="00CE4DA9">
        <w:rPr>
          <w:rFonts w:ascii="Times New Roman" w:hAnsi="Times New Roman" w:cs="Times New Roman"/>
          <w:sz w:val="28"/>
          <w:szCs w:val="28"/>
        </w:rPr>
        <w:t>одном субъект</w:t>
      </w:r>
      <w:r w:rsidR="00957875" w:rsidRPr="00CE4DA9">
        <w:rPr>
          <w:rFonts w:ascii="Times New Roman" w:hAnsi="Times New Roman" w:cs="Times New Roman"/>
          <w:sz w:val="28"/>
          <w:szCs w:val="28"/>
        </w:rPr>
        <w:t>е</w:t>
      </w:r>
      <w:r w:rsidR="00C25CD6" w:rsidRPr="00CE4DA9">
        <w:rPr>
          <w:rFonts w:ascii="Times New Roman" w:hAnsi="Times New Roman" w:cs="Times New Roman"/>
          <w:sz w:val="28"/>
          <w:szCs w:val="28"/>
        </w:rPr>
        <w:t xml:space="preserve"> Российской Федерации – </w:t>
      </w:r>
      <w:r w:rsidR="004465E2" w:rsidRPr="00CE4DA9">
        <w:rPr>
          <w:rFonts w:ascii="Times New Roman" w:hAnsi="Times New Roman" w:cs="Times New Roman"/>
          <w:sz w:val="28"/>
          <w:szCs w:val="28"/>
        </w:rPr>
        <w:t>Республике</w:t>
      </w:r>
      <w:r w:rsidRPr="00CE4DA9">
        <w:rPr>
          <w:rFonts w:ascii="Times New Roman" w:hAnsi="Times New Roman" w:cs="Times New Roman"/>
          <w:sz w:val="28"/>
          <w:szCs w:val="28"/>
        </w:rPr>
        <w:t xml:space="preserve"> Ингушетия на рынке привлечения денежных средств юридических лиц показатели рыночной концентрации имели максимальные значения (HHI = 10 000, </w:t>
      </w:r>
      <w:r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CE4DA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100%)</w:t>
      </w:r>
      <w:r w:rsidRPr="00CE4DA9">
        <w:rPr>
          <w:rFonts w:ascii="Times New Roman" w:hAnsi="Times New Roman" w:cs="Times New Roman"/>
          <w:sz w:val="28"/>
          <w:szCs w:val="28"/>
        </w:rPr>
        <w:t xml:space="preserve">. Таким образом, деятельность в указанном сегменте фактически осуществляла единственная финансовая организация, в свою очередь являющаяся полностью государственной </w:t>
      </w:r>
    </w:p>
    <w:p w14:paraId="6DE8057B" w14:textId="3E5ADAAE" w:rsidR="005F6073" w:rsidRPr="00E44D09" w:rsidRDefault="0000245B" w:rsidP="005F60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</w:t>
      </w:r>
      <w:r w:rsidR="005F6073" w:rsidRPr="00CE4DA9">
        <w:rPr>
          <w:rFonts w:ascii="Times New Roman" w:hAnsi="Times New Roman" w:cs="Times New Roman"/>
          <w:sz w:val="28"/>
          <w:szCs w:val="28"/>
        </w:rPr>
        <w:t xml:space="preserve"> 16 субъектах</w:t>
      </w:r>
      <w:r w:rsidR="00F56AC6" w:rsidRPr="00CE4DA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D433D" w:rsidRPr="00CE4DA9">
        <w:rPr>
          <w:rFonts w:ascii="Times New Roman" w:hAnsi="Times New Roman" w:cs="Times New Roman"/>
          <w:sz w:val="28"/>
          <w:szCs w:val="28"/>
        </w:rPr>
        <w:t>доля тройки лидеров</w:t>
      </w:r>
      <w:r w:rsidR="005F6073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90</w:t>
      </w:r>
      <w:r w:rsidR="00AD433D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фактически означает осуществление деятельнос</w:t>
      </w:r>
      <w:r w:rsidR="00E1561A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 рынке преимущественно этими тремя</w:t>
      </w:r>
      <w:r w:rsidR="00AD433D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61A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</w:t>
      </w:r>
      <w:r w:rsidR="00AD433D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1561A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D433D" w:rsidRPr="00CE4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27359F" w14:textId="77777777" w:rsidR="00292607" w:rsidRPr="00E44D09" w:rsidRDefault="00292607" w:rsidP="0029260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Кроме того, начиная с 2018 года на территории Российской Федерации не наблюдалось региональных рынков банковских услуг, характеризовавшихся низким уровнем концентрации (высоким уровнем конкуренции), тогда как в начале исследуемого периода времени во всех продуктовых сегментах в совокупности число таких региональных рынков достигало 15.</w:t>
      </w:r>
    </w:p>
    <w:p w14:paraId="704101EE" w14:textId="77777777" w:rsidR="00292607" w:rsidRPr="00E44D09" w:rsidRDefault="00292607" w:rsidP="0029260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В разрезе рынков банковских услуг субъектов Российской Федерации с 2011 года по 2019 год:</w:t>
      </w:r>
    </w:p>
    <w:p w14:paraId="08F3FA54" w14:textId="77777777" w:rsidR="00292607" w:rsidRPr="00E44D09" w:rsidRDefault="00292607" w:rsidP="0029260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- количество региональных рынков кредитования физических лиц с высоким уровнем концентрации увеличилось с 30 до 7</w:t>
      </w:r>
      <w:r w:rsidR="00DA4206">
        <w:rPr>
          <w:rFonts w:ascii="Times New Roman" w:hAnsi="Times New Roman" w:cs="Times New Roman"/>
          <w:sz w:val="28"/>
          <w:szCs w:val="28"/>
        </w:rPr>
        <w:t xml:space="preserve">9 рынков, а количество </w:t>
      </w:r>
      <w:proofErr w:type="spellStart"/>
      <w:r w:rsidR="00DA4206">
        <w:rPr>
          <w:rFonts w:ascii="Times New Roman" w:hAnsi="Times New Roman" w:cs="Times New Roman"/>
          <w:sz w:val="28"/>
          <w:szCs w:val="28"/>
        </w:rPr>
        <w:t>умеренно</w:t>
      </w:r>
      <w:r w:rsidRPr="00E44D09">
        <w:rPr>
          <w:rFonts w:ascii="Times New Roman" w:hAnsi="Times New Roman" w:cs="Times New Roman"/>
          <w:sz w:val="28"/>
          <w:szCs w:val="28"/>
        </w:rPr>
        <w:t>концентрированных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 xml:space="preserve"> рынков, в свою очередь, сократилось с 49 до 6, при этом с 2016 года рынки с низким уровнем концентрации отсутствуют, тогда как в начале исследуемого периода их было 4; по сравнению с 2018 годом в 2019 году количественные показатели не изменились;</w:t>
      </w:r>
    </w:p>
    <w:p w14:paraId="12D72D87" w14:textId="77777777" w:rsidR="00292607" w:rsidRPr="00E44D09" w:rsidRDefault="00292607" w:rsidP="0029260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 xml:space="preserve"> - количество региональных рынков кредитования юридических лиц с высоким уровнем концентрации увеличилось с 42 до 4</w:t>
      </w:r>
      <w:r w:rsidR="00DA4206">
        <w:rPr>
          <w:rFonts w:ascii="Times New Roman" w:hAnsi="Times New Roman" w:cs="Times New Roman"/>
          <w:sz w:val="28"/>
          <w:szCs w:val="28"/>
        </w:rPr>
        <w:t xml:space="preserve">8 рынков, а количество </w:t>
      </w:r>
      <w:proofErr w:type="spellStart"/>
      <w:r w:rsidR="00DA4206">
        <w:rPr>
          <w:rFonts w:ascii="Times New Roman" w:hAnsi="Times New Roman" w:cs="Times New Roman"/>
          <w:sz w:val="28"/>
          <w:szCs w:val="28"/>
        </w:rPr>
        <w:t>умеренно</w:t>
      </w:r>
      <w:r w:rsidRPr="00E44D09">
        <w:rPr>
          <w:rFonts w:ascii="Times New Roman" w:hAnsi="Times New Roman" w:cs="Times New Roman"/>
          <w:sz w:val="28"/>
          <w:szCs w:val="28"/>
        </w:rPr>
        <w:t>концентрированных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 xml:space="preserve"> рынков, в свою очередь, сократилось с 40 до 37, при этом с 2017 года рынки с низким уровнем концентрации отсутствуют, тогда как в течение периода 2011-2016 гг. наблюдалось до 3 таких рынков; в сравнении с 2018 годом в 2019 году наблюдается незначительная положительная динамика: количество рынков с высоким уровнем концентрации сократилось с 51 до 48, а количество умеренно концентрированных рынков увеличилось с 34 до 37;</w:t>
      </w:r>
    </w:p>
    <w:p w14:paraId="63FA52AE" w14:textId="1CA78072" w:rsidR="00292607" w:rsidRPr="00E44D09" w:rsidRDefault="00292607" w:rsidP="0029260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- количество региональных рынков привлечения денежных средств физических лиц с высоким уровнем концентрации увеличилось с 79 до 8</w:t>
      </w:r>
      <w:r w:rsidR="00DA4206">
        <w:rPr>
          <w:rFonts w:ascii="Times New Roman" w:hAnsi="Times New Roman" w:cs="Times New Roman"/>
          <w:sz w:val="28"/>
          <w:szCs w:val="28"/>
        </w:rPr>
        <w:t>2 рынк</w:t>
      </w:r>
      <w:r w:rsidR="00F302EE">
        <w:rPr>
          <w:rFonts w:ascii="Times New Roman" w:hAnsi="Times New Roman" w:cs="Times New Roman"/>
          <w:sz w:val="28"/>
          <w:szCs w:val="28"/>
        </w:rPr>
        <w:t>а</w:t>
      </w:r>
      <w:r w:rsidR="00DA4206">
        <w:rPr>
          <w:rFonts w:ascii="Times New Roman" w:hAnsi="Times New Roman" w:cs="Times New Roman"/>
          <w:sz w:val="28"/>
          <w:szCs w:val="28"/>
        </w:rPr>
        <w:t xml:space="preserve">, а количество </w:t>
      </w:r>
      <w:proofErr w:type="spellStart"/>
      <w:r w:rsidR="00DA4206">
        <w:rPr>
          <w:rFonts w:ascii="Times New Roman" w:hAnsi="Times New Roman" w:cs="Times New Roman"/>
          <w:sz w:val="28"/>
          <w:szCs w:val="28"/>
        </w:rPr>
        <w:t>умеренно</w:t>
      </w:r>
      <w:r w:rsidRPr="00E44D09">
        <w:rPr>
          <w:rFonts w:ascii="Times New Roman" w:hAnsi="Times New Roman" w:cs="Times New Roman"/>
          <w:sz w:val="28"/>
          <w:szCs w:val="28"/>
        </w:rPr>
        <w:t>концентрированных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 xml:space="preserve"> рынков, в свою очередь, сократилось с 4 до 3, при этом рынки с низким уровнем концентрации отсутствовали в течение всего рассматриваемого периода; по сравнению с 2018 годом в 2019 году количественные показатели не изменились;</w:t>
      </w:r>
    </w:p>
    <w:p w14:paraId="1542D7B9" w14:textId="60F76536" w:rsidR="00292607" w:rsidRPr="00E44D09" w:rsidRDefault="00292607" w:rsidP="00292607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>- количество региональных рынков привлечения денежных средств юридических лиц с высоким уровнем концентрации увеличилось с 36 до 6</w:t>
      </w:r>
      <w:r w:rsidR="00D64114">
        <w:rPr>
          <w:rFonts w:ascii="Times New Roman" w:hAnsi="Times New Roman" w:cs="Times New Roman"/>
          <w:sz w:val="28"/>
          <w:szCs w:val="28"/>
        </w:rPr>
        <w:t xml:space="preserve">1 рынков, а количество </w:t>
      </w:r>
      <w:proofErr w:type="spellStart"/>
      <w:r w:rsidR="00D64114">
        <w:rPr>
          <w:rFonts w:ascii="Times New Roman" w:hAnsi="Times New Roman" w:cs="Times New Roman"/>
          <w:sz w:val="28"/>
          <w:szCs w:val="28"/>
        </w:rPr>
        <w:t>умеренно</w:t>
      </w:r>
      <w:r w:rsidRPr="00E44D09">
        <w:rPr>
          <w:rFonts w:ascii="Times New Roman" w:hAnsi="Times New Roman" w:cs="Times New Roman"/>
          <w:sz w:val="28"/>
          <w:szCs w:val="28"/>
        </w:rPr>
        <w:t>концентрированных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 xml:space="preserve"> рынков, в свою очередь, сократилось с 37 до 24, при этом рынков с низким уровнем концентрации не осталось, когда в начале исследуемого периода их было 10; в сравнении с 2018 годом в 2019 году наблюдается положительная динамика: количество рынков </w:t>
      </w:r>
      <w:r w:rsidRPr="00E44D09">
        <w:rPr>
          <w:rFonts w:ascii="Times New Roman" w:hAnsi="Times New Roman" w:cs="Times New Roman"/>
          <w:sz w:val="28"/>
          <w:szCs w:val="28"/>
        </w:rPr>
        <w:lastRenderedPageBreak/>
        <w:t xml:space="preserve">с высоким уровнем концентрации сократилось с 67 до 61, а количество </w:t>
      </w:r>
      <w:proofErr w:type="spellStart"/>
      <w:r w:rsidRPr="00E44D09">
        <w:rPr>
          <w:rFonts w:ascii="Times New Roman" w:hAnsi="Times New Roman" w:cs="Times New Roman"/>
          <w:sz w:val="28"/>
          <w:szCs w:val="28"/>
        </w:rPr>
        <w:t>умеренноконцентрированных</w:t>
      </w:r>
      <w:proofErr w:type="spellEnd"/>
      <w:r w:rsidRPr="00E44D09">
        <w:rPr>
          <w:rFonts w:ascii="Times New Roman" w:hAnsi="Times New Roman" w:cs="Times New Roman"/>
          <w:sz w:val="28"/>
          <w:szCs w:val="28"/>
        </w:rPr>
        <w:t xml:space="preserve"> рынков увеличилось с 18 до 24.</w:t>
      </w:r>
    </w:p>
    <w:p w14:paraId="405A8702" w14:textId="77777777" w:rsidR="00DA4206" w:rsidRPr="00DA4206" w:rsidRDefault="00DA4206" w:rsidP="00DA4206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D09">
        <w:rPr>
          <w:rFonts w:ascii="Times New Roman" w:hAnsi="Times New Roman" w:cs="Times New Roman"/>
          <w:sz w:val="28"/>
          <w:szCs w:val="28"/>
        </w:rPr>
        <w:t xml:space="preserve">Динамика изменения </w:t>
      </w:r>
      <w:r>
        <w:rPr>
          <w:rFonts w:ascii="Times New Roman" w:hAnsi="Times New Roman" w:cs="Times New Roman"/>
          <w:sz w:val="28"/>
          <w:szCs w:val="28"/>
        </w:rPr>
        <w:t xml:space="preserve">количества региональных рынков </w:t>
      </w:r>
      <w:r w:rsidR="00B3651B">
        <w:rPr>
          <w:rFonts w:ascii="Times New Roman" w:hAnsi="Times New Roman" w:cs="Times New Roman"/>
          <w:sz w:val="28"/>
          <w:szCs w:val="28"/>
        </w:rPr>
        <w:t xml:space="preserve">с различным уровнем концентрации </w:t>
      </w:r>
      <w:r w:rsidRPr="00E44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рис</w:t>
      </w:r>
      <w:r w:rsidR="0088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 соответственно.</w:t>
      </w:r>
    </w:p>
    <w:p w14:paraId="6BFA3768" w14:textId="77777777" w:rsidR="00D64114" w:rsidRPr="002455F0" w:rsidRDefault="00DA4206" w:rsidP="00D64114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455F0">
        <w:rPr>
          <w:noProof/>
          <w:sz w:val="26"/>
          <w:szCs w:val="26"/>
          <w:lang w:eastAsia="ru-RU"/>
        </w:rPr>
        <w:drawing>
          <wp:inline distT="0" distB="0" distL="0" distR="0" wp14:anchorId="7A13C3C9" wp14:editId="634AE284">
            <wp:extent cx="5524500" cy="3461810"/>
            <wp:effectExtent l="0" t="0" r="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2C8F42" w14:textId="4E900CE8" w:rsidR="00DA4206" w:rsidRPr="00B3651B" w:rsidRDefault="00D64114" w:rsidP="00B3651B">
      <w:pPr>
        <w:pStyle w:val="a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3651B">
        <w:rPr>
          <w:b/>
          <w:color w:val="auto"/>
          <w:sz w:val="26"/>
          <w:szCs w:val="26"/>
        </w:rPr>
        <w:t xml:space="preserve">Рисунок </w:t>
      </w:r>
      <w:r w:rsidR="00F302EE">
        <w:rPr>
          <w:b/>
          <w:color w:val="auto"/>
          <w:sz w:val="26"/>
          <w:szCs w:val="26"/>
        </w:rPr>
        <w:t>3</w:t>
      </w:r>
      <w:r w:rsidR="0019558A">
        <w:rPr>
          <w:b/>
          <w:color w:val="auto"/>
          <w:sz w:val="26"/>
          <w:szCs w:val="26"/>
        </w:rPr>
        <w:t>.</w:t>
      </w:r>
      <w:r w:rsidR="00B3651B" w:rsidRPr="00B3651B">
        <w:rPr>
          <w:b/>
        </w:rPr>
        <w:t xml:space="preserve"> </w:t>
      </w:r>
      <w:r w:rsidR="00B3651B" w:rsidRPr="00B3651B">
        <w:rPr>
          <w:b/>
          <w:color w:val="auto"/>
          <w:sz w:val="26"/>
          <w:szCs w:val="26"/>
        </w:rPr>
        <w:t>Динамика изменения количества региональных рынков</w:t>
      </w:r>
      <w:r w:rsidR="00B3651B">
        <w:rPr>
          <w:b/>
          <w:color w:val="auto"/>
          <w:sz w:val="26"/>
          <w:szCs w:val="26"/>
        </w:rPr>
        <w:t xml:space="preserve"> кредитования физ</w:t>
      </w:r>
      <w:r w:rsidR="00CA2A9D">
        <w:rPr>
          <w:b/>
          <w:color w:val="auto"/>
          <w:sz w:val="26"/>
          <w:szCs w:val="26"/>
        </w:rPr>
        <w:t xml:space="preserve">ических </w:t>
      </w:r>
      <w:r w:rsidR="00B3651B" w:rsidRPr="00B3651B">
        <w:rPr>
          <w:b/>
          <w:color w:val="auto"/>
          <w:sz w:val="26"/>
          <w:szCs w:val="26"/>
        </w:rPr>
        <w:t>лиц</w:t>
      </w:r>
      <w:r w:rsidR="00E1561A">
        <w:rPr>
          <w:b/>
          <w:color w:val="auto"/>
          <w:sz w:val="26"/>
          <w:szCs w:val="26"/>
        </w:rPr>
        <w:t xml:space="preserve"> по уровню концентрации</w:t>
      </w:r>
    </w:p>
    <w:p w14:paraId="3D80C832" w14:textId="77777777" w:rsidR="00882365" w:rsidRPr="002455F0" w:rsidRDefault="00882365" w:rsidP="0088236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455F0">
        <w:rPr>
          <w:noProof/>
          <w:sz w:val="26"/>
          <w:szCs w:val="26"/>
          <w:lang w:eastAsia="ru-RU"/>
        </w:rPr>
        <w:drawing>
          <wp:inline distT="0" distB="0" distL="0" distR="0" wp14:anchorId="4AE0BC64" wp14:editId="2AA82B63">
            <wp:extent cx="5524500" cy="3811061"/>
            <wp:effectExtent l="0" t="0" r="0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8CEB53" w14:textId="7432C935" w:rsidR="00882365" w:rsidRPr="00B3651B" w:rsidRDefault="00882365" w:rsidP="00B3651B">
      <w:pPr>
        <w:pStyle w:val="a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3651B">
        <w:rPr>
          <w:b/>
          <w:color w:val="auto"/>
          <w:sz w:val="26"/>
          <w:szCs w:val="26"/>
        </w:rPr>
        <w:t xml:space="preserve">Рисунок </w:t>
      </w:r>
      <w:r w:rsidR="00F302EE">
        <w:rPr>
          <w:b/>
          <w:color w:val="auto"/>
          <w:sz w:val="26"/>
          <w:szCs w:val="26"/>
        </w:rPr>
        <w:t>4</w:t>
      </w:r>
      <w:r w:rsidR="0019558A">
        <w:rPr>
          <w:b/>
          <w:color w:val="auto"/>
          <w:sz w:val="26"/>
          <w:szCs w:val="26"/>
        </w:rPr>
        <w:t>.</w:t>
      </w:r>
      <w:r w:rsidR="00B3651B" w:rsidRPr="00B3651B">
        <w:rPr>
          <w:b/>
        </w:rPr>
        <w:t xml:space="preserve"> </w:t>
      </w:r>
      <w:r w:rsidR="00B3651B" w:rsidRPr="00B3651B">
        <w:rPr>
          <w:b/>
          <w:color w:val="auto"/>
          <w:sz w:val="26"/>
          <w:szCs w:val="26"/>
        </w:rPr>
        <w:t>Динамика изменения количества региональных рынков кредитования юр</w:t>
      </w:r>
      <w:r w:rsidR="00CA2A9D">
        <w:rPr>
          <w:b/>
          <w:color w:val="auto"/>
          <w:sz w:val="26"/>
          <w:szCs w:val="26"/>
        </w:rPr>
        <w:t xml:space="preserve">идических </w:t>
      </w:r>
      <w:r w:rsidR="00B3651B" w:rsidRPr="00B3651B">
        <w:rPr>
          <w:b/>
          <w:color w:val="auto"/>
          <w:sz w:val="26"/>
          <w:szCs w:val="26"/>
        </w:rPr>
        <w:t>лиц</w:t>
      </w:r>
      <w:r w:rsidR="00E1561A">
        <w:rPr>
          <w:b/>
          <w:color w:val="auto"/>
          <w:sz w:val="26"/>
          <w:szCs w:val="26"/>
        </w:rPr>
        <w:t xml:space="preserve"> </w:t>
      </w:r>
      <w:r w:rsidR="00E1561A" w:rsidRPr="00E1561A">
        <w:rPr>
          <w:b/>
          <w:color w:val="auto"/>
          <w:sz w:val="26"/>
          <w:szCs w:val="26"/>
        </w:rPr>
        <w:t>по уровню концентрации</w:t>
      </w:r>
    </w:p>
    <w:p w14:paraId="092C9BBC" w14:textId="77777777" w:rsidR="00882365" w:rsidRPr="002455F0" w:rsidRDefault="00882365" w:rsidP="0088236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455F0"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0952D64" wp14:editId="45FB0030">
            <wp:extent cx="5529792" cy="3460749"/>
            <wp:effectExtent l="0" t="0" r="13970" b="69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5F20D7" w14:textId="033854A0" w:rsidR="00882365" w:rsidRPr="00B3651B" w:rsidRDefault="00882365" w:rsidP="00B3651B">
      <w:pPr>
        <w:pStyle w:val="a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3651B">
        <w:rPr>
          <w:b/>
          <w:color w:val="auto"/>
          <w:sz w:val="26"/>
          <w:szCs w:val="26"/>
        </w:rPr>
        <w:t xml:space="preserve">Рисунок </w:t>
      </w:r>
      <w:r w:rsidR="00F302EE">
        <w:rPr>
          <w:b/>
          <w:color w:val="auto"/>
          <w:sz w:val="26"/>
          <w:szCs w:val="26"/>
        </w:rPr>
        <w:t>5</w:t>
      </w:r>
      <w:r w:rsidR="0019558A">
        <w:rPr>
          <w:b/>
          <w:color w:val="auto"/>
          <w:sz w:val="26"/>
          <w:szCs w:val="26"/>
        </w:rPr>
        <w:t>.</w:t>
      </w:r>
      <w:r w:rsidR="00B3651B" w:rsidRPr="00B3651B">
        <w:rPr>
          <w:b/>
        </w:rPr>
        <w:t xml:space="preserve"> </w:t>
      </w:r>
      <w:r w:rsidR="00B3651B" w:rsidRPr="00B3651B">
        <w:rPr>
          <w:b/>
          <w:color w:val="auto"/>
          <w:sz w:val="26"/>
          <w:szCs w:val="26"/>
        </w:rPr>
        <w:t>Динамика изменения количества региональных рынков привлечения д</w:t>
      </w:r>
      <w:r w:rsidR="00CA2A9D">
        <w:rPr>
          <w:b/>
          <w:color w:val="auto"/>
          <w:sz w:val="26"/>
          <w:szCs w:val="26"/>
        </w:rPr>
        <w:t xml:space="preserve">/с физических </w:t>
      </w:r>
      <w:r w:rsidR="00B3651B" w:rsidRPr="00B3651B">
        <w:rPr>
          <w:b/>
          <w:color w:val="auto"/>
          <w:sz w:val="26"/>
          <w:szCs w:val="26"/>
        </w:rPr>
        <w:t>лиц</w:t>
      </w:r>
      <w:r w:rsidR="00E1561A">
        <w:rPr>
          <w:b/>
          <w:color w:val="auto"/>
          <w:sz w:val="26"/>
          <w:szCs w:val="26"/>
        </w:rPr>
        <w:t xml:space="preserve"> </w:t>
      </w:r>
      <w:r w:rsidR="00E1561A" w:rsidRPr="00E1561A">
        <w:rPr>
          <w:b/>
          <w:color w:val="auto"/>
          <w:sz w:val="26"/>
          <w:szCs w:val="26"/>
        </w:rPr>
        <w:t>по уровню концентрации</w:t>
      </w:r>
    </w:p>
    <w:p w14:paraId="4F7B8BA8" w14:textId="77777777" w:rsidR="00882365" w:rsidRPr="002455F0" w:rsidRDefault="00882365" w:rsidP="00882365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2455F0">
        <w:rPr>
          <w:noProof/>
          <w:sz w:val="26"/>
          <w:szCs w:val="26"/>
          <w:lang w:eastAsia="ru-RU"/>
        </w:rPr>
        <w:drawing>
          <wp:inline distT="0" distB="0" distL="0" distR="0" wp14:anchorId="49430761" wp14:editId="2B7EFB31">
            <wp:extent cx="5519209" cy="3811060"/>
            <wp:effectExtent l="0" t="0" r="5715" b="184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A984AC" w14:textId="12A82B16" w:rsidR="00882365" w:rsidRPr="00B3651B" w:rsidRDefault="00882365" w:rsidP="00B3651B">
      <w:pPr>
        <w:pStyle w:val="a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3651B">
        <w:rPr>
          <w:b/>
          <w:color w:val="auto"/>
          <w:sz w:val="26"/>
          <w:szCs w:val="26"/>
        </w:rPr>
        <w:t>Рисунок</w:t>
      </w:r>
      <w:r w:rsidR="00293B93">
        <w:rPr>
          <w:b/>
          <w:color w:val="auto"/>
          <w:sz w:val="26"/>
          <w:szCs w:val="26"/>
        </w:rPr>
        <w:t xml:space="preserve"> 6</w:t>
      </w:r>
      <w:r w:rsidR="0019558A">
        <w:rPr>
          <w:b/>
          <w:color w:val="auto"/>
          <w:sz w:val="26"/>
          <w:szCs w:val="26"/>
        </w:rPr>
        <w:t>.</w:t>
      </w:r>
      <w:r w:rsidR="00B3651B" w:rsidRPr="00B3651B">
        <w:rPr>
          <w:b/>
        </w:rPr>
        <w:t xml:space="preserve"> </w:t>
      </w:r>
      <w:r w:rsidR="00B3651B" w:rsidRPr="00B3651B">
        <w:rPr>
          <w:b/>
          <w:color w:val="auto"/>
          <w:sz w:val="26"/>
          <w:szCs w:val="26"/>
        </w:rPr>
        <w:t>Динамика изменения количества региональных рынков привлечения д</w:t>
      </w:r>
      <w:r w:rsidR="00B3651B">
        <w:rPr>
          <w:b/>
          <w:color w:val="auto"/>
          <w:sz w:val="26"/>
          <w:szCs w:val="26"/>
        </w:rPr>
        <w:t xml:space="preserve">/с </w:t>
      </w:r>
      <w:r w:rsidR="00B3651B" w:rsidRPr="00B3651B">
        <w:rPr>
          <w:b/>
          <w:color w:val="auto"/>
          <w:sz w:val="26"/>
          <w:szCs w:val="26"/>
        </w:rPr>
        <w:t>юр</w:t>
      </w:r>
      <w:r w:rsidR="00CA2A9D">
        <w:rPr>
          <w:b/>
          <w:color w:val="auto"/>
          <w:sz w:val="26"/>
          <w:szCs w:val="26"/>
        </w:rPr>
        <w:t xml:space="preserve">идических </w:t>
      </w:r>
      <w:r w:rsidR="00B3651B" w:rsidRPr="00B3651B">
        <w:rPr>
          <w:b/>
          <w:color w:val="auto"/>
          <w:sz w:val="26"/>
          <w:szCs w:val="26"/>
        </w:rPr>
        <w:t>лиц</w:t>
      </w:r>
      <w:r w:rsidR="00E1561A">
        <w:rPr>
          <w:b/>
          <w:color w:val="auto"/>
          <w:sz w:val="26"/>
          <w:szCs w:val="26"/>
        </w:rPr>
        <w:t xml:space="preserve"> </w:t>
      </w:r>
      <w:r w:rsidR="00E1561A" w:rsidRPr="00E1561A">
        <w:rPr>
          <w:b/>
          <w:color w:val="auto"/>
          <w:sz w:val="26"/>
          <w:szCs w:val="26"/>
        </w:rPr>
        <w:t>по уровню концентрации</w:t>
      </w:r>
    </w:p>
    <w:sectPr w:rsidR="00882365" w:rsidRPr="00B3651B" w:rsidSect="00E44D09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D928C" w14:textId="77777777" w:rsidR="00905549" w:rsidRDefault="00905549" w:rsidP="00667E46">
      <w:pPr>
        <w:spacing w:after="0" w:line="240" w:lineRule="auto"/>
      </w:pPr>
      <w:r>
        <w:separator/>
      </w:r>
    </w:p>
  </w:endnote>
  <w:endnote w:type="continuationSeparator" w:id="0">
    <w:p w14:paraId="69EC68D0" w14:textId="77777777" w:rsidR="00905549" w:rsidRDefault="00905549" w:rsidP="0066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8943" w14:textId="77777777" w:rsidR="00905549" w:rsidRDefault="00905549" w:rsidP="00667E46">
      <w:pPr>
        <w:spacing w:after="0" w:line="240" w:lineRule="auto"/>
      </w:pPr>
      <w:r>
        <w:separator/>
      </w:r>
    </w:p>
  </w:footnote>
  <w:footnote w:type="continuationSeparator" w:id="0">
    <w:p w14:paraId="0B0C1E6F" w14:textId="77777777" w:rsidR="00905549" w:rsidRDefault="00905549" w:rsidP="0066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135359"/>
      <w:docPartObj>
        <w:docPartGallery w:val="Page Numbers (Top of Page)"/>
        <w:docPartUnique/>
      </w:docPartObj>
    </w:sdtPr>
    <w:sdtEndPr/>
    <w:sdtContent>
      <w:p w14:paraId="641A2FB0" w14:textId="77777777" w:rsidR="00667E46" w:rsidRDefault="00667E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D1">
          <w:rPr>
            <w:noProof/>
          </w:rPr>
          <w:t>4</w:t>
        </w:r>
        <w:r>
          <w:fldChar w:fldCharType="end"/>
        </w:r>
      </w:p>
    </w:sdtContent>
  </w:sdt>
  <w:p w14:paraId="5BA466B3" w14:textId="77777777" w:rsidR="00667E46" w:rsidRDefault="00667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6B"/>
    <w:rsid w:val="0000245B"/>
    <w:rsid w:val="00035485"/>
    <w:rsid w:val="000E2413"/>
    <w:rsid w:val="000E29DE"/>
    <w:rsid w:val="00115998"/>
    <w:rsid w:val="001454C9"/>
    <w:rsid w:val="0019558A"/>
    <w:rsid w:val="001B2828"/>
    <w:rsid w:val="001B66D1"/>
    <w:rsid w:val="002249CC"/>
    <w:rsid w:val="002455F0"/>
    <w:rsid w:val="0025005B"/>
    <w:rsid w:val="00292607"/>
    <w:rsid w:val="00293B93"/>
    <w:rsid w:val="0029646B"/>
    <w:rsid w:val="002B0BC1"/>
    <w:rsid w:val="002F6DE1"/>
    <w:rsid w:val="00344CF4"/>
    <w:rsid w:val="0036349B"/>
    <w:rsid w:val="00381CA3"/>
    <w:rsid w:val="0038718D"/>
    <w:rsid w:val="00391639"/>
    <w:rsid w:val="00392549"/>
    <w:rsid w:val="003E0372"/>
    <w:rsid w:val="003F31C7"/>
    <w:rsid w:val="0042236D"/>
    <w:rsid w:val="004465E2"/>
    <w:rsid w:val="004907A3"/>
    <w:rsid w:val="004B4643"/>
    <w:rsid w:val="004C1529"/>
    <w:rsid w:val="004C4938"/>
    <w:rsid w:val="004E415E"/>
    <w:rsid w:val="00557FA9"/>
    <w:rsid w:val="005729EB"/>
    <w:rsid w:val="005F5804"/>
    <w:rsid w:val="005F6073"/>
    <w:rsid w:val="006303ED"/>
    <w:rsid w:val="0066093F"/>
    <w:rsid w:val="00667E46"/>
    <w:rsid w:val="00684988"/>
    <w:rsid w:val="006D2813"/>
    <w:rsid w:val="0070617F"/>
    <w:rsid w:val="00744560"/>
    <w:rsid w:val="007D13A2"/>
    <w:rsid w:val="00817B84"/>
    <w:rsid w:val="00853D2F"/>
    <w:rsid w:val="00865699"/>
    <w:rsid w:val="00882365"/>
    <w:rsid w:val="00894B23"/>
    <w:rsid w:val="008C3DAF"/>
    <w:rsid w:val="00905549"/>
    <w:rsid w:val="00954B32"/>
    <w:rsid w:val="00957875"/>
    <w:rsid w:val="00993A9E"/>
    <w:rsid w:val="009D5E2C"/>
    <w:rsid w:val="009D6EB2"/>
    <w:rsid w:val="00A101D6"/>
    <w:rsid w:val="00A249A3"/>
    <w:rsid w:val="00A4530A"/>
    <w:rsid w:val="00A73DC0"/>
    <w:rsid w:val="00A845B4"/>
    <w:rsid w:val="00A90118"/>
    <w:rsid w:val="00AA3352"/>
    <w:rsid w:val="00AB3DAB"/>
    <w:rsid w:val="00AD085D"/>
    <w:rsid w:val="00AD16A1"/>
    <w:rsid w:val="00AD433D"/>
    <w:rsid w:val="00AF52FA"/>
    <w:rsid w:val="00AF66CE"/>
    <w:rsid w:val="00AF7DC7"/>
    <w:rsid w:val="00B3651B"/>
    <w:rsid w:val="00B56309"/>
    <w:rsid w:val="00B94485"/>
    <w:rsid w:val="00BA6F53"/>
    <w:rsid w:val="00BC55B7"/>
    <w:rsid w:val="00BD15C8"/>
    <w:rsid w:val="00C11241"/>
    <w:rsid w:val="00C116E7"/>
    <w:rsid w:val="00C143D2"/>
    <w:rsid w:val="00C1493C"/>
    <w:rsid w:val="00C17387"/>
    <w:rsid w:val="00C25CD6"/>
    <w:rsid w:val="00CA2A9D"/>
    <w:rsid w:val="00CD3070"/>
    <w:rsid w:val="00CE4DA9"/>
    <w:rsid w:val="00D10064"/>
    <w:rsid w:val="00D36CE1"/>
    <w:rsid w:val="00D64114"/>
    <w:rsid w:val="00DA4206"/>
    <w:rsid w:val="00DC556E"/>
    <w:rsid w:val="00E14606"/>
    <w:rsid w:val="00E1561A"/>
    <w:rsid w:val="00E27D7C"/>
    <w:rsid w:val="00E44D09"/>
    <w:rsid w:val="00E56B2E"/>
    <w:rsid w:val="00E7102F"/>
    <w:rsid w:val="00E74084"/>
    <w:rsid w:val="00E94C61"/>
    <w:rsid w:val="00E95A18"/>
    <w:rsid w:val="00EC0714"/>
    <w:rsid w:val="00EC3776"/>
    <w:rsid w:val="00EC5154"/>
    <w:rsid w:val="00F302EE"/>
    <w:rsid w:val="00F56AC6"/>
    <w:rsid w:val="00F6024E"/>
    <w:rsid w:val="00F839CA"/>
    <w:rsid w:val="00FB217E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ED1E"/>
  <w15:chartTrackingRefBased/>
  <w15:docId w15:val="{EFFC6D3A-FB63-4775-A151-488D96DA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E46"/>
  </w:style>
  <w:style w:type="paragraph" w:styleId="a5">
    <w:name w:val="footer"/>
    <w:basedOn w:val="a"/>
    <w:link w:val="a6"/>
    <w:uiPriority w:val="99"/>
    <w:unhideWhenUsed/>
    <w:rsid w:val="0066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E46"/>
  </w:style>
  <w:style w:type="paragraph" w:styleId="a7">
    <w:name w:val="caption"/>
    <w:basedOn w:val="a"/>
    <w:next w:val="a"/>
    <w:uiPriority w:val="35"/>
    <w:unhideWhenUsed/>
    <w:qFormat/>
    <w:rsid w:val="00D641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302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02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302E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02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302E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0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ruzhechkin\AppData\Local\Microsoft\Windows\Temporary%20Internet%20Files\Content.Outlook\14GETW0G\&#1057;&#1090;&#1072;&#1089;&#1090;&#1080;&#1082;&#1072;%20&#1087;&#1086;%20&#1060;&#105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ruzhechkin\AppData\Local\Microsoft\Windows\Temporary%20Internet%20Files\Content.Outlook\14GETW0G\&#1057;&#1090;&#1072;&#1089;&#1090;&#1080;&#1082;&#1072;%20&#1087;&#1086;%20&#1060;&#105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ruzhechkin\AppData\Local\Microsoft\Windows\Temporary%20Internet%20Files\Content.Outlook\14GETW0G\&#1056;&#1077;&#1075;&#1080;&#1086;&#1085;&#1072;&#1083;&#1100;&#1085;&#1099;&#1077;%20&#1088;&#1099;&#1085;&#1082;&#1080;%20(003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ruzhechkin\Desktop\&#1050;&#1086;&#1087;&#1080;&#1103;%20&#1056;&#1077;&#1075;&#1080;&#1086;&#1085;&#1072;&#1083;&#1100;&#1085;&#1099;&#1077;%20&#1088;&#1099;&#1085;&#1082;&#1080;%20(003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ruzhechkin\Desktop\&#1050;&#1086;&#1087;&#1080;&#1103;%20&#1056;&#1077;&#1075;&#1080;&#1086;&#1085;&#1072;&#1083;&#1100;&#1085;&#1099;&#1077;%20&#1088;&#1099;&#1085;&#1082;&#1080;%20(003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kruzhechkin\Desktop\&#1050;&#1086;&#1087;&#1080;&#1103;%20&#1056;&#1077;&#1075;&#1080;&#1086;&#1085;&#1072;&#1083;&#1100;&#1085;&#1099;&#1077;%20&#1088;&#1099;&#1085;&#1082;&#1080;%20(003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'[Стастика по ФР.xlsx]Лист1'!$A$3</c:f>
              <c:strCache>
                <c:ptCount val="1"/>
                <c:pt idx="0">
                  <c:v>2019 год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ФР.xlsx]Лист1'!$B$2:$E$2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ФР.xlsx]Лист1'!$B$3:$E$3</c:f>
              <c:numCache>
                <c:formatCode>General</c:formatCode>
                <c:ptCount val="4"/>
                <c:pt idx="0">
                  <c:v>1306</c:v>
                </c:pt>
                <c:pt idx="1">
                  <c:v>2279</c:v>
                </c:pt>
                <c:pt idx="2">
                  <c:v>1682</c:v>
                </c:pt>
                <c:pt idx="3">
                  <c:v>2218</c:v>
                </c:pt>
              </c:numCache>
            </c:numRef>
          </c:val>
        </c:ser>
        <c:ser>
          <c:idx val="1"/>
          <c:order val="1"/>
          <c:tx>
            <c:strRef>
              <c:f>'[Стастика по ФР.xlsx]Лист1'!$A$4</c:f>
              <c:strCache>
                <c:ptCount val="1"/>
                <c:pt idx="0">
                  <c:v>2018 год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ФР.xlsx]Лист1'!$B$2:$E$2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ФР.xlsx]Лист1'!$B$4:$E$4</c:f>
              <c:numCache>
                <c:formatCode>General</c:formatCode>
                <c:ptCount val="4"/>
                <c:pt idx="0">
                  <c:v>1394</c:v>
                </c:pt>
                <c:pt idx="1">
                  <c:v>2296</c:v>
                </c:pt>
                <c:pt idx="2">
                  <c:v>1675</c:v>
                </c:pt>
                <c:pt idx="3">
                  <c:v>2150</c:v>
                </c:pt>
              </c:numCache>
            </c:numRef>
          </c:val>
        </c:ser>
        <c:ser>
          <c:idx val="2"/>
          <c:order val="2"/>
          <c:tx>
            <c:strRef>
              <c:f>'[Стастика по ФР.xlsx]Лист1'!$A$5</c:f>
              <c:strCache>
                <c:ptCount val="1"/>
                <c:pt idx="0">
                  <c:v>2017 год</c:v>
                </c:pt>
              </c:strCache>
            </c:strRef>
          </c:tx>
          <c:spPr>
            <a:pattFill prst="narVert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ФР.xlsx]Лист1'!$B$2:$E$2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ФР.xlsx]Лист1'!$B$5:$E$5</c:f>
              <c:numCache>
                <c:formatCode>General</c:formatCode>
                <c:ptCount val="4"/>
                <c:pt idx="0">
                  <c:v>1580</c:v>
                </c:pt>
                <c:pt idx="1">
                  <c:v>2357</c:v>
                </c:pt>
                <c:pt idx="2">
                  <c:v>1578</c:v>
                </c:pt>
                <c:pt idx="3">
                  <c:v>2133</c:v>
                </c:pt>
              </c:numCache>
            </c:numRef>
          </c:val>
        </c:ser>
        <c:ser>
          <c:idx val="3"/>
          <c:order val="3"/>
          <c:tx>
            <c:strRef>
              <c:f>'[Стастика по ФР.xlsx]Лист1'!$A$6</c:f>
              <c:strCache>
                <c:ptCount val="1"/>
                <c:pt idx="0">
                  <c:v>2016 год</c:v>
                </c:pt>
              </c:strCache>
            </c:strRef>
          </c:tx>
          <c:spPr>
            <a:pattFill prst="narVert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ФР.xlsx]Лист1'!$B$2:$E$2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ФР.xlsx]Лист1'!$B$6:$E$6</c:f>
              <c:numCache>
                <c:formatCode>General</c:formatCode>
                <c:ptCount val="4"/>
                <c:pt idx="0">
                  <c:v>1517</c:v>
                </c:pt>
                <c:pt idx="1">
                  <c:v>2365</c:v>
                </c:pt>
                <c:pt idx="2">
                  <c:v>1515</c:v>
                </c:pt>
                <c:pt idx="3">
                  <c:v>2072</c:v>
                </c:pt>
              </c:numCache>
            </c:numRef>
          </c:val>
        </c:ser>
        <c:ser>
          <c:idx val="4"/>
          <c:order val="4"/>
          <c:tx>
            <c:strRef>
              <c:f>'[Стастика по ФР.xlsx]Лист1'!$A$7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narVert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ФР.xlsx]Лист1'!$B$2:$E$2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ФР.xlsx]Лист1'!$B$7:$E$7</c:f>
              <c:numCache>
                <c:formatCode>General</c:formatCode>
                <c:ptCount val="4"/>
                <c:pt idx="0">
                  <c:v>1667</c:v>
                </c:pt>
                <c:pt idx="1">
                  <c:v>2315</c:v>
                </c:pt>
                <c:pt idx="2">
                  <c:v>1522</c:v>
                </c:pt>
                <c:pt idx="3">
                  <c:v>1896</c:v>
                </c:pt>
              </c:numCache>
            </c:numRef>
          </c:val>
        </c:ser>
        <c:ser>
          <c:idx val="5"/>
          <c:order val="5"/>
          <c:tx>
            <c:strRef>
              <c:f>'[Стастика по ФР.xlsx]Лист1'!$A$8</c:f>
              <c:strCache>
                <c:ptCount val="1"/>
                <c:pt idx="0">
                  <c:v>2014 год</c:v>
                </c:pt>
              </c:strCache>
            </c:strRef>
          </c:tx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ФР.xlsx]Лист1'!$B$2:$E$2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ФР.xlsx]Лист1'!$B$8:$E$8</c:f>
              <c:numCache>
                <c:formatCode>General</c:formatCode>
                <c:ptCount val="4"/>
                <c:pt idx="0">
                  <c:v>1573</c:v>
                </c:pt>
                <c:pt idx="1">
                  <c:v>2190</c:v>
                </c:pt>
                <c:pt idx="2">
                  <c:v>1528</c:v>
                </c:pt>
                <c:pt idx="3">
                  <c:v>1638</c:v>
                </c:pt>
              </c:numCache>
            </c:numRef>
          </c:val>
        </c:ser>
        <c:ser>
          <c:idx val="6"/>
          <c:order val="6"/>
          <c:tx>
            <c:strRef>
              <c:f>'[Стастика по ФР.xlsx]Лист1'!$A$9</c:f>
              <c:strCache>
                <c:ptCount val="1"/>
                <c:pt idx="0">
                  <c:v>2013 год</c:v>
                </c:pt>
              </c:strCache>
            </c:strRef>
          </c:tx>
          <c:spPr>
            <a:pattFill prst="narVert">
              <a:fgClr>
                <a:schemeClr val="accent1">
                  <a:lumMod val="60000"/>
                </a:schemeClr>
              </a:fgClr>
              <a:bgClr>
                <a:schemeClr val="accent1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ФР.xlsx]Лист1'!$B$2:$E$2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ФР.xlsx]Лист1'!$B$9:$E$9</c:f>
              <c:numCache>
                <c:formatCode>General</c:formatCode>
                <c:ptCount val="4"/>
                <c:pt idx="0">
                  <c:v>1016</c:v>
                </c:pt>
                <c:pt idx="1">
                  <c:v>2303</c:v>
                </c:pt>
                <c:pt idx="2">
                  <c:v>1387</c:v>
                </c:pt>
                <c:pt idx="3">
                  <c:v>1413</c:v>
                </c:pt>
              </c:numCache>
            </c:numRef>
          </c:val>
        </c:ser>
        <c:ser>
          <c:idx val="7"/>
          <c:order val="7"/>
          <c:tx>
            <c:strRef>
              <c:f>'[Стастика по ФР.xlsx]Лист1'!$A$10</c:f>
              <c:strCache>
                <c:ptCount val="1"/>
                <c:pt idx="0">
                  <c:v>2012 год</c:v>
                </c:pt>
              </c:strCache>
            </c:strRef>
          </c:tx>
          <c:spPr>
            <a:pattFill prst="narVert">
              <a:fgClr>
                <a:schemeClr val="accent2">
                  <a:lumMod val="60000"/>
                </a:schemeClr>
              </a:fgClr>
              <a:bgClr>
                <a:schemeClr val="accent2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ФР.xlsx]Лист1'!$B$2:$E$2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ФР.xlsx]Лист1'!$B$10:$E$10</c:f>
              <c:numCache>
                <c:formatCode>General</c:formatCode>
                <c:ptCount val="4"/>
                <c:pt idx="0">
                  <c:v>938</c:v>
                </c:pt>
                <c:pt idx="1">
                  <c:v>2201</c:v>
                </c:pt>
                <c:pt idx="2">
                  <c:v>1408</c:v>
                </c:pt>
                <c:pt idx="3">
                  <c:v>1315</c:v>
                </c:pt>
              </c:numCache>
            </c:numRef>
          </c:val>
        </c:ser>
        <c:ser>
          <c:idx val="8"/>
          <c:order val="8"/>
          <c:tx>
            <c:strRef>
              <c:f>'[Стастика по ФР.xlsx]Лист1'!$A$11</c:f>
              <c:strCache>
                <c:ptCount val="1"/>
                <c:pt idx="0">
                  <c:v>2011 год</c:v>
                </c:pt>
              </c:strCache>
            </c:strRef>
          </c:tx>
          <c:spPr>
            <a:pattFill prst="narVert">
              <a:fgClr>
                <a:schemeClr val="accent3">
                  <a:lumMod val="60000"/>
                </a:schemeClr>
              </a:fgClr>
              <a:bgClr>
                <a:schemeClr val="accent3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ФР.xlsx]Лист1'!$B$2:$E$2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ФР.xlsx]Лист1'!$B$11:$E$11</c:f>
              <c:numCache>
                <c:formatCode>General</c:formatCode>
                <c:ptCount val="4"/>
                <c:pt idx="0">
                  <c:v>960</c:v>
                </c:pt>
                <c:pt idx="1">
                  <c:v>2291</c:v>
                </c:pt>
                <c:pt idx="2">
                  <c:v>1420</c:v>
                </c:pt>
                <c:pt idx="3">
                  <c:v>1271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35806768"/>
        <c:axId val="135807160"/>
      </c:barChart>
      <c:catAx>
        <c:axId val="13580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07160"/>
        <c:crosses val="autoZero"/>
        <c:auto val="1"/>
        <c:lblAlgn val="ctr"/>
        <c:lblOffset val="100"/>
        <c:noMultiLvlLbl val="0"/>
      </c:catAx>
      <c:valAx>
        <c:axId val="135807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0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3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'[Стастика по ФР.xlsx]Лист1'!$G$3</c:f>
              <c:strCache>
                <c:ptCount val="1"/>
                <c:pt idx="0">
                  <c:v>2019 год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ФР.xlsx]Лист1'!$H$2:$K$2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ФР.xlsx]Лист1'!$H$3:$K$3</c:f>
              <c:numCache>
                <c:formatCode>General</c:formatCode>
                <c:ptCount val="4"/>
                <c:pt idx="0">
                  <c:v>59.3</c:v>
                </c:pt>
                <c:pt idx="1">
                  <c:v>64.3</c:v>
                </c:pt>
                <c:pt idx="2">
                  <c:v>62.5</c:v>
                </c:pt>
                <c:pt idx="3">
                  <c:v>65.599999999999994</c:v>
                </c:pt>
              </c:numCache>
            </c:numRef>
          </c:val>
        </c:ser>
        <c:ser>
          <c:idx val="1"/>
          <c:order val="1"/>
          <c:tx>
            <c:strRef>
              <c:f>'[Стастика по ФР.xlsx]Лист1'!$G$4</c:f>
              <c:strCache>
                <c:ptCount val="1"/>
                <c:pt idx="0">
                  <c:v>2018 год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ФР.xlsx]Лист1'!$H$2:$K$2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ФР.xlsx]Лист1'!$H$4:$K$4</c:f>
              <c:numCache>
                <c:formatCode>General</c:formatCode>
                <c:ptCount val="4"/>
                <c:pt idx="0">
                  <c:v>60.9</c:v>
                </c:pt>
                <c:pt idx="1">
                  <c:v>62.5</c:v>
                </c:pt>
                <c:pt idx="2">
                  <c:v>62.8</c:v>
                </c:pt>
                <c:pt idx="3">
                  <c:v>62.9</c:v>
                </c:pt>
              </c:numCache>
            </c:numRef>
          </c:val>
        </c:ser>
        <c:ser>
          <c:idx val="2"/>
          <c:order val="2"/>
          <c:tx>
            <c:strRef>
              <c:f>'[Стастика по ФР.xlsx]Лист1'!$G$5</c:f>
              <c:strCache>
                <c:ptCount val="1"/>
                <c:pt idx="0">
                  <c:v>2017 год</c:v>
                </c:pt>
              </c:strCache>
            </c:strRef>
          </c:tx>
          <c:spPr>
            <a:pattFill prst="narVert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ФР.xlsx]Лист1'!$H$2:$K$2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ФР.xlsx]Лист1'!$H$5:$K$5</c:f>
              <c:numCache>
                <c:formatCode>General</c:formatCode>
                <c:ptCount val="4"/>
                <c:pt idx="0">
                  <c:v>64.7</c:v>
                </c:pt>
                <c:pt idx="1">
                  <c:v>62.1</c:v>
                </c:pt>
                <c:pt idx="2">
                  <c:v>60.7</c:v>
                </c:pt>
                <c:pt idx="3">
                  <c:v>63.4</c:v>
                </c:pt>
              </c:numCache>
            </c:numRef>
          </c:val>
        </c:ser>
        <c:ser>
          <c:idx val="3"/>
          <c:order val="3"/>
          <c:tx>
            <c:strRef>
              <c:f>'[Стастика по ФР.xlsx]Лист1'!$G$6</c:f>
              <c:strCache>
                <c:ptCount val="1"/>
                <c:pt idx="0">
                  <c:v>2016 год</c:v>
                </c:pt>
              </c:strCache>
            </c:strRef>
          </c:tx>
          <c:spPr>
            <a:pattFill prst="narVert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ФР.xlsx]Лист1'!$H$2:$K$2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ФР.xlsx]Лист1'!$H$6:$K$6</c:f>
              <c:numCache>
                <c:formatCode>General</c:formatCode>
                <c:ptCount val="4"/>
                <c:pt idx="0">
                  <c:v>62.9</c:v>
                </c:pt>
                <c:pt idx="1">
                  <c:v>60.7</c:v>
                </c:pt>
                <c:pt idx="2">
                  <c:v>58.8</c:v>
                </c:pt>
                <c:pt idx="3">
                  <c:v>62.3</c:v>
                </c:pt>
              </c:numCache>
            </c:numRef>
          </c:val>
        </c:ser>
        <c:ser>
          <c:idx val="4"/>
          <c:order val="4"/>
          <c:tx>
            <c:strRef>
              <c:f>'[Стастика по ФР.xlsx]Лист1'!$G$7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narVert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ФР.xlsx]Лист1'!$H$2:$K$2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ФР.xlsx]Лист1'!$H$7:$K$7</c:f>
              <c:numCache>
                <c:formatCode>General</c:formatCode>
                <c:ptCount val="4"/>
                <c:pt idx="0">
                  <c:v>62.6</c:v>
                </c:pt>
                <c:pt idx="1">
                  <c:v>59.9</c:v>
                </c:pt>
                <c:pt idx="2">
                  <c:v>57.7</c:v>
                </c:pt>
                <c:pt idx="3">
                  <c:v>59.3</c:v>
                </c:pt>
              </c:numCache>
            </c:numRef>
          </c:val>
        </c:ser>
        <c:ser>
          <c:idx val="5"/>
          <c:order val="5"/>
          <c:tx>
            <c:strRef>
              <c:f>'[Стастика по ФР.xlsx]Лист1'!$G$8</c:f>
              <c:strCache>
                <c:ptCount val="1"/>
                <c:pt idx="0">
                  <c:v>2014 год</c:v>
                </c:pt>
              </c:strCache>
            </c:strRef>
          </c:tx>
          <c:spPr>
            <a:pattFill prst="narVert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ФР.xlsx]Лист1'!$H$2:$K$2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ФР.xlsx]Лист1'!$H$8:$K$8</c:f>
              <c:numCache>
                <c:formatCode>General</c:formatCode>
                <c:ptCount val="4"/>
                <c:pt idx="0">
                  <c:v>62.6</c:v>
                </c:pt>
                <c:pt idx="1">
                  <c:v>58</c:v>
                </c:pt>
                <c:pt idx="2">
                  <c:v>57.1</c:v>
                </c:pt>
                <c:pt idx="3">
                  <c:v>55.3</c:v>
                </c:pt>
              </c:numCache>
            </c:numRef>
          </c:val>
        </c:ser>
        <c:ser>
          <c:idx val="6"/>
          <c:order val="6"/>
          <c:tx>
            <c:strRef>
              <c:f>'[Стастика по ФР.xlsx]Лист1'!$G$9</c:f>
              <c:strCache>
                <c:ptCount val="1"/>
                <c:pt idx="0">
                  <c:v>2013 год</c:v>
                </c:pt>
              </c:strCache>
            </c:strRef>
          </c:tx>
          <c:spPr>
            <a:pattFill prst="narVert">
              <a:fgClr>
                <a:schemeClr val="accent1">
                  <a:lumMod val="60000"/>
                </a:schemeClr>
              </a:fgClr>
              <a:bgClr>
                <a:schemeClr val="accent1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ФР.xlsx]Лист1'!$H$2:$K$2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ФР.xlsx]Лист1'!$H$9:$K$9</c:f>
              <c:numCache>
                <c:formatCode>General</c:formatCode>
                <c:ptCount val="4"/>
                <c:pt idx="0">
                  <c:v>52</c:v>
                </c:pt>
                <c:pt idx="1">
                  <c:v>58.4</c:v>
                </c:pt>
                <c:pt idx="2">
                  <c:v>55</c:v>
                </c:pt>
                <c:pt idx="3">
                  <c:v>51.5</c:v>
                </c:pt>
              </c:numCache>
            </c:numRef>
          </c:val>
        </c:ser>
        <c:ser>
          <c:idx val="7"/>
          <c:order val="7"/>
          <c:tx>
            <c:strRef>
              <c:f>'[Стастика по ФР.xlsx]Лист1'!$G$10</c:f>
              <c:strCache>
                <c:ptCount val="1"/>
                <c:pt idx="0">
                  <c:v>2012 год</c:v>
                </c:pt>
              </c:strCache>
            </c:strRef>
          </c:tx>
          <c:spPr>
            <a:pattFill prst="narVert">
              <a:fgClr>
                <a:schemeClr val="accent2">
                  <a:lumMod val="60000"/>
                </a:schemeClr>
              </a:fgClr>
              <a:bgClr>
                <a:schemeClr val="accent2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ФР.xlsx]Лист1'!$H$2:$K$2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ФР.xlsx]Лист1'!$H$10:$K$10</c:f>
              <c:numCache>
                <c:formatCode>General</c:formatCode>
                <c:ptCount val="4"/>
                <c:pt idx="0">
                  <c:v>48.7</c:v>
                </c:pt>
                <c:pt idx="1">
                  <c:v>56.7</c:v>
                </c:pt>
                <c:pt idx="2">
                  <c:v>53.9</c:v>
                </c:pt>
                <c:pt idx="3">
                  <c:v>48.9</c:v>
                </c:pt>
              </c:numCache>
            </c:numRef>
          </c:val>
        </c:ser>
        <c:ser>
          <c:idx val="8"/>
          <c:order val="8"/>
          <c:tx>
            <c:strRef>
              <c:f>'[Стастика по ФР.xlsx]Лист1'!$G$11</c:f>
              <c:strCache>
                <c:ptCount val="1"/>
                <c:pt idx="0">
                  <c:v>2011 год</c:v>
                </c:pt>
              </c:strCache>
            </c:strRef>
          </c:tx>
          <c:spPr>
            <a:pattFill prst="narVert">
              <a:fgClr>
                <a:schemeClr val="accent3">
                  <a:lumMod val="60000"/>
                </a:schemeClr>
              </a:fgClr>
              <a:bgClr>
                <a:schemeClr val="accent3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'[Стастика по ФР.xlsx]Лист1'!$H$2:$K$2</c:f>
              <c:strCache>
                <c:ptCount val="4"/>
                <c:pt idx="0">
                  <c:v>Привлечение д/с юр.лиц</c:v>
                </c:pt>
                <c:pt idx="1">
                  <c:v>Привлечение д/с физ.лиц</c:v>
                </c:pt>
                <c:pt idx="2">
                  <c:v>Кредитование юр.лиц</c:v>
                </c:pt>
                <c:pt idx="3">
                  <c:v>Кредитование физ.лиц</c:v>
                </c:pt>
              </c:strCache>
            </c:strRef>
          </c:cat>
          <c:val>
            <c:numRef>
              <c:f>'[Стастика по ФР.xlsx]Лист1'!$H$11:$K$11</c:f>
              <c:numCache>
                <c:formatCode>General</c:formatCode>
                <c:ptCount val="4"/>
                <c:pt idx="0">
                  <c:v>47.7</c:v>
                </c:pt>
                <c:pt idx="1">
                  <c:v>58.1</c:v>
                </c:pt>
                <c:pt idx="2">
                  <c:v>53.8</c:v>
                </c:pt>
                <c:pt idx="3">
                  <c:v>48.5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135807944"/>
        <c:axId val="169020392"/>
      </c:barChart>
      <c:catAx>
        <c:axId val="135807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020392"/>
        <c:crosses val="autoZero"/>
        <c:auto val="1"/>
        <c:lblAlgn val="ctr"/>
        <c:lblOffset val="100"/>
        <c:noMultiLvlLbl val="0"/>
      </c:catAx>
      <c:valAx>
        <c:axId val="169020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0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3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'[Региональные рынки (003).xlsx]Лист1'!$B$2</c:f>
              <c:strCache>
                <c:ptCount val="1"/>
                <c:pt idx="0">
                  <c:v>низко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'[Региональные рынки (003).xlsx]Лист1'!$A$3:$A$11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'[Региональные рынки (003).xlsx]Лист1'!$B$3:$B$11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'[Региональные рынки (003).xlsx]Лист1'!$C$2</c:f>
              <c:strCache>
                <c:ptCount val="1"/>
                <c:pt idx="0">
                  <c:v>умеренно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'[Региональные рынки (003).xlsx]Лист1'!$A$3:$A$11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'[Региональные рынки (003).xlsx]Лист1'!$C$3:$C$11</c:f>
              <c:numCache>
                <c:formatCode>General</c:formatCode>
                <c:ptCount val="9"/>
                <c:pt idx="0">
                  <c:v>49</c:v>
                </c:pt>
                <c:pt idx="1">
                  <c:v>55</c:v>
                </c:pt>
                <c:pt idx="2">
                  <c:v>49</c:v>
                </c:pt>
                <c:pt idx="3">
                  <c:v>33</c:v>
                </c:pt>
                <c:pt idx="4">
                  <c:v>16</c:v>
                </c:pt>
                <c:pt idx="5">
                  <c:v>9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</c:numCache>
            </c:numRef>
          </c:val>
        </c:ser>
        <c:ser>
          <c:idx val="2"/>
          <c:order val="2"/>
          <c:tx>
            <c:strRef>
              <c:f>'[Региональные рынки (003).xlsx]Лист1'!$D$2</c:f>
              <c:strCache>
                <c:ptCount val="1"/>
                <c:pt idx="0">
                  <c:v>высоко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'[Региональные рынки (003).xlsx]Лист1'!$A$3:$A$11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'[Региональные рынки (003).xlsx]Лист1'!$D$3:$D$11</c:f>
              <c:numCache>
                <c:formatCode>General</c:formatCode>
                <c:ptCount val="9"/>
                <c:pt idx="0">
                  <c:v>30</c:v>
                </c:pt>
                <c:pt idx="1">
                  <c:v>26</c:v>
                </c:pt>
                <c:pt idx="2">
                  <c:v>32</c:v>
                </c:pt>
                <c:pt idx="3">
                  <c:v>50</c:v>
                </c:pt>
                <c:pt idx="4">
                  <c:v>68</c:v>
                </c:pt>
                <c:pt idx="5">
                  <c:v>76</c:v>
                </c:pt>
                <c:pt idx="6">
                  <c:v>77</c:v>
                </c:pt>
                <c:pt idx="7">
                  <c:v>79</c:v>
                </c:pt>
                <c:pt idx="8">
                  <c:v>79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9023136"/>
        <c:axId val="169020000"/>
      </c:barChart>
      <c:catAx>
        <c:axId val="169023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020000"/>
        <c:crosses val="autoZero"/>
        <c:auto val="1"/>
        <c:lblAlgn val="ctr"/>
        <c:lblOffset val="100"/>
        <c:noMultiLvlLbl val="0"/>
      </c:catAx>
      <c:valAx>
        <c:axId val="169020000"/>
        <c:scaling>
          <c:orientation val="minMax"/>
        </c:scaling>
        <c:delete val="1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902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3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Лист1!$G$2</c:f>
              <c:strCache>
                <c:ptCount val="1"/>
                <c:pt idx="0">
                  <c:v>низко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Лист1!$F$3:$F$11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Лист1!$G$3:$G$11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Лист1!$H$2</c:f>
              <c:strCache>
                <c:ptCount val="1"/>
                <c:pt idx="0">
                  <c:v>умеренно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Лист1!$F$3:$F$11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Лист1!$H$3:$H$11</c:f>
              <c:numCache>
                <c:formatCode>General</c:formatCode>
                <c:ptCount val="9"/>
                <c:pt idx="0">
                  <c:v>40</c:v>
                </c:pt>
                <c:pt idx="1">
                  <c:v>43</c:v>
                </c:pt>
                <c:pt idx="2">
                  <c:v>39</c:v>
                </c:pt>
                <c:pt idx="3">
                  <c:v>34</c:v>
                </c:pt>
                <c:pt idx="4">
                  <c:v>37</c:v>
                </c:pt>
                <c:pt idx="5">
                  <c:v>37</c:v>
                </c:pt>
                <c:pt idx="6">
                  <c:v>30</c:v>
                </c:pt>
                <c:pt idx="7">
                  <c:v>34</c:v>
                </c:pt>
                <c:pt idx="8">
                  <c:v>37</c:v>
                </c:pt>
              </c:numCache>
            </c:numRef>
          </c:val>
        </c:ser>
        <c:ser>
          <c:idx val="2"/>
          <c:order val="2"/>
          <c:tx>
            <c:strRef>
              <c:f>Лист1!$I$2</c:f>
              <c:strCache>
                <c:ptCount val="1"/>
                <c:pt idx="0">
                  <c:v>высоко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Лист1!$F$3:$F$11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Лист1!$I$3:$I$11</c:f>
              <c:numCache>
                <c:formatCode>General</c:formatCode>
                <c:ptCount val="9"/>
                <c:pt idx="0">
                  <c:v>42</c:v>
                </c:pt>
                <c:pt idx="1">
                  <c:v>37</c:v>
                </c:pt>
                <c:pt idx="2">
                  <c:v>42</c:v>
                </c:pt>
                <c:pt idx="3">
                  <c:v>50</c:v>
                </c:pt>
                <c:pt idx="4">
                  <c:v>47</c:v>
                </c:pt>
                <c:pt idx="5">
                  <c:v>46</c:v>
                </c:pt>
                <c:pt idx="6">
                  <c:v>55</c:v>
                </c:pt>
                <c:pt idx="7">
                  <c:v>51</c:v>
                </c:pt>
                <c:pt idx="8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021568"/>
        <c:axId val="169020784"/>
      </c:barChart>
      <c:catAx>
        <c:axId val="16902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020784"/>
        <c:crosses val="autoZero"/>
        <c:auto val="1"/>
        <c:lblAlgn val="ctr"/>
        <c:lblOffset val="100"/>
        <c:noMultiLvlLbl val="0"/>
      </c:catAx>
      <c:valAx>
        <c:axId val="169020784"/>
        <c:scaling>
          <c:orientation val="minMax"/>
        </c:scaling>
        <c:delete val="1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9021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3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Лист1!$L$2</c:f>
              <c:strCache>
                <c:ptCount val="1"/>
                <c:pt idx="0">
                  <c:v>низко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cat>
            <c:strRef>
              <c:f>Лист1!$K$3:$K$11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Лист1!$L$3:$L$11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tx>
            <c:strRef>
              <c:f>Лист1!$M$2</c:f>
              <c:strCache>
                <c:ptCount val="1"/>
                <c:pt idx="0">
                  <c:v>умеренно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Лист1!$K$3:$K$11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Лист1!$M$3:$M$11</c:f>
              <c:numCache>
                <c:formatCode>General</c:formatCode>
                <c:ptCount val="9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Лист1!$N$2</c:f>
              <c:strCache>
                <c:ptCount val="1"/>
                <c:pt idx="0">
                  <c:v>высоко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Лист1!$K$3:$K$11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Лист1!$N$3:$N$11</c:f>
              <c:numCache>
                <c:formatCode>General</c:formatCode>
                <c:ptCount val="9"/>
                <c:pt idx="0">
                  <c:v>79</c:v>
                </c:pt>
                <c:pt idx="1">
                  <c:v>78</c:v>
                </c:pt>
                <c:pt idx="2">
                  <c:v>78</c:v>
                </c:pt>
                <c:pt idx="3">
                  <c:v>80</c:v>
                </c:pt>
                <c:pt idx="4">
                  <c:v>79</c:v>
                </c:pt>
                <c:pt idx="5">
                  <c:v>81</c:v>
                </c:pt>
                <c:pt idx="6">
                  <c:v>82</c:v>
                </c:pt>
                <c:pt idx="7">
                  <c:v>82</c:v>
                </c:pt>
                <c:pt idx="8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022352"/>
        <c:axId val="169022744"/>
      </c:barChart>
      <c:catAx>
        <c:axId val="16902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022744"/>
        <c:crosses val="autoZero"/>
        <c:auto val="1"/>
        <c:lblAlgn val="ctr"/>
        <c:lblOffset val="100"/>
        <c:noMultiLvlLbl val="0"/>
      </c:catAx>
      <c:valAx>
        <c:axId val="169022744"/>
        <c:scaling>
          <c:orientation val="minMax"/>
        </c:scaling>
        <c:delete val="1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902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3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Лист1!$Q$2</c:f>
              <c:strCache>
                <c:ptCount val="1"/>
                <c:pt idx="0">
                  <c:v>низко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Лист1!$P$3:$P$11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Лист1!$Q$3:$Q$11</c:f>
              <c:numCache>
                <c:formatCode>General</c:formatCode>
                <c:ptCount val="9"/>
                <c:pt idx="0">
                  <c:v>10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Лист1!$R$2</c:f>
              <c:strCache>
                <c:ptCount val="1"/>
                <c:pt idx="0">
                  <c:v>умеренно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Лист1!$P$3:$P$11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Лист1!$R$3:$R$11</c:f>
              <c:numCache>
                <c:formatCode>General</c:formatCode>
                <c:ptCount val="9"/>
                <c:pt idx="0">
                  <c:v>37</c:v>
                </c:pt>
                <c:pt idx="1">
                  <c:v>31</c:v>
                </c:pt>
                <c:pt idx="2">
                  <c:v>29</c:v>
                </c:pt>
                <c:pt idx="3">
                  <c:v>18</c:v>
                </c:pt>
                <c:pt idx="4">
                  <c:v>15</c:v>
                </c:pt>
                <c:pt idx="5">
                  <c:v>22</c:v>
                </c:pt>
                <c:pt idx="6">
                  <c:v>16</c:v>
                </c:pt>
                <c:pt idx="7">
                  <c:v>18</c:v>
                </c:pt>
                <c:pt idx="8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Лист1!$S$2</c:f>
              <c:strCache>
                <c:ptCount val="1"/>
                <c:pt idx="0">
                  <c:v>высоко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Лист1!$P$3:$P$11</c:f>
              <c:strCache>
                <c:ptCount val="9"/>
                <c:pt idx="0">
                  <c:v>2011 год</c:v>
                </c:pt>
                <c:pt idx="1">
                  <c:v>2012 год</c:v>
                </c:pt>
                <c:pt idx="2">
                  <c:v>2013 год</c:v>
                </c:pt>
                <c:pt idx="3">
                  <c:v>2014 год</c:v>
                </c:pt>
                <c:pt idx="4">
                  <c:v>2015 год</c:v>
                </c:pt>
                <c:pt idx="5">
                  <c:v>2016 год</c:v>
                </c:pt>
                <c:pt idx="6">
                  <c:v>2017 год</c:v>
                </c:pt>
                <c:pt idx="7">
                  <c:v>2018 год</c:v>
                </c:pt>
                <c:pt idx="8">
                  <c:v>2019 год</c:v>
                </c:pt>
              </c:strCache>
            </c:strRef>
          </c:cat>
          <c:val>
            <c:numRef>
              <c:f>Лист1!$S$3:$S$11</c:f>
              <c:numCache>
                <c:formatCode>General</c:formatCode>
                <c:ptCount val="9"/>
                <c:pt idx="0">
                  <c:v>36</c:v>
                </c:pt>
                <c:pt idx="1">
                  <c:v>45</c:v>
                </c:pt>
                <c:pt idx="2">
                  <c:v>50</c:v>
                </c:pt>
                <c:pt idx="3">
                  <c:v>66</c:v>
                </c:pt>
                <c:pt idx="4">
                  <c:v>69</c:v>
                </c:pt>
                <c:pt idx="5">
                  <c:v>62</c:v>
                </c:pt>
                <c:pt idx="6">
                  <c:v>68</c:v>
                </c:pt>
                <c:pt idx="7">
                  <c:v>67</c:v>
                </c:pt>
                <c:pt idx="8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9286648"/>
        <c:axId val="169287040"/>
      </c:barChart>
      <c:catAx>
        <c:axId val="16928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287040"/>
        <c:crosses val="autoZero"/>
        <c:auto val="1"/>
        <c:lblAlgn val="ctr"/>
        <c:lblOffset val="100"/>
        <c:noMultiLvlLbl val="0"/>
      </c:catAx>
      <c:valAx>
        <c:axId val="169287040"/>
        <c:scaling>
          <c:orientation val="minMax"/>
        </c:scaling>
        <c:delete val="1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6928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3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BD9A5-C916-4505-A9CD-40E6B051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Сергеевич Шилов</dc:creator>
  <cp:keywords/>
  <dc:description/>
  <cp:lastModifiedBy>Даниил Сергеевич Шилов</cp:lastModifiedBy>
  <cp:revision>9</cp:revision>
  <dcterms:created xsi:type="dcterms:W3CDTF">2020-12-09T12:08:00Z</dcterms:created>
  <dcterms:modified xsi:type="dcterms:W3CDTF">2020-12-21T15:06:00Z</dcterms:modified>
</cp:coreProperties>
</file>