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Страховые компании «АльфаСтрахование», «СГ МСК» и Страховая группа «Адмирал» заявили об исполнении предписания по делу о ценовом сговоре с группой КРК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2011, 19:45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«АльфаСтрахование», ОАО «СГ МСК» и ООО «Страховая группа «Адмирал» заявили об исполнении предписания Федеральной антимонопольной службы (ФАС России) по результатам рассмотрения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 о ценовом сговоре между участниками финансовой группы КРК и страховыми компаниями на рынке страхования транспортных средств.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обращает внимание: владельцы транспортных средств, являющихся предметом залога ЗАО «КРК» и КБ «КРК» (ОАО) и застрахованных в указанных страховых компаниях, вправе обратиться в страховую компанию с целью изменения условий договора страхования автомобиля.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0763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