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Пермское УФАС России установило нарушение прав и законных интересов хозяйствующих субъектов Государственным учреждением ветеринарии края «Пермская станция по борьбе с болезнями животных»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2011,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2011 года Комиссия Управления Федеральной антимонопольной службы по Пермскому краю (Пермское УФАС России) признала Государственное учреждение ветеринарии края «Пермская станция по борьбе с болезнями животных» (ГУВК «Пермская СББЖ») нарушившей статью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осуществлении действий,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Пермского УФАС России исключила Государственную ветеринарную инспекцию Пермского края и Государственное учреждение ветеринарии края «Пермский ветеринарный диагностический центр» (ГУВК «Пермский ВДЦ») из числа ответчиков в связи с отсутствием в их действиях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Пермского УФАС России послужили проверки Государственной ветеринарной инспекции Пермского края и подведомственных ему учреждений ветеринарии, осуществлявшиеся по заданию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Пермского УФАС установила, что ГУВК «Пермская СББЖ» осуществляет необоснованное препятствование деятельности хозяйствующими субъектами путем требования на продукты животного происхождения, подвергшиеся промышленной или тепловой обработке, наличие которых в соответствии с действующим законодательством РФ не является обязательным.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Комиссию Пермского УФАС России было представлено письмо департамента ветеринарии Министерства сельского хозяйства РФ, в котором прямо указано на отсутствие необходимости оформлять сопроводительные ветеринарные документы на продукты животного происхождения, подвергшиеся промышленной или тепловой обработке.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«Остается неясным, почему при наличии разъяснений федерального министерства, краевое учреждение ветеринарии не желает принимать его во внимание и тем самым дать переработчикам продукции животного происхождения возможность цивилизованно осуществлять предпринимательскую деятельность, устранив данный административный барьер», - отметил заместитель руководителя Пермского УФАС России Антон Удальёв.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статье 15 закона «О защите конкуренции» устанавливающей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а также государственных внебюджетных фондов, Центрального банка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