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продолжается обсуждение параметров нового тарифного прейскуранта грузовых железнодорожных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2017,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2017 года в Федеральной антимонопольной службе (ФАС России) состоялось очередное заседание подгруппы по определению размера эксплуатационных затрат, подлежащих включению в тарифы, сборы и платы на грузовые железнодорожные перевозки.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рабочей группы обсудили вопросы, связанные с переходом на долгосрочное тарифное регулирование, исключением из тарифов затрат, не имеющих непосредственное отношение к грузовым перевозкам, решением проблем отложенного капитального ремонта путей, формированием базовых сетевых тарифов на основе массы и длины вагона.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регулирования транспорта ФАС России Адиля Вяселева подчеркнула, что для дальнейшего обсуждения ведомству необходимо понять не приведут ли предлагаемые подходы к росту тарифов на грузоперевозку и будут ли они способствовать привлечению новых грузов на железную дорогу. Члены рабочей группы договорились продолжить обсуждение после завершения соответствующих расчетов.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