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правомерность штрафа, наложенного на «Евро-Импорт Групп» 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2010, 16:42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30 августа 2010 года оставил в силе постановление Федеральной антимонопольной службы (ФАС России) о наложении на ООО «Евро-Импорт Групп» штрафа в размере 100 000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2009 года ФАС России признала ООО «Евро-Импорт Групп» нарушившим пункт 2 части 1 статьи 14 Федерального закона «О защите конкуренции». Нарушение выразилось в реализации на территории Российской Федерации журнала «МОТОэксперт», оформление которого вводит потребителей в заблуждение в отношении издателя этого журнала.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ФАС России привлекло ООО «Евро-Импорт Групп» к административной ответственности – штрафу в размере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«Евро-Импорт Групп» не согласилось с постановлением о наложении штрафа и обжаловало его в судебном порядке. 30 августа 2010 года Арбитражный суд г. Москвы оставил в силе постановление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 </w:t>
      </w:r>
      <w:r>
        <w:br/>
      </w:r>
      <w:r>
        <w:rPr>
          <w:i/>
        </w:rPr>
        <w:t xml:space="preserve">
1. Согласно пункту 2 части 1 статьи 14 Федерального закона 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Согласно части 1 статьи 14.33 Кодекса Российской Федерации об административных правонарушениях (КоАП РФ)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