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«Компания розничного кредитования», Коммерческий банк «КРК»  и страховые компании ограничили конкуренцию на  рынке добровольного страхования транспортных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2010, 11:37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августа 2010 года Федеральная антимонопольная служба (ФАС России) признала ЗАО «Компания розничного кредитования (КРК)», Коммерческий банк «КРК» (ОАО) и ООО «КРК-Страхование», ОАО «СГ МСК», ОАО «Русская Страховая Компания», ОАО «АльфаСтрахование», ООО «Росгосстрах», ООО «Группа Ренессанс Страхование», ООО «СГ «Адмирал» нарушившими антимонопольное законодательство. Нарушение выразилось в заключении ими соглашений (договоров) по страхованию имущественных интересов клиентов ЗАО «КРК» и заемщиков КБ «КРК» (ОАО) при приобретении транспортных средств на условиях рассрочки платежа или в кредит.</w:t>
      </w:r>
      <w:r>
        <w:br/>
      </w:r>
      <w:r>
        <w:t xml:space="preserve">
Дело о нарушении антимонопольного законодательства было возбуждено на основании поступивших в ФАС России заявлений граждан с жалобами на действия ЗАО «КРК», КБ «КРК» (ОАО) и страховых организаций. Из заявлений следовало, что при заключении или пролонгации договора страхования транспортного средства, являющегося предметом залога ЗАО «КРК» или КБ «КРК» (ОАО), гражданам не предоставлялась возможность выбора страховой организации; стоимость полиса страхования была установлена выше рыночной и зафиксирована на весь срок страхования. При этом в случае нехватки денег на оплату очередного страхового взноса навязывался потребительский кредит в КБ «КРК» (ОАО).</w:t>
      </w:r>
      <w:r>
        <w:br/>
      </w:r>
      <w:r>
        <w:t xml:space="preserve">
По результатам рассмотрения дела Комиссия ФАС России установила нарушение, которое выразилось в фиксации размера страхового тарифа по страхованию транспортного средства, являющегося предметом залога ЗАО «КРК» или КБ «КРК» (ОАО), на уровне 9,99% от первоначальной стоимости транспортного средства. Этот тариф применялся до полного исполнения обязательств по договору купли-продажи с условием рассрочки платежа с ЗАО «КРК» или кредитного договора с КБ «КРК» (ОАО). Следовательно, при перезаключении договора страхования на новый срок (пролонгации договора) клиент ЗАО «КРК» или заемщик КБ «КРК» (ОАО) был обязан уплачивать страховую премию за второй и последующие годы страхования, как за новый автомобиль, то есть без учета норм амортизационного износа транспортного средства, коэффициентов за безаварийную езду и т.д.</w:t>
      </w:r>
      <w:r>
        <w:br/>
      </w:r>
      <w:r>
        <w:t xml:space="preserve">
Комиссия ФАС России признала, что соглашения ЗАО «КРК», КБ «КРК» (ОАО) и страховых организаций нарушают пункты 1 и 5 части 1 статьи 11 Федерального закона «О защите конкуренции», так как привели (могли привести) к установлению тарифов и навязыванию невыгодных условий по договорам добровольного страхования транспортных средств, являющихся предметом залога ЗАО «КРК» и КБ «КРК» (ОАО).</w:t>
      </w:r>
      <w:r>
        <w:br/>
      </w:r>
      <w:r>
        <w:t xml:space="preserve">
В целях прекращения ограничивающих конкуренцию соглашений и устранения последствий нарушения антимонопольного законодательства Комиссия ФАС России выдала ЗАО «КРК», ООО «КРК-Страхование», ОАО «СГ МСК», ОАО «Русская Страховая Компания», ОАО «АльфаСтрахование», ООО «Росгосстрах», ООО «Группа Ренессанс Страхование» и ООО «СГ «Адмирал» предписания о прекращении нарушения. </w:t>
      </w:r>
      <w:r>
        <w:br/>
      </w:r>
      <w:r>
        <w:t xml:space="preserve">
В отношении ОАО «ГСК «Югория» Комиссия ФАС России приняла решение о прекращении рассмотрения дела в связи с отсутствием нарушения антимонопольного законодательства в его действиях. </w:t>
      </w:r>
      <w:r>
        <w:br/>
      </w:r>
      <w:r>
        <w:rPr>
          <w:i/>
        </w:rPr>
        <w:t xml:space="preserve">Справочно: </w:t>
      </w:r>
      <w:r>
        <w:br/>
      </w:r>
      <w:r>
        <w:rPr>
          <w:i/>
        </w:rPr>
        <w:t xml:space="preserve">
Согласно п.п. 1 и 5 части 1 статьи 11 Федерального закона «О защите конкуренции»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к:</w:t>
      </w:r>
      <w:r>
        <w:br/>
      </w:r>
      <w:r>
        <w:rPr>
          <w:i/>
        </w:rPr>
        <w:t xml:space="preserve">(п.1) установлению или поддержанию цен (тарифов), скидок, надбавок (доплат), наценок;</w:t>
      </w:r>
      <w:r>
        <w:br/>
      </w:r>
      <w:r>
        <w:rPr>
          <w:i/>
        </w:rPr>
        <w:t xml:space="preserve">
(п.5) навязыванию контрагенту условий договора, невыгодных для него или не относящихся к предмету договора (необоснованные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товаров, в которых контрагент не заинтересован, и другие требования).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