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Романенкова: квалификация правонарушения как малозначительного может иметь место только в исключительных случаях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«Квалификация правонарушения как малозначительного может иметь место только в исключительных случаях. Кроме того, применение положений о малозначительности должно быть мотивированно», - заявила Ирина Романенкова, начальник судебной работы правового управления Федеральной антимонопольной службы (ФАС России), на российско - американском семинаре по вопросам применения антимонопольного законодательства 8 июля 2010 года.</w:t>
      </w:r>
      <w:r>
        <w:br/>
      </w:r>
      <w:r>
        <w:t xml:space="preserve">
В своем докладе на тему: «Признание административных правонарушений в сфере регулирования законодательства о конкуренции малозначительными и освобождение нарушителя от административной ответственности» она рассказала, что 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 «Такие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правонарушения», - отмечает она. - Данные обстоятельства учитываются при назначении административного наказания».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административные правонарушения в сфере регулирования законодательства о конкуренции также могут быть признаны малозначительными, при этом квалификация деяния в качестве малозначительного обусловлена в КоАП РФ субъективной оценкой судьи, уполномоченного органа (должностного лица).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Чаще всего освобождение от административной ответственности в связи с малозначительностью административного правонарушения происходит в случае нарушения компаниями порядка и сроков представления уведомлений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качестве малозначительных обычно квалифицируются административные правонарушения, выразившиеся в непредставлении в установленный в запросе антимонопольного органа срок сведений (информации), в случае, если запрошенные сведения (информация) были представлены антимонопольному органу в процессе производства по делу об административном правонарушении на стадии после составления протокола, но до вынесения постановления.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«Арбитражные суды, рассматривая дела о привлечении к административной ответственности за такие нарушения, нередко принимают решение о малозначительности административного правонарушения и освобождают лиц от административной ответственности, исходя из обстоятельств конкретного дела», - добавила Ирина Романенкова.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