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внесла на рассмотрение в Правительство поправки в закон об иностранных инвестициях в стратегические предприятия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2010, 17:55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внесла в Правительство Российской Федерации поправки в закон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  <w:r>
        <w:br/>
      </w:r>
      <w:r>
        <w:br/>
      </w:r>
      <w:r>
        <w:t xml:space="preserve">
Разработанные службой поправки направлены на упрощение процедур подготовки ходатайств иностранными инвесторами, повышение прозрачности порядка рассмотрения ходатайств и устранение излишних административных барьеров при осуществлении сделок иностранных инвесторов в отношении стратегических обществ.</w:t>
      </w:r>
      <w:r>
        <w:br/>
      </w:r>
      <w:r>
        <w:br/>
      </w:r>
      <w:r>
        <w:t xml:space="preserve">
Как отметил заместитель руководителя ФАС России Андрей Цыганов: «Принятие данного документа направлено на исключение ряд типичных недостатков при подготовке и подаче ходатайств иностранными инвесторами, внесение ясности в ряд неурегулированных Законом вопросов порядка предварительного согласования сделок».</w:t>
      </w:r>
      <w:r>
        <w:br/>
      </w:r>
      <w:r>
        <w:br/>
      </w:r>
      <w:r>
        <w:t xml:space="preserve">
Законопроект предусматривает следующие основные изменения:</w:t>
      </w:r>
      <w:r>
        <w:br/>
      </w:r>
      <w:r>
        <w:br/>
      </w:r>
      <w:r>
        <w:t xml:space="preserve">
- деятельность банков в области криптографии исключается из видов деятельности, имеющих стратегическое значение и установленных статьей 6 закона;</w:t>
      </w:r>
      <w:r>
        <w:br/>
      </w:r>
      <w:r>
        <w:t xml:space="preserve">
- уточняется порядок осуществления сделок внутри группы лиц в рамках установленных законодателем исключений;</w:t>
      </w:r>
      <w:r>
        <w:br/>
      </w:r>
      <w:r>
        <w:t xml:space="preserve">
- сокращаются стратегические виды деятельности, подлежащие предварительному контролю, осуществляемых банками, за исключением тех банков, участником которых является Российская Федерация;</w:t>
      </w:r>
      <w:r>
        <w:br/>
      </w:r>
      <w:r>
        <w:t xml:space="preserve">
- уточняются нормы закона, позволяющие расширить исключения, установленные законом N 57-ФЗ в сфере недропользования, в отношении сделок в рамках дополнительной эмиссии, в результате которых права иностранных инвесторов по распоряжениям акциями стратегического хозяйственного субъекта не увеличиваются.</w:t>
      </w:r>
      <w:r>
        <w:br/>
      </w:r>
      <w:r>
        <w:t xml:space="preserve">
- уточняются требования к представляемому иностранным инвестором пакету документов к ходатайству, что позволит исключить ошибки заявителей при изложении существа планируемой сделки.</w:t>
      </w:r>
      <w:r>
        <w:br/>
      </w:r>
      <w:r>
        <w:br/>
      </w:r>
      <w:r>
        <w:t xml:space="preserve">
Кроме того, по результатам обсуждения подготовленного законопроекта с иностранными инвесторами и заинтересованными органами исполнительной власти готовится второй пакет поправок, с учетом которого Закон включает практически все предложения иностранных инвесторов, получившие одобрения в ходе проведенных встреч (за исключением предложений по либерализации критериев контроля в сфере недропользования, которые требуют дополнительной проработки). 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С момента вступления в силу закона N 57-ФЗ в ФАС России поступило 122 ходатайства, 58 ходатайств рассмотрены в рамках семи заседаний Правительственной комиссии по контролю за осуществлением иностранных инвестиций в РФ.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