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провел встречу с зарубежными инвесторами по вопросам развития российского рынка телекоммуникаций и интернета</w:t>
      </w:r>
    </w:p>
    <w:p xmlns:w="http://schemas.openxmlformats.org/wordprocessingml/2006/main" xmlns:pkg="http://schemas.microsoft.com/office/2006/xmlPackage" xmlns:str="http://exslt.org/strings" xmlns:fn="http://www.w3.org/2005/xpath-functions">
      <w:r>
        <w:t xml:space="preserve">31 мая 2017, 18:18</w:t>
      </w:r>
    </w:p>
    <w:p xmlns:w="http://schemas.openxmlformats.org/wordprocessingml/2006/main" xmlns:pkg="http://schemas.microsoft.com/office/2006/xmlPackage" xmlns:str="http://exslt.org/strings" xmlns:fn="http://www.w3.org/2005/xpath-functions">
      <w:r>
        <w:rPr>
          <w:i/>
        </w:rPr>
        <w:t xml:space="preserve">«В России выстроена благоприятная конкурентная среда на рынке телекоммуникаций, цифровых технологий и «цифровой экономики» в целом. Она поддерживается и улучшается мерами по защите и развитию конкуренции».</w:t>
      </w:r>
    </w:p>
    <w:p xmlns:w="http://schemas.openxmlformats.org/wordprocessingml/2006/main" xmlns:pkg="http://schemas.microsoft.com/office/2006/xmlPackage" xmlns:str="http://exslt.org/strings" xmlns:fn="http://www.w3.org/2005/xpath-functions">
      <w:r>
        <w:t xml:space="preserve">Об этом рассказал заместителя руководителя ФАС России Анатолия Голомолзина на встрече с представителями мирового инвестиционного сообщества по вопросам развития рынка телекоммуникаций и Интернета в России, которая состоялась 30 мая 2017 года в Москве.</w:t>
      </w:r>
    </w:p>
    <w:p xmlns:w="http://schemas.openxmlformats.org/wordprocessingml/2006/main" xmlns:pkg="http://schemas.microsoft.com/office/2006/xmlPackage" xmlns:str="http://exslt.org/strings" xmlns:fn="http://www.w3.org/2005/xpath-functions">
      <w:r>
        <w:t xml:space="preserve">В ходе встречи инвесторы, прибывшие из Норвегии, Швеции, США и других стран и представлявшие зарубежные финансовые группы, получили экспертное мнение ФАС России о тенденциях развития телекоммуникаций и отраслей так называемой «цифровой экономики».</w:t>
      </w:r>
    </w:p>
    <w:p xmlns:w="http://schemas.openxmlformats.org/wordprocessingml/2006/main" xmlns:pkg="http://schemas.microsoft.com/office/2006/xmlPackage" xmlns:str="http://exslt.org/strings" xmlns:fn="http://www.w3.org/2005/xpath-functions">
      <w:r>
        <w:t xml:space="preserve">Круг вопросов, интересовавший инвесторов, был весьма широким. В их числе тема роли телекоммуникаций и Интернета в экономике в целом, состояние конкуренции и перспективы консолидации на рынках информационных коммуникационных технологий (ИКТ), уровни и динамика цен на основные услуги, вопросы конкуренции, тарифного и отраслевого регулирования, доступа к инфраструктуре, базовых принципов государственной политики, ее соотнесение с мировыми практиками, дело Google, перспективы деятельности компаний-агрегаторов Uber и Яндекс в сфере онлайн-заказа такси, развития рынков в сфере авиации. В ходе встречи были даны детальные комментарии по всем интересующим участников встречи проблемам.</w:t>
      </w:r>
    </w:p>
    <w:p xmlns:w="http://schemas.openxmlformats.org/wordprocessingml/2006/main" xmlns:pkg="http://schemas.microsoft.com/office/2006/xmlPackage" xmlns:str="http://exslt.org/strings" xmlns:fn="http://www.w3.org/2005/xpath-functions">
      <w:r>
        <w:t xml:space="preserve">Отвечая на вопросы представителей инвестиционных фондов, Анатолий Голомолзин отметил, что в 2016 году вклад Интернет-рынков составляет около 2,8% ВВП. При этом доступность услуг широкополосного доступа в интернет (ШПД) составляет около 70%. Степень проникновения сотовой связи превышает 150%, при этом в зоне обслуживания мобильных сетей высокоскоростного доступа LTE находится примерно 70% населения. Стоимость услуг сотовой связи в России является одной из самых низких в мире (близко к таким инвестиционно привлекательным странам как Индия, Китай, Финляндия), аналогично по стоимости услуг ШПД (в чем Россия близка к США и Японии); доходность бизнеса ИКТ находится на одном из самых высоких уровней. Соответственно, Россия демонстрирует высокую степень готовности к сетевому обществу.</w:t>
      </w:r>
    </w:p>
    <w:p xmlns:w="http://schemas.openxmlformats.org/wordprocessingml/2006/main" xmlns:pkg="http://schemas.microsoft.com/office/2006/xmlPackage" xmlns:str="http://exslt.org/strings" xmlns:fn="http://www.w3.org/2005/xpath-functions">
      <w:r>
        <w:t xml:space="preserve">Такая ситуация сложилась благодаря развитым конкурентным рынкам в секторе ИКТ и принимаемым мерам по ее улучшению. Государственная политика в значительной степени базируется на принципах технологической нейтральности, закрепляя выгоды и преимущества процессов конвергенции в ИКТ. Это касается подходов антимонопольных органов к принятию решений по анализу рынков и защите конкуренции, а также инкорпорируется в вопросы распределения частотного спектра, лицензирования, технического регулирования, требования к построению и взаимодействию сетей, в отношения с потребителями.</w:t>
      </w:r>
    </w:p>
    <w:p xmlns:w="http://schemas.openxmlformats.org/wordprocessingml/2006/main" xmlns:pkg="http://schemas.microsoft.com/office/2006/xmlPackage" xmlns:str="http://exslt.org/strings" xmlns:fn="http://www.w3.org/2005/xpath-functions">
      <w:r>
        <w:t xml:space="preserve">Вклад в ВВП страны зависимых (сопряженных) с интернетом рынков составляет уже примерно 20% ВВП. В мировом рейтинге готовности к сетевому обществу Россия с 56 места в 2012 году поднялась до 41 места в 2016 году. В условиях конвергенции сектора ИКТ и других сфер экономики еще одним важным принципом является сетевая нейтральность. В качестве примера лучшей практики были приведены результаты деятельности Рабочей группы по разработке Принципов сетевой нейтральности при Экспертном совете ФАС России по вопросам связи. «Базовый документ по сетевой нейтральности» был принят после длительных публичных обсуждений с заинтересованными лицами («стейкхолдерами»). Следование согласованным бизнес-сообществом и заинтересованными органами власти принципам в деятельности операторов связи, интернет-провайдеров и поставщиков контента, включая ОТТ-сервисы, такие как организаторы распространения информации, организаторы аудиовизуальных сервисов, обеспечивает инвестиционную привлекательность, внедрение инноваций и эффективную конкуренцию.</w:t>
      </w:r>
    </w:p>
    <w:p xmlns:w="http://schemas.openxmlformats.org/wordprocessingml/2006/main" xmlns:pkg="http://schemas.microsoft.com/office/2006/xmlPackage" xmlns:str="http://exslt.org/strings" xmlns:fn="http://www.w3.org/2005/xpath-functions">
      <w:r>
        <w:t xml:space="preserve">Анатолий Голомолзин отметил, что в России условия инвестиционной привлекательности возрастают за счет предпочтения мер по развитию конкуренции по сравнению с мерами прямого государственного регулирования. Значение для развития конкуренции имеют, в частности, возможности абонентов по выбору оператора связи. За несколько лет за счет освобождения от «мобильного рабства» - обеспечения переносимости мобильных номеров, - примерно 6 млн российских абонентов смогли без смены номера телефона перейти к другому мобильному оператору. В своем выступлении заместитель руководителя ФАС России также остановился на значении совместного использования инфраструктуры и радиочастотного спектра для развития конкуренции в телекоммуникационной сфере.</w:t>
      </w:r>
    </w:p>
    <w:p xmlns:w="http://schemas.openxmlformats.org/wordprocessingml/2006/main" xmlns:pkg="http://schemas.microsoft.com/office/2006/xmlPackage" xmlns:str="http://exslt.org/strings" xmlns:fn="http://www.w3.org/2005/xpath-functions">
      <w:r>
        <w:t xml:space="preserve">В настоящее время также обсуждается вопрос о дерегулировании фиксированной телефонии, исходя из условий ее конкуренции с другими услугами ИКТ. Развитию конкуренции способствуют и принятые в ноябре 2014 года «Правила недискриминационного доступа к инфраструктуре для размещения сетей связи». Анатолий Голомолзин поделился подробностями относительно разработки и внедрения «Принципов справедливого роуминга». В частности, он проинформировал о ходе решения в 2017 году проблем национального роуминга и прекращении применения (навязывания) услуг внутрисетевого роуминга.</w:t>
      </w:r>
    </w:p>
    <w:p xmlns:w="http://schemas.openxmlformats.org/wordprocessingml/2006/main" xmlns:pkg="http://schemas.microsoft.com/office/2006/xmlPackage" xmlns:str="http://exslt.org/strings" xmlns:fn="http://www.w3.org/2005/xpath-functions">
      <w:r>
        <w:t xml:space="preserve">Работа по реализации мер защиты и развития конкуренции в сфере международного роуминга велась в рамках Штаба по проведению совместных расследований в СНГ, а также в рамках Международной рабочей группы, созданной по инициативе ФАС и конкурентного ведомства Турции и объединяющей специалистов антимонопольных органов около 20 стран мира. В результате за считанные годы удалось многократно снизить межоператорские ставки и стоимость услуг связи в международном роуминге для абонентов (порядка 4-8 раз за телефонные разговоры и передачу SMS-сообщений и порядка 20-40 раз за передачу данных). Операторы связи получили выгоду при этом от соразмерного роста трафика.</w:t>
      </w:r>
    </w:p>
    <w:p xmlns:w="http://schemas.openxmlformats.org/wordprocessingml/2006/main" xmlns:pkg="http://schemas.microsoft.com/office/2006/xmlPackage" xmlns:str="http://exslt.org/strings" xmlns:fn="http://www.w3.org/2005/xpath-functions">
      <w:r>
        <w:t xml:space="preserve">Этот опыт выгодно отличается от опыта стран Евросоюза, где аналогичных результатов удалось достичь не за счет мер защиты и развития конкуренции, а за счет прямого тарифного регулирования. Проблемным также является то, что в ЕС снижение тарифов в международном роуминге произошло за счет роста тарифов на услуги сотовой связи в ряде стран – членов ЕС, а также за счет роста тарифов на услуги международного роуминга в отношении ряда стран – не членов ЕС.</w:t>
      </w:r>
    </w:p>
    <w:p xmlns:w="http://schemas.openxmlformats.org/wordprocessingml/2006/main" xmlns:pkg="http://schemas.microsoft.com/office/2006/xmlPackage" xmlns:str="http://exslt.org/strings" xmlns:fn="http://www.w3.org/2005/xpath-functions">
      <w:r>
        <w:t xml:space="preserve">Анатолий Голомолзин отметил, что за последние десять лет из пяти крупнейших по капитализации компаний сменились все, за исключением одной – Microsoft. Exxon Mobil, General Electric, Citigroup и Shell Oil были заменены Apple, Alphabet (материнская компания Google), Amazon, Facebook. Собственно, в списке топ-5 остались только цифровые гиганты. Все эти компании работают в сфере высоких технологий, и каждая из этих компаний при этом доминирует на соответствующем рынке. Мировая общественность и эксперты говорят, что не хотели бы, чтобы новые компании-гиганты вели себя также, как монополисты на рынках сырья и промышленности 100 лет назад.</w:t>
      </w:r>
    </w:p>
    <w:p xmlns:w="http://schemas.openxmlformats.org/wordprocessingml/2006/main" xmlns:pkg="http://schemas.microsoft.com/office/2006/xmlPackage" xmlns:str="http://exslt.org/strings" xmlns:fn="http://www.w3.org/2005/xpath-functions">
      <w:r>
        <w:t xml:space="preserve">Антимонопольные органы меняют свои походы с учетом особенностей «цифровой экономики», в том числе через взаимодействие в рамках российских и международных Рабочих групп, ЕАЭС и СНГ. В частности, Международная рабочая группа по роумингу преобразовалась в Международнуюю рабочую группу по ИКТ. Очередное ее заседание прошло недавно в г.Стамбуле (Турция). На встрече обсуждались вопросы конвергенции в секторе ИКТ и подходы к анализу рынков. В настоящий момент формируется новая практика рассмотрения дел о нарушениях антимонопольного законодательства.</w:t>
      </w:r>
    </w:p>
    <w:p xmlns:w="http://schemas.openxmlformats.org/wordprocessingml/2006/main" xmlns:pkg="http://schemas.microsoft.com/office/2006/xmlPackage" xmlns:str="http://exslt.org/strings" xmlns:fn="http://www.w3.org/2005/xpath-functions">
      <w:r>
        <w:t xml:space="preserve">Комментируя вопрос о возможном неисполнении Google мирового соглашения, которое было достигнуто между ФАС России и американским технологическим гигантом в апреле 2017 года, Анатолий Голомолзин отметил, что это дело, а также серия дел на телекоммуникационных рынках России и СНГ, являются примерами применения принципов «Базового документа по сетевой нейтральности» на практике. У государства достаточно средств для обеспечения защиты конкуренции. В то же время, он отметил, что у Google имеется заинтересованность в исполнении соглашения, и, таким образом, негативные сценарии маловероятны.  «В долгосрочной перспективе такие компании, как Google, заинтересованы в поддержании регуляторами справедливых условий конкуренции на рынке, в удовлетворении новых потребностей растущего числа пользователей, причем не только в России, но и в других странах», - сказал заместитель руководителя ведомства.</w:t>
      </w:r>
    </w:p>
    <w:p xmlns:w="http://schemas.openxmlformats.org/wordprocessingml/2006/main" xmlns:pkg="http://schemas.microsoft.com/office/2006/xmlPackage" xmlns:str="http://exslt.org/strings" xmlns:fn="http://www.w3.org/2005/xpath-functions">
      <w:r>
        <w:t xml:space="preserve">Комментируя вопросы относительно перспектив рынка услуг онлайн-заказа такси (в том числе с помощью Uber, Яндекс и других компаний), Анатолий Голомолзин отметил положительное отношение ФАС России к развитию компаний-агрегаторов на рынке транспортных и других услуг. Но при этом он подчеркнул, что под внимание антимонопольного ведомства могут попасть действия компаний, связанные с использованием алгоритмов, нарушающих правила конкуренции.</w:t>
      </w:r>
    </w:p>
    <w:p xmlns:w="http://schemas.openxmlformats.org/wordprocessingml/2006/main" xmlns:pkg="http://schemas.microsoft.com/office/2006/xmlPackage" xmlns:str="http://exslt.org/strings" xmlns:fn="http://www.w3.org/2005/xpath-functions">
      <w:r>
        <w:t xml:space="preserve">Что касается вопросов о ситуации на рынке авиационных перевозок, заместитель руководителя ФАС России отметил, что на стоимость авиабилетов влияют не только условия конкуренции в самом секторе авиаперевозок, но также и ситуация в сопряженных сферах, в частности, цены на авиатопливо. На Глобальном форуме ИАТА по авиатопливу, который прошел в мае этого года в Санкт-Петербурге (Россия), было отмечено, что в России создана одна из лучших систем ценообразования. В частности, в режиме биржевых торгов торгуется до 20% от объема авиакеросина, поставляемого на внутренний рынок. Ежедневно публикуются биржевые котировки, индексы внебиржевых цен и индексы цен сопоставимых зарубежных рынков.</w:t>
      </w:r>
    </w:p>
    <w:p xmlns:w="http://schemas.openxmlformats.org/wordprocessingml/2006/main" xmlns:pkg="http://schemas.microsoft.com/office/2006/xmlPackage" xmlns:str="http://exslt.org/strings" xmlns:fn="http://www.w3.org/2005/xpath-functions">
      <w:r>
        <w:t xml:space="preserve">Аналогичная работа должна вестись в сфере авиаперевозок. На одном из заседаний Методического совета ФАС России была отмечена необходимость публикации на регулярной основе соответствующих индексов цен на авиаперевозки. Это позволит повысить прозрачность этого сектора, причем не только для авиакомпаний, но и для пассажиров. Так же заместитель руководителя ФАС России привлек внимание к инициативам ведомства в области проконкурентного доступа авиакомпаний на международные рынки авиаперевозок.</w:t>
      </w:r>
    </w:p>
    <w:p xmlns:w="http://schemas.openxmlformats.org/wordprocessingml/2006/main" xmlns:pkg="http://schemas.microsoft.com/office/2006/xmlPackage" xmlns:str="http://exslt.org/strings" xmlns:fn="http://www.w3.org/2005/xpath-functions">
      <w:r>
        <w:t xml:space="preserve">По итогам встречи Анатолий Голомолзин подчеркнул позитивные ожидания регулятора по притоку дополнительных инвестиций в российскую экономику.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