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России работает над созданием эталонных параметров для предотвращения необоснованного роста тарифов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2017, 16:06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субъектах Российской Федерации разница в тарифах коммунального комплекса достигает 50 раз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«Антимонопольная служба и другие федеральные органы власти сейчас активно работают для решения этой проблемы, - сообщил замглавы ФАС Виталий Королев в рамках Восточного экономического форума во Владивостоке. – Проблема заключается в следующем: социально-экономический прогноз устанавливает рост тарифов на передачу электроэнергии на уровне 3%, однако, региональные тарифные органы при установлении тарифов рассматривают инвестиционные программы сетевых компаний, и в итоге превышают установленный федеральным регулятором уровень, что приводит к значительному росту тарифа».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разработала проект Федерального закона, который исключит этот пробел в правовом регулировании», - заявил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Замруководителя ведомства также отметил, что в июле этого года Правительство Российской Федерации приняло постановление, которое внедряет новые правила установления сбытовых надбавок гарантирующих поставщиков электроэнергии с использованием метода сравнения аналогов.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«Основная задача метода эталонных затрат – стимулировать энергосбытовые компании к повышению эффективности, - сказал Виталий Королев. – Сейчас совместно с федеральными органами власти ФАС России прорабатывает идею внедрения такого механизма в другие сферы деятельности».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