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четвертая промышленная революция ведет нас к пятому «антимонопольному пакету»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13:55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Цифровая экономика – современная действительность и нам нужно научиться работать по-новому. Об этом рассказал статс-секретарь – заместитель руководителя ФАС России, модерируя сессию «Конкуренция в цифровой экономике» в рамках V Конференции БРИКС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2017 года представители антимонопольных органов стран БРИКС обсудили особенности цифровых рынков, их влияние на политику в области конкуренции и недавние прецедентные дела в этой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«Цифровая экономика развивается невероятными темпами, и речь не только о технологичных товарах и услугах, как программное обеспечение, </w:t>
      </w:r>
      <w:r>
        <w:rPr>
          <w:i/>
        </w:rPr>
        <w:t xml:space="preserve">big</w:t>
      </w:r>
      <w:r>
        <w:rPr>
          <w:i/>
        </w:rPr>
        <w:t xml:space="preserve">data</w:t>
      </w:r>
      <w:r>
        <w:rPr>
          <w:i/>
        </w:rPr>
        <w:t xml:space="preserve">, интернет платформы и магазины, мобильные телефоны и приложения, но и о распространении «цифры» классические рынки сырья и промышленных товаров»,</w:t>
      </w:r>
      <w:r>
        <w:t xml:space="preserve">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предложил обсудить подходы антимонопольного регулирования и экономические инструменты анализа в эпоху цифровой экономики, подчеркнув, что они требуют переосмысления и выработки новых подходов.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«Антимонопольное законодательство должно быть готово своевременно и эффективно решать проблемы современной действительности, - </w:t>
      </w:r>
      <w:r>
        <w:t xml:space="preserve">заявил он.</w:t>
      </w:r>
      <w:r>
        <w:rPr>
          <w:i/>
        </w:rPr>
        <w:t xml:space="preserve"> – Для этого необходимо синхронизировать требования нового времени и законы».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рассказал, что, согласно поручению Правительства РФ, в настоящее время ФАС России разрабатывает «цифровые» поправки в Закон о защите конкуренции (135-ФЗ).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«Четвертая промышленная революция ведет нас к пятому «антимонопольному пакету»</w:t>
      </w:r>
      <w:r>
        <w:t xml:space="preserve">,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сессии ее участники обсудили использование больших данных в применении к законодательству о конкуренции, в том числе, для учета рисков применения правоприменения в условиях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представители антимонопольных органов стран БРИКС подробно осветили методы обнаружения и борьбы с цифровыми картелями, аукционными и ценовыми роботами, которые ФАС России успешно применяет.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рассказал о делах российского антимонопольного ведомства, возбужденных в отношении компаний, применявших роботов для установки и поддержания цен на торгах и незаконной координации цен на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  создании аукционных роботов компании, вступившие в сговор, могут программировать для них лимиты снижения в диапазоне от 0,5% до 1% от начальной цены контракта в зависимости от того, кто из них должен выиграть аукцион. Более 2000 электронных аукционов прошли с указанными признаками», </w:t>
      </w:r>
      <w:r>
        <w:t xml:space="preserve">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участники встречи подчеркнули важность модернизации конкурентного законодательства для решения проблем новой экономики и необходимость межведомственного сотрудничества и дальнейшего обмена опытом.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