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обсудил с экспертами новые аспекты в установлении доминирования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2017, 14:25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Он провел дискуссию с юридическим сообществом о последних тенденциях и изменениях в исследовании доминирования антимонопольной службой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Статс-секретарь – заместитель руководителя ФАС России Андрей Цариковский выступил модератором сессии «Новые подходы в применении института доминирующих субъектов», которая состоялась 27 октября в рамках IX ежегодной конференции Антимонопольное регулирование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примера изменения подходов он привёл т.н. дело “о пеке” - дело  монополиста и монопсониста, кода предупреждение было выдано ФАС России обеим сторонам.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Одна из целей антимонопольного регулирования - найти некий оптимум между экономией ресурсов, интересами потребителя и развитием экономики</w:t>
      </w:r>
      <w:r>
        <w:t xml:space="preserve">», - отметил замглавы ФАС России и предложил коллегам обсудить явление монопсонии - доминирования покупателя.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Нелли Галимханова, начальник управления контроля промышленности ФАС России, участвующая в сессии, отвечая на вопрос, подчеркнула, что рыночная власть покупателя - не так хорошо и существуют негативные последствия такого поведения.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 законодательстве нет определения монопсонии, однако ФАС России сформировала свою практику проведения таких расследований», - </w:t>
      </w:r>
      <w:r>
        <w:t xml:space="preserve">отметила она и рассказала о делах, завершенных ведомством. Среди них дело “о трубах большого диаметра” в отношении ПАО Газпром и уже упомянутое дело “о пеке”.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Нелли Галимхановой, нетривиальность последнего состояла в выдаче предупреждений и заявителю, и ответчику.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Цариковский напомнил, что ситуация, которая рассматривалась в деле, могла привести к нанесению ущерба неограниченному кругу лиц в силу угрозы создания неблагоприятной экологической обстановки, поэтому вмешательство антимонопольного органа имело, в том числе, четкую социальную направленность.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заключение сессии заместитель руководителя ФАС отметил нарастающую необходимость проведения экономического анализа и определения рыночной силы для определения доминирования, вызванную изменениями в экономике и ее переходом “в цифру” и Индустрией 4.0. «</w:t>
      </w:r>
      <w:r>
        <w:rPr>
          <w:i/>
        </w:rPr>
        <w:t xml:space="preserve">Вероятно, “четвёртая экономическая революция” может привести к созданию “пятого антимонопольного пакета</w:t>
      </w:r>
      <w:r>
        <w:t xml:space="preserve">», - подытожил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