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Главное управление архитектуры и градостроительства Московской области исполнило предупреждение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октября 2017, 18:19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Учреждение отозвало памятку, рекомендовавшую застройщикам определенных проектировщиков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октября 2017 года Главное управление архитектуры и градостроительства Московской области разместило на своем официальном сайте сообщение о прекращении действий, содержащих признаки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Напомним
        </w:t>
        </w:r>
      </w:hyperlink>
      <w:r>
        <w:t xml:space="preserve">, упомянутый орган власти, выдавая градостроительный план земельного участка, прикреплял к нему памятку «Как правильно выбрать проектную организацию». В ней Главархитектура Московской области рекомендовала застройщикам определенных проектировщиков.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в памятке сообщалось, что от качества проектной документации и инженерных изысканий зависят не только параметры объекта и стоимость строительства, но и получение Свидетельства о согласовании архитектурно-градостроительного облика и разрешения на строительство. При этом в ней перечислялись критерии выбора проектировщика и уточнялось, что организации, подписавшие Хартию* с Правительством Московской области, по мнению Главархитектуры Подмосковья, отвечают указанным критериям.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Тогда ФАС России решила, что такая информация содержит признаки нарушения антимонопольного законодательства, т.к. рекомендует застройщикам определенных проектировщиков, создает для них преимущества и может привести к ограничению конкуренции. На этом основании антимонопольный орган выдал Главархитектуре Московской областипредупреждение о необходимости отзыва памятки «Как правильно выбрать проектную организацию» до 7 октября 2017 года, а также размещения на своем официальном сайте соответствующего объявления.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</w:t>
      </w:r>
      <w:r>
        <w:rPr>
          <w:i/>
        </w:rPr>
        <w:t xml:space="preserve">Поскольку наше предупреждение исполнено, ФАС не станет возбуждать в отношении Главархитектуры Московской области дело о нарушении антимонопольного законодательства и накладывать впоследствии штраф. Это наглядный пример того, насколько эффективен механизм выдачи предупреждений: проблема устраняется быстро, права заинтересованных сторон восстанавливаются без длительных тяжб</w:t>
      </w:r>
      <w:r>
        <w:rPr>
          <w:i/>
        </w:rPr>
        <w:t xml:space="preserve">»</w:t>
      </w:r>
      <w:r>
        <w:t xml:space="preserve">, - отмечает заместитель руководителя ФАС России Рачик Петросян.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Хартия «О взаимодействии и сотрудничестве между Правительством Московской области и организациями, осуществляющими деятельность в области планировки территории и архитектурно-строительного проектирования на территории Московской области».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ress-center/news/detail.html?id=5163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