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ускорит внедрение в регионах целевой модели получения разрешения на строительство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 августа 2017, 13:52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Представители антимонопольного органа войдут в рабочую группу Минстроя России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г. Ессентуки состоялся обучающий семинар-совещание по внедрению целевой модели «Получение разрешения на строительство и территориальное планирование» для федеральных органов исполнительной власти и органов местного самоуправления Северо-Кавказского и Южного федеральных округов.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От ФАС России на мероприятии выступил заместитель начальника Управления контроля строительства и природных ресурсов Давид Акопян. Он рассказал собравшимся о реализации механизма административного обжалования в строительной отрасли, который заработал в январе 2016 года.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Напомним, теперь жалобы от строителей, проектировщиков и других предпринимателей, работающих в сфере строительства, на органы власти и сетевые организации рассматриваются антимонопольным органом по так называемой короткой процедуре, предусмотренной ст. 18.1 Закона о защите конкуренции (в течение 7-14 дней).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</w:t>
      </w:r>
      <w:r>
        <w:rPr>
          <w:i/>
        </w:rPr>
        <w:t xml:space="preserve">Основная часть жалоб в сфере строительства за истекший период касается затягивания сроков – 45 из 51 жалобы, поданной в антимонопольные органы</w:t>
      </w:r>
      <w:r>
        <w:t xml:space="preserve">», - отметил спикер.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 итогам совместной работы было принято решение о включении представителей ФАС в состав федеральной рабочей группы Минстроя России по мониторингу внедрения в субъектах РФ целевой модели «Получение разрешения на строительство и территориальное планирование».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Данная целевая модель была утверждена распоряжением Правительства РФ в соответствии с перечнем поручений Президента РФ по итогам Госсовета РФ от 5 декабря 2016 года. Ее реализация позволит обеспечить в регионах единую правоприменительную практику в сфере строительства, а также сократить сроки получения разрешения на строительство.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</w:t>
      </w:r>
      <w:r>
        <w:rPr>
          <w:i/>
        </w:rPr>
        <w:t xml:space="preserve">Проводимый Минстроем мониторинг уже сейчас показывает, что во многих субъектах и муниципалитетах нормативная база в этой сфере не приведена в соответствие с федеральными требованиями. Зачастую именно это обстоятельство и приводит к нарушениям, с которыми борется антимонопольный орган</w:t>
      </w:r>
      <w:r>
        <w:t xml:space="preserve">», - отмечает Давид Акопян.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