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Мирочиненко: соблюдение условий конкуренции при предоставлении субсидий приобретает особую актуальность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2018, 15:50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доступности субсидий для малых форм хозяйствования и мероприятиях Национального плана развития конкуренции рассказала начальник Управления контроля химической промышленности и АПК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Комитет Совета Федерации по аграрно-продовольственной политике и природопользованию провел парламентские слушания на тему «О совершенствовании механизмов государственной поддержки агропромышленного комплекса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Анна Мирочиненко, начальник управления контроля химической промышленности и АПК ФАС России, проинформировала участников слушаний об утверждении Национального плана развития конкуренции на 2018-2020 годы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В частности, спикер отметила, что одним из ключевых показателей, на достижение которых направлены мероприятия Национального плана, является снижение в два раза к 2020 году количества нарушений антимонопольного законодательства органами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[photo_799]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работа ФАС России по обеспечению соблюдения условий конкуренции при предоставлении субсидий приобретает особую актуальность. Анна Мирочиненко рассказала о тех мероприятиях, которые реализует ФАС России в этом направлении, а также высказала ряд предложений, направленных на повышение информационной открытости процедуры предоставления субсидий и их доступности для малых форм хозяйствования.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частности, предлагается ввести заявительный порядок участия банков в системе льготного кредитования, применять между уполномоченными банками и Минсельхозом России в рамках льготного кредитования исключительно электронный документооборот. Также считаем целесообразным установить верхний предел среднегодового дохода хозяйствующего субъекта, определяющего его право на получение несвязанной поддержки», - подытожила свое выступление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</w:t>
      </w:r>
      <w:r>
        <w:t xml:space="preserve">Указ Президента РФ от 21.12.2017 № 618 "Об основных направлениях государственной политики по развитию конкуренции"(вместе с "Национальным планом развития конкуренции в Российской Федерации на 2018 - 2020 годы")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