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«дочке» Газпрома устранить нарушения при заключении договора стоимостью 2,5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Также заказчик будет привлечен к административной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рассмотрела жалобу компании «Даниели» на действия ОАО «Газпромтрубинвест» при проведении закупки на поставку оборудования для изготовления труб начальной стоимостью свыше 2,5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как компания «Даниели» не представила данные, подтверждающие доводы жалобы, также как и заказчик, не явившийся на заседание в ФАС России, жалоба была признана необоснованной.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Комиссия ФАС России выявила, что заказчик установил ряд неправомерных требований к потенциальному победителю закупки. А именно затребовал сведения о конечных бенефициарах компании-поставщика и установил банковское сопровождение в Газпромбанке, не предусмотренное Законом о закупках. Кроме того, проект договора содержал противоречия в части сроков его исполнения.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Заказчику выдано предписание об устранении нарушений при заключении договора. Стоит отметить, что он не явился на рассмотрение жалобы и будет привлечен к административной ответственности</w:t>
      </w:r>
      <w:r>
        <w:t xml:space="preserve">», 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