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провела анализ рынка нерудных строительных материалов в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2018,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Определено состояние конкуренции на рынке, барьеры и меры, необходимые для его развития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Необходимость изучения состояния конкуренции на рынке нерудных материалов обусловлена, в первую очередь, тем, что он является одним из важнейших базовых рынков строительных материалов. Рынок обеспечивает потребности целого ряда отраслей промышленности и строительства: производство товарного бетона, железобетонных изделий, асфальтобетона, жилищное строительство, строительство нежилых и инфраструктурных объектов.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причине высоких транспортных расходов на перемещение НСМ от продавца к покупателю и значительной протяженностью территории России рынки щебня, песка, гравия и песчано-гравийной смеси носят региональный и межрегиональный характер.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Поэтому рынки в основном являются высококонцентрированными, на них действует небольшое количество хозяйствующих субъектов, занимающих значительные рыночные доли. Исключение составляют регионы с высоким уровнем потребления или граничащих с субъектами, в которых предложение превышает спрос.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рынки НСМ характеризуются значительными барьерами, в том числе административными: значительные сроки на получение разрешительных документов и отсутствие действенного механизма конкурсного получения лицензий.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Главными барьерами для расширения межрегиональной торговли является высокая доля транспортных затрат и дефицит вагонов для отгрузки продукции. Также к основным проблемам развития конкуренции на этих рынках можно отнести ограниченность ресурсов.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оценки состояния конкуренции и в целях развития рынков нерудных строительных материалов ФАС России предлагает ряд мер, более подробно с которыми, как и с полным перечнем барьеров, можно ознакомиться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Аналитическом отчете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2251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