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Новые проекты альтернативной котельной могут запуститься в этом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15:18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привлечения инвестиций в сферу теплоснабжения, в частности, в рамках альтернативной котельной осветил замруководителя ФАС России Виталий Королев на ПМЮФ-2018 в Санкт-Петербурге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рассказал, что законодательная база для внедрения нового метода тарифного регулирования «альтернативная котельная» в значительной мере уже готова. Соответствующие законы уже приняты, ряд актов Правительства также уже изданы, некоторые акты будут приняты в ближайшее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«Альтернативная котельная – это сплав тарифного регулирования с антимонопольным. Мы надеемся, что несколько проектов по альтернативной котельной запустится уже в этом году. Так, в ближайшее время должна заработать альтернативная котельная в г. Рубцовск Алтайского края. Внедрение альткотельной позволит создать зону практически свободную от тарифообразования», 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ФАС, решение о переходе на альтернативную котельную в регионе должно приниматься с учетом позиций потребителей и муниципальных властей.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«Предельная цена и условия, на которых договорятся стороны о реализации этого механизма, значительно повлияет на то, как долгие годы будет себя чувствовать потребитель, и сколько он будет платить. Соответствующая норма о согласовании с властями субъекта была включена в закон. Также были включены нормы, касающиеся антимонопольного контроля. Определены его предмет и объект. Это в том числе цены и распределение тепловой нагрузки», - пояснил замруководителя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Виталий Королев затронул тему модернизации объектов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«Модернизация требует больших финансовых вложений, но повышения тарифов в связи с этим быть не должно, - сообщил он. – Произойдет замещение оплаты по договорам поставки мощности. На мой взгляд, важным вопросом является, какие мощности должны попадать в программу модернизации».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альтернативная котельная и решения, которые будут приняты по модернизации, окажут позитивное влияние на инвестиционную привлекательность рынков теплоснабжения и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 этом данные механизмы являются взаимодополняющими и могут быть реализованы параллельно",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