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проверит порядок согласования размещения объектов капстроительства в приаэродромных зонах Подмосковья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15:27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Услуга предоставляется платно и нарочным способом, что может усложнять процесс строительства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Федеральную антимонопольную службу (ФАС России) обратилось Министерство строительного комплекса Московской области с информацией о наличии административных барьеров при согласовании размещения объектов капитального строительства в зонах аэродромов экспериментальной авиации Подмосковья.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Сообщалось, что в настоящее время на территории Московской области существуют сложности с получением заключений в АО «ЛИИ им. М.М. Громова» (аэродром «Раменское» г.Жуковский) и АО «Московский авиационно-ремонтный завод ДОСААФ (аэродромом Черное, г. Балашиха).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 поступившей к нам информации, указанные организации осуществляют предоставление согласований за плату. Причем вся документация подается в бумажном виде, что дополнительно усложняет процесс согласования. Операторам аэродромов направлялись запросы на получение информации, подтверждающей законность установления платы. Данные получены и сейчас изучаются»,</w:t>
      </w:r>
      <w:r>
        <w:t xml:space="preserve"> - уточнил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