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Новгородская область заключили соглашение о взаимодействии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2018, 11:41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Новгородская область значительно превысила запланированные значения показателей по развитию конкуренции на ряде рынков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Даниил Фесюк и губернатор Новгородской области Андрей Никитин провели рабочую встречу по вопросам реализации Национального плана развития конкуренции и поручений по итогам Госсовета.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июля 2018 года в Великом Новгороде было подписано соглашение, которое предусматривает совместную работу ФАС России и Правительства региона по развитию и защите конкуренции в области, созданию условий для эффективного функционирования товарных рынков, повышению инвестиционной активности.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сейчас выстраиваем единую вертикаль, в рамках которой системно проводим политику, направленную на развитие конкуренции. Основная цель Национального плана – прежде всего, повышение удовлетворённости потребителей за счёт расширения ассортимента товаров и услуг, а также повышения их качества. Результат в виде снижения цены – естественное следствие повышения конкурентоспособности. Кроме того, мы рассчитываем, что внедрение системы комплаеса в региональных органах исполнительной власти ознаменует переход от противостояния к сотрудничеству с ФАС в вопросах соблюдения антимонопольного законодательства», - отметил Даниил Фесюк.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замруководителя ФАС, Стандарт развития конкуренции в регионах требует уточнения с учетом Национального плана и поручений Президента по итогам Госсовета. Всем субъектам РФ предстоит разработать «дорожную карту» развития конкуренции в регионе, в которую должны быть включены отраслевые рынки с недостаточно развитой конкуренцией.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[photo_928]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все основные требования Стандарта развития конкуренции в Новгородской области выполнены.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регионе уже внедряется Стандарт развития конкуренции, есть успешные кейсы, - заметил Андрей Никитин. – Например, в этом году мы изменили принцип финансирования летнего отдыха детей. Теперь лагеря конкурируют между собой за каждого ребёнка. Нужно, чтобы в рамках соглашения появилось больше таких примеров».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области существенно превышены плановые показатели на рынке услуг социального обслуживания населения и по итогам 2017 года составляют 14 % (вместо плановых 8,8 %).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перевыполнен план региона на рынке услуг психолого-педагогического сопровождения детей с ограниченными возможностями здоровья с 0,5 % до 1,2 % по итогам прошлого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область занимается активным развитием конкуренции при осуществлении процедур государственных и муниципальных закупок, а также закупок хозяйствующих субъектов,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предпринимательства. План по этому показателю был перевыполнен регионом более чем в два раза – с 19 % до 40,1 %.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