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Первая международная букмекерская компания нарушила Закон о рекламе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августа 2018,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 рекламе букмекерской компании «Лига ставок» использовался образ человека, что прямо запрещено в рекламе азартных игр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ФАС России установила, что ООО «Первая международная букмекерская компания» нарушила Закон о рекламе (п.8 ч.1 ст.27) при распространении телевизионной рекламы букмекерской компании «Лига ставок».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Реклама распространялась в июне-июле 2018 года во время трансляций матчей Чемпионате мира по футболу FIFA 2018 в нескольких вариантах. В визуальном ряде видеоролика демонстрировался большой экран с указанием на сайт и девушку, обращающуюся к зрителям с предложением принять участие в конкурсе прогнозов на сайте «Лига ставок».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«Согласно действующему законодательству, реклама основанных на риске игр, пари, а также организаторов азартных игр не должна использовать образы людей и животных», – </w:t>
      </w:r>
      <w:r>
        <w:t xml:space="preserve">уточнила начальник Управления контроля рекламы и недобросовестной конкуренции Татьяна Никитина.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Организации будет выдано предписание об устранении выявленных нарушений, также рассматривается вопрос о привлечении компании к административной ответственности.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