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обсудили результаты внедрения Стандарта и расчёт ключевых показателей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2018,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проанализировала информацию регионов о реализации Стандарта развития конкуренции. Впервые антимонопольным ведомством проведено обобщение сведений за 2017 год о достижении целевых значений показателей развития конкуренции в разрезе социально-значимых рынков, проанализирована динамика их изменений в различных субъектах РФ», - сообщила заместитель начальника Контрольно-финансового управления ФАС России Елена Рыбаченко на Всероссийской конференции «Реализация национального плана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 сессии начальник Контрольно-финансового управления ФАС России Владимир Мишеловин в своём выступлении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Стандарта развития конкуренции несколько лет назад позволило изменить ситуацию с конкурентной средой во многих субъектах Российской Федерации. Новый Стандарт разработан с учетом лучших практик и новой нормативной правовой реальностью. Национальный план развития конкуренции и поручения Президента Российской Федерации В.В. Путина по итогам проведения Государственного совета РФ по развитию конкуренции определили новые ориентиры для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сессии включала в себя также и детальное обсуждение вопросов, возникших у региональных властей. Представители ФАС России, «ОПОРА РОССИИ» и Департамента по конкурентной политике г. Москвы и Минэкономразвития России ответили и предметно разъяснили моменты реализации Стандарта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