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«Дорожная карта» создает все условия для развития конкуренции на финансовых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2018, 18:08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выступает за замену критерия доли госучастия в капитале банка на значение организации в кредитном рейтинге. Этот тренд уже реализовывается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«Госучастие в банковской системе создает преимущества определенной категории банков. Это выражается в тех решениях, которые принимаются на федеральном уровне. И помимо величин собственного капитала для доступа к госпрограммам и госресурсам используется еще один критерий – наличие государственного участия в капитале банка. И это плохо, </w:t>
      </w:r>
      <w:r>
        <w:t xml:space="preserve">– заявил заместитель руководителя ФАС России на XVI Международный банковский форум «Банки России – XXI век»</w:t>
      </w:r>
      <w:r>
        <w:rPr>
          <w:i/>
        </w:rPr>
        <w:t xml:space="preserve">. – Необходимо пересмотреть критерии отбора финансовых организаций по привлечению отдельных категорий средств на счета и по выдаче банковских гарантий участия в программах субсидирования. Мы хотим сместить акцент с установления размера собственного капитала и доли госучастия в сторону кредитных рейтингов».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уже есть тренд на такую замену в некоторых федеральных нормативных правовых актах при отборе банков[1], и эти изменения понемногу реализовываются.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ростом доверия к отечественным рейтинговым агентствам это станет равноценной заменой», </w:t>
      </w:r>
      <w:r>
        <w:t xml:space="preserve">– добавил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 пояснил, что речь не о разделении госучастия и частных банков с точки зрения формы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пленарной дискуссии «Практические вопросы защиты конкуренции на российском рынке финансовых услуг» Андрей Кашеваров выступил с докладом о «Дорожной карте» по развитию конкуренции на рынке финансовых услуг. План содержит 28 мероприятий, и входит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«Дорожную карту» по развитию конкуренции в отраслях экономики РФ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содержательной точки зрения он поделил мероприятия документа на 5 составляющих: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исключение дискриминации и барьеров для деятельности;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снижение степени влияния государства на рыночные отношения;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исключение обстоятельств, усиливающих рыночную власть доминирующих игроков;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расширение возможностей для конкуренции;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пресечение, предупреждение нарушений АМЗ и стимулирование добросовестных практик.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Карта содержит 6 отраслевых разделов: рынки банковских, платежных, микрофинансовых, страховых, лизинговых и депозитарных услуг, а также одни общий раздел о рынке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Кашеварова, создана рабочая группа по реализации «дорожной карты», и ведомство приглашает игроков рынка к участию в ее подгруппах. Он сообщил, что в ближайшее время будет проведено заседание экспертного совета по защите конкуренции на рынке финансовых услуг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антимонопольной службы также отметил, что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рекомендательное письмо финансовым организациям
        </w:t>
        </w:r>
      </w:hyperlink>
      <w:r>
        <w:t xml:space="preserve"> по продвижению своих услуг, выпущенное недавно ФАС России и Банком России, будет иметь вполне определенные правовые последствия в случае его неисполнения.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есть статья 14.8 Закона о защите конкуренции об иных видах недобросовестной конкуренции, и мы готовы формировать новую правоприменительную практику», </w:t>
      </w:r>
      <w:r>
        <w:t xml:space="preserve">– подчеркнул Андрей Кашеваров и добавил, что ведомство предполагает развивать институт совместных писем с Банком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[1]При отборе для: размещения на депозиты (счета) средств федерального бюджета, государственных внебюджетных фондов и отдельных юридических лиц; выдачи банковских гарантий для обеспечения исполнения отдельных категорий обязательств третьих лиц перед государством; предоставления субсидий из федерального бюджета при предоставлении отдельных видов льготного финансирования.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77" TargetMode="External" Id="rId8"/>
  <Relationship Type="http://schemas.openxmlformats.org/officeDocument/2006/relationships/hyperlink" Target="https://fas.gov.ru/news/256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