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Конкурентная политика - ключевой инструмент социально-экономического развития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17:58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участникам международного научного форума «Современные проблемы – законодательство и экономика в Европе и Азии» (Канны, Франция) о комплексе мер по развитию конкуренции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«Поддержка конкуренции является одной из основ конституционного строя Российской Федерации. Современное российское антимонопольное законодательство в результате последовательных преобразований за последние несколько десятков лет полностью соответствует мировым стандартам»,</w:t>
      </w:r>
      <w:r>
        <w:t xml:space="preserve"> 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перед антимонопольным регулированием стоят новые вызовы. Благодаря инновационным технологиям произошел переход традиционных форм экономик в цифровую эру, которая характеризуется многосторонностью рынков, ускорением процессов, глобальным характером обращения товаров и многообразием способов монетизации. Это привело к последствиям, где с высокой скоростью происходят изменения рынков и принятия решений, а также размывание продуктовых и географических границ товарных рынков», -</w:t>
      </w:r>
      <w:r>
        <w:t xml:space="preserve"> указал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как отметил Сергей Пузыревский, во всех отраслях все больше создается платформ-агрегаторов, собирающих спрос и предложение и выступающих в роли коммутатора. Эти платформы снижают издержки, убирают посредников из экономических взаимоотношений и ведут к изменению способов монетизации.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происходит зависимость цены от предыдущих поисковых запросов, где стоимость товара или услуги, предлагаемых рядом сайтов или программами-агрегаторами, варьируется в зависимости от предыдущих поисковых запросов и покупок пользователя.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отечественного антимонопольного ведомства рассказал, что в целях реализации Указа Президента Российской Федерации об основных направлениях по развитию конкуренции ФАС России подготовила т.н. «пятый антимонопольный пакет», который призван совершенствовать регулирование в области цифровой экономики. Представитель ведомства сообщил участникам мероприятия, что Россия стала второй страной в мире, где разработано антимонопольное «цифровое»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отдельно остановился на вопросе образования в сфере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«Знание в этой отрасли юриспруденции является важным требованием к уровню подготовки современного юриста. Приказом Министерства образования и науки Российской Федерации «Конкурентное право» включено в перечень научных специальностей, по которым присуждаются научные степени, что, по нашему мнению, придаст новый толчок к формированию новых научных школ в сфере конкурентного права», - </w:t>
      </w:r>
      <w:r>
        <w:t xml:space="preserve">заключил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презентацией Сергея Пузыревского вы можете ознакомиться </w:t>
      </w:r>
      <w:r>
        <w:t xml:space="preserve">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