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Дмитрий Васильев: сфера электросетевого комплекса наилучшим образом подходит для внедрения эталонного принципа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сентября 2018, 09:00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настоящее время ФАС разрабатывает нормативную правовую базу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20 сентября 2018 года состоялась конференция «Новая Россия - новая энергетика. Генерация будущего». От антимонопольной службы принял участие начальник Управления регулирования электроэнергетики ФАС России Дмитрий Васильев.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конференции среди широкого круга профессиональных участников был обсуждён многочисленный перечень вопросов в сфере электроэнергетики, связанных как с перспективами развития в секторе производства электрической энергии, так и электросетевого комплекса.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Эксперты отметили очевидность современных тенденций, новых технологий и их безусловное влияние на отрасль. Возобновляемые источники энергии, положительная динамика их развития в мире и их повышение конкурентоспособности по сравнению с традиционной генерацией, роль и значимость накопителей и систем управления спросом, развитие микрогенерации и цифровизация - это неисчерпывающий перечень мировых тенденций, которые уже необходимо учитывать при решении вопросов будущей архитектуры электроэнергетики и развития ее различных секторов.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конференции отдельно уделили внимание и вопросам конкуренции и тарифного регулирования.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обозримом будущем существенные изменения в тарифном регулировании в сфере электроэнергетики будут направлены на внедрение долгосрочного регулирования в сочетании с эталонным методом утверждения тарифов», </w:t>
      </w:r>
      <w:r>
        <w:t xml:space="preserve">- отметил Дмитрий Васильев.</w:t>
      </w:r>
      <w:r>
        <w:rPr>
          <w:i/>
        </w:rPr>
        <w:t xml:space="preserve"> - Уже сейчас можно сказать, что в первую очередь такие подходы заработают в сфере электросетевого комплекса, данная сфера подходит наилучшим образом для их внедрения».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«Отдельные предложения подготовлены для изолированных зон и неценовой зоны Дальнего востока, которые направлены на внедрение долгосрочного тарифа», - </w:t>
      </w:r>
      <w:r>
        <w:t xml:space="preserve">продолжил представитель 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«Что касается развития и модернизации генерирующих объектов, то при реализации этой задачи необходимо обеспечить экономический баланс между инновационными решениями и их стоимостью для потребителей в целях сохранения устойчивого и долгосрочного функционирования энергетической системы», - </w:t>
      </w:r>
      <w:r>
        <w:t xml:space="preserve">заключил Дмитрий Васильев.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