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поддержали ФАС в деле о картеле поставщиков компьютерного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подтвердил законность и обоснованность выводов ФАС России по делу в отношении ООО «Бизнес компьютерс групп» и ООО «АМИ-НЕТВОРК», ООО «ПК Аквариус», ООО «Национальная компьютерная корпорация», ООО «Супервэйв групп», ЗАО «КРОК инкорпорейтед», ЗАО «Хьюлетт Паккард А.О.», оставив в силе решения Арбитражного суда города Москвы и Девятого арбитражного апелляционного суда, а кассационные жалобы без удовлетворения.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Арбитражный суд города Москвы отказал в удовлетворении жалоб ООО «ПК Акариус» на постановления о наложении штрафа за антиконкурентное соглашение с ЗАО «КРОК инкорпорейтед» на двух открытых конкурсах Росстата и ГБУ «Инфогород», а также за картель с ООО «Супервэйв групп» на редукционе для нужд ООО «Норникель – Общий центр обслуживания».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«Положительная судебная практика по антиконкурентным соглашениям важный элемент формирования правосознания и правовой культуры нетерпимости к картелям», </w:t>
      </w:r>
      <w:r>
        <w:t xml:space="preserve">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наложенных штрафов по результатам рассмотренного антимонопольного дела составляет более 289 миллионов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