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признал законным и обоснованным штраф, наложенный на Фарм-Про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2018, 11:54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копировала упаковку конкурента при производстве и реализации гематогена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подтвердил законность штрафа в 250 тысяч рублей, который ФАС России выписала ООО ПК «Фарм-Про»  за недобросовестную конкуренцию по отношению к АО «Фармстандарт».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общество производило и реализовывало на рынке Российской Федерации гематоген «Ferrum Гематоген». При оформлении  его упаковки компания использовала элементы, схожие до степени смешения с оформлением упаковок гематогена «Феррогематоген», производимого и реализуемого АО «Фармстандарт». А именно: мультипликационное изображение животного, созвучное словесное обозначение («ферро», «ferrum») и цветовое оформление.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 Комиссия ФАС России признала
        </w:t>
        </w:r>
      </w:hyperlink>
      <w:r>
        <w:t xml:space="preserve"> актом недобросовестной конкуренции, за что и оштрафовала ООО ПК «Фарм-Про» на 250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постановлением ведомства, общество обжаловало его в судебном порядке, но получило отказ в удовлетворении иска.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65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