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когда формируются заделы будущего глобального инновационного развития нужны дополнительные меры по защите и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2018, 17:27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Доклад замглавы ФАС о конкурентной политике в государствах – участниках СНГ в условиях цифровой экономики одобрили члены Экономического совета СНГ на прошедшем 7 декабря заседании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декабря 2018 года состоялось заседание Экономического совета СНГ. Замглавы ФАС Анатолий Голомолзин представил доклад «О формировании конкурентной политики в государствах – участниках СНГ в условиях цифровой экономики».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подготовлен в соответствии с решением 48-го заседания Межгосударственного совета по антимонопольной политике (МСАП). В работе над документом приняли участие антимонопольные органы Республики Армении, Республики Беларусь, Республики Казахстан, Кыргызской Республики, Российской Федерации и Республики Таджикистан.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подготовки Доклада стало определение общей характеристики цифровой экономики в государствах – участниках СНГ, анализ новых вызовов для конкурентного регулирования в условиях цифровой экономики, а также проведение оценки готовности конкурентного законодательства к новым вызовам и необходимости внесения изменений в законодательство государств – участников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спикера, государства – участники СНГ в настоящее время предпринимают необходимые меры по формированию благоприятной среды, необходимой для становления цифровой экономики – как в существующих реалиях, так и учитывающие будущее инновационное развитие.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Государственные программы, реализуемые в настоящее время в этих странах схожи и охватывают следующие базовые направления: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развитие человеческого потенциала и обеспечение кадровых заделов для развития цифровой экономики, повышение благосостояния граждан и повсеместный доступ к благам цифровой экономики;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развитие инфраструктуры ИКТ и обеспечение ее безопасного функционирования;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формирование необходимых институтов для функционирования отраслей экономик, обеспечение их цифровизации в текущем периоде и становление условий для инновационного развития экономик, развитие научного потенциала.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цифровизацию взаимодействия государства и граждан, государства и бизнеса, бизнеса и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«Антимонопольщики СНГ считают, что государствам – участникам СНГ при планировании, реализации мероприятий по развитию цифровой экономики необходимо обеспечивать условия для развития конкуренции, основанные на реализации принципов технологической и сетевой нейтральности в регулировании. Необходимо также обеспечить функционирование единого электронного пространства на базе взаимоувязанных инфокоммуникационных инфраструктур, в том числе путем принятия единых правил и стандартов, и не допускать монополизации рынков, за исключением случаев, когда такие решения обусловлены интересами безопасности государства, защиты жизни и здоровья граждан»</w:t>
      </w:r>
      <w:r>
        <w:t xml:space="preserve">, - заявил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[photo_1131]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Меры по реализации государственных программ должны быть усилены мерами по обеспечению конкурентоспособности национальных предприятий на глобальных рынках с учетом рыночной власти транснациональных корпораций, в том числе не путем разработки надлежащих мер защиты конкуренции в условиях все нарастающей глобализации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сообщил, что существенным образом изменилась экономическая картина мира – появились крупнейшие цифровые гиганты, которые управляют большими данными и пулом прав интеллектуальной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топ-10 среди мировых лидеров по капитализации это не компании промышленного, финансового сектора, цифровые гиганты. На первых трех позициях это компании Google, Microsoft, Apple, а также </w:t>
      </w:r>
      <w:r>
        <w:t xml:space="preserve">FaceBook, Amazon. </w:t>
      </w:r>
      <w:r>
        <w:rPr>
          <w:i/>
        </w:rPr>
        <w:t xml:space="preserve">Совершенно новые явления – это экономика алгоритмов и экономика внимания. Компании переходят на адресный маркетинг, они не только изучают предпочтения потребителей, но и формируют эти предпочтения. То есть компании не только получают доходы от потребителей, но и  существенно меняют их поведение. Неслучайно поэтому в отношении таких компаний рассматриваются дела о нарушении антимонопольного законодательства. Эта ситуация касается не только России, но и других стран, а в ряде случаев речь идет об изменениях ситуации в мире в целом»,</w:t>
      </w:r>
      <w:r>
        <w:t xml:space="preserve"> - заявил представитель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слияний высокотехнологичных корпораций замглавы ФАС привел сделку Bayer/Monsanto и подчеркнул, что «</w:t>
      </w:r>
      <w:r>
        <w:rPr>
          <w:i/>
        </w:rPr>
        <w:t xml:space="preserve">в этом случае мы имеем дело с высокотехнологичной сферой: мы говорим о платформенных решениях, точечном земледелии, высоких технологиях, о необходимости обмена информацией и технологиями, а также создании условий, когда традиционные участники рынка имеют право на недискриминационный доступ к информации и технологиям высокотехнологичных мировых гигантов, которые по всему миру занимаются не только производством удобрений и сельхозпродукции, но могут контролировать всю цепочку производства и жизненного цикла технологий. И когда мы начинаем выделять средства из бюджета на развитие сельского хозяйства, не факт, что эти средства не попадают крупным транснациональным гигантам».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спикера, в этой связи необходимо менять принципы работы, в том числе путем внесения изменений в антимонопольное законодательство с учетом практики рассмотрения дел о нарушениях антимонопольного законодательства, практики рассмотрения сделок крупных слияний.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обмена опытом антимонопольными органами странами – участницами СНГ, а также в рамках международных рабочих групп, ФАС России была представлена информация по подготовке</w:t>
      </w:r>
      <w:r>
        <w:rPr>
          <w:i/>
        </w:rPr>
        <w:t xml:space="preserve"> «пятого антимонопольного пакета», который касается уточнений понятийного аппарата, новых платформ по анализу рынка, особенностей рассмотрения дел о нарушениях антимонопольного законодательства, а также «понуждения исполнения предписания антимонопольного ведомства, если транснациональные гиганты не собирается его исполнять. Для этого необходимо взаимодействие антимонопольных органов и органов соответствующего технического надзора»</w:t>
      </w:r>
      <w:r>
        <w:t xml:space="preserve">,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«Цифровая экономика – это качественно новая система экономических правоотношений, которая появилась и развивается в новой парадигме цифровых отношений. И если конкуренция всегда являлась неотъемлемой составляющей успеха экономического развития, в новых условиях цифровой экономики конкуренция обеспечивает еще и инновационное развитие в будущем. Сейчас наступил период, когда формируются базовые экономические заделы, которые впоследствии будут определять глобальное инновационное развитие. И этот период не будет длительным, поэтому у нас нет оснований медлить с принятием решений, которые требуются на самом высоком уровне. Важно на этом этапе сосредоточить совместные усилия государств – членов СНГ на выработке эффективной антимонопольной политики и ее применению»</w:t>
      </w:r>
      <w:r>
        <w:t xml:space="preserve">, - заключил заместитель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Доклад был доложен на заседании Комиссии по экономическим вопросам при Экономическом совете СНГ (КЭВ) и получил его поддержку.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декабря 2018 года Доклад одобрили члены Экономического совета СНГ.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