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ЦОДД Правительства Москвы допустил нарушение при аренде оборудования для фиксации нарушений ПДД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2018, 11:02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 указал исчерпывающего перечня документов, которые необходимо представить участнику в составе заявки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30 ноября жалобу индивидуального предпринимателя на действия Центра организации дорожного движения Правительства Москвы при закупке услуг по аренде оборудования для фиксации нарушений ПДД с ценой контракта порядка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России установила, что в закупочной документации содержалась ненадлежащая инструкция по заполнению заявок на участие в закупке. В частности, заказчик не установил исчерпывающий перечень документов, которые необходимо представить участнику в составе второй части заявки согласно постановлению Правительства№ 1236*.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«Центру организации дорожного движения предписано рассмотреть заявки участников в соответствии с требованиями закупочного законодательства, в том числе с положениями постановления Правительства №1236», </w:t>
      </w:r>
      <w:r>
        <w:t xml:space="preserve">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Жалоба признана необоснованной, нарушение было выявлено в рамках рассмотрения всех документов закупки. Заказчик исполнил предписание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