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ГК «Аэрофлот» необходимо повысить прозрачность ценообразования на внутренние рейсы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работы по мониторингу цен на авиабилеты эконом-класса на внутрироссийских маршрутах ФАС России предупреждает группу «Аэрофлот» о необходимости повышения прозрачности алгоритмов ценообразования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компаний «Аэрофлот» занимает доминирующее положение более чем на 100 внутрироссийских маршрутах, поэтому реализуемая авиакомпаниями группы ценовая политика отслеживается ФАС России. Особое внимание обращается на изменения в ценах на билеты одного и того же подкласса, в сегменте эконом-класса, по мере приближения срока вылета.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наличием большого количества обращений граждан по фактам резкого изменения цен на один и тот же рейс, класс обслуживания и дату вылета, группе Аэрофлот следует разработать и утвердить коммерческую (ценовую) политику.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должен быть направлен на повышение прозрачности процедуры ценообразования и, с одной стороны, обеспечивать рентабельность перевозок и создавать источники для обновления парка воздушных судов, с другой – разъяснить потребителям алгоритмы обоснованного изменения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подчеркивает, что разработка коммерческой политики будет осуществляться в сотрудничестве с группой «Аэрофлот» и Минтрансом России в интересах пассажиров и долгосрочного развития отрасли авиаперевозок.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