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будет рассматривать сделки при стоимости активов кредитных организаций свыше 33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2019, 15:21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увеличило величину стоимости активов кредитных организаций в целях осуществления антимонопольного контроля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января 2019 года вступит в силу постановление Правительства Российской Федерации от 19.01.2019 № 11 «О внесении изменения в постановление Правительства Российской Федерации от 18.10.2014 № 1072», которое утверждает увеличение величины стоимости активов кредитных организаций, при превышении которой требуется получение предварительного согласия антимонопольного органа на совершение предусмотренных статьями 27 и 29 ФЗ «О защите конкуренции» сделок, иных действий в отношении таких организаций, с 31 до 33 млрд.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 30 января 2019 года лица, планирующие совершить сделки, а также иные действия, предусмотренные ФЗ «О защите конкуренции», в отношении кредитных организаций, размер активов (суммарная стоимость активов) которых составляет менее 33 млрд. рублей, не должны предварительно получать согласие антимонопольного органа на эти сделки и действия.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«Постановление разработано в рамках проведения ежегодного пересмотра величин стоимости активов кредитных и микрофинансовых организаций на основании темпов роста совокупной стоимости активов этих организаций за истекший год»,</w:t>
      </w:r>
      <w:r>
        <w:t xml:space="preserve"> – напомнила начальник Управления контроля финансовых рынков ФАС России Ольга Сергеева.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в том числе с учетом данных о темпах роста совокупной стоимости активов микрофинансовых организаций за истекший год, было принято решение об отсутствии необходимости изменения установленной постановлением Правительства Российской Федерации от 18.10.2014 № 1072 величины стоимости активов этих организаций, которая в настоящее время составляет 3 млрд.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4 постановления Правительства Российской Федерации от 18.10.2014 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 ФАС России по согласованию с Минфином России и Банком России ежегодно, до 25 декабря, вносит в Правительство Российской Федерации предложения о пересмотре стоимости активов кредитных и микрофинансовых организаций в соответствии с данными о темпах роста совокупной стоимости активов этих организаций за истекший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