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штрафа Бургер Кингу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2019, 12:07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нарушила запрет на использование в рекламе бранных слов, непристойных и оскорбительных выражений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признал законным и обоснованным штраф в 100 тыс. рублей в отношении ООО «Бургер РУС».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сентябре 2018 года Комиссия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 действия сети ресторанов
        </w:t>
        </w:r>
      </w:hyperlink>
      <w:r>
        <w:t xml:space="preserve"> быстрого питания «Бургер Кинг» нарушающими Закон о рекламе[1] и выдала ей предписание о прекращении нарушения. В ноябре того же года рекламодателю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 был назначен административный штраф
        </w:t>
        </w:r>
      </w:hyperlink>
      <w:r>
        <w:t xml:space="preserve">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наружной рекламе, распространявшейся в одном из районов Ярославля, содержался слоган «ЕдАЛ ТАКОЕ?», в котором все буквы кроме второй в первом слове — прописные, а вторая буква в слове строчная, и похожа на букву "б", в силу чего слово приобретает обсценный характер.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6 статьи 5 Федерального закона «О рекламе» в 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 6 статьи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соответствии с частью 6 статьи 38 Закона о рекламе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898" TargetMode="External" Id="rId8"/>
  <Relationship Type="http://schemas.openxmlformats.org/officeDocument/2006/relationships/hyperlink" Target="https://fas.gov.ru/news/2628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