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Цышевская: реализация Национального плана развития конкуренции в ЖКХ позволит сократить количество унитарных предприятий в коммунальном секторе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Их уменьшение позволит повысить эффективность организаций и привлечь частные инвестиции в теплоснабжение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«Большинство теплосетей находятся в собственности государственных и муниципальных предприятий. Принятый комплекс мер в ЖКХ, содержащийся Национальном плане развития конкуренции, позволит сократить сегмент неэффективных организаций», </w:t>
      </w:r>
      <w:r>
        <w:t xml:space="preserve">- сообщила заместитель начальника Управления регулирования в сфере ЖКХ ФАС России Елена Цышевская на круглом столе «Промежуточные итоги прохождения отопительного сезона» в МИА «Россия Сегодня».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последних лет показывает, что происходят ситуации, когда МУП, накопив долги перед поставщиками ресурсов, вступали в процедуру банкротства, а на его месте начинало работать новое муниципальное предприятие. Кроме того, как правило, тарифы таких предприятий далеко не самые низкие среди компаний, оказывающих подобные услуги, а разницу между высокими тарифами и той стоимостью, которую платит потребитель, субсидируется из региональных бюджетов.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 главное, муниципальные предприятия в отличие от частных организаций, не заинтересованы в получении прибыли, а значит и в повышении внутренней эффективности», </w:t>
      </w:r>
      <w:r>
        <w:t xml:space="preserve">- подчеркнула Елена Цышевская.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круглого стола представитель ФАС рассказала об изменении подходов к системе тарифообразования на услуги ЖКХ. Например, их установление на основе эталонного принципа.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«Разница в тарифах в регионах на теплоснабжение и водоснабжение составляет десятки раз. Сейчас ведется работа по внедрению эталонного принципа тарифообразования в сфере коммунального сектора. Принятие необходимых документов, регламентирующих применение эталонного принципа, запланировано на 2019 год, а переход на регулирование организаций путём применения этого метода регулирования - к 2020 году»,</w:t>
      </w:r>
      <w:r>
        <w:t xml:space="preserve"> - продолжила Елена Цышевская.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нашему мнению, эталоны позволят добавить прозрачности и понятности тарифного регулирования в целом», </w:t>
      </w:r>
      <w:r>
        <w:t xml:space="preserve">- заключила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[photo_1171]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