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МГЮА обсудили модернизацию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Среди предпосылок внесения изменений: цифровая экономика и рост числа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марта 2019 года в Университете имени О.Е. Кутафина прошёл круглый стол «Современные проблемы модернизации антимонопольного законодательства новые риски, будущие приоритеты», организованный кафедрой конкурентного права университета имени О.Е. Кутафина МГЮА.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 состоялось заседание Комиссии по совершенствованию антимонопольного законодательства Московского отделения Ассоциации Юристов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выступили заместители председателя комиссии по совершенствованию антимонопольного законодательства начальник Управления по борьбе с картелями ФАС России Андрей Тенишев и член центризбиркома России, профессор кафедры конкурентного права МГЮА Александр Кинев.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рассказал о поиске правовой конструкции доминирования на цифровых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«Традиционно мы оцениваем долю компании на рынке, но особенность цифровой экономики такова, что у компании ее нет. Они продают, например, услуги гостиниц, но при этом не владеют ими, или продают услуги такси и не имеют таксомоторного парка. Поэтому и доли у них нет. Мы говорим о доле трансакций, которые проходят через цифровую платформу. Этот подход был выработан в процессе обсуждения с предпринимательским сообществом. Компания может быть доминирующей, только если цифровая платформа занимает не менее 35% рынка взаимозаменяемых услуг, которые оказываются с ее использованием</w:t>
      </w:r>
      <w:r>
        <w:t xml:space="preserve">, - рассказал он. - </w:t>
      </w:r>
      <w:r>
        <w:rPr>
          <w:i/>
        </w:rPr>
        <w:t xml:space="preserve">При этом мы ввели ограничения: доминирующее положение в любом случае не может быть признано, если цифровая платформа имеет выручку менее 400 млн рублей в год. По нашему мнению, это даст толчок развитию стартапов. Они ни при каких условиях не могут быть признаны доминирующими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Тенишев, в свою очередь коснулся темы либерализации уголовной ответственности за ограничение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он отметил в своём выступлении: "</w:t>
      </w:r>
      <w:r>
        <w:rPr>
          <w:i/>
        </w:rPr>
        <w:t xml:space="preserve">сложившаяся экономическая и внешнеполитическая ситуация, стимулирующая рост числа картелей и иных антиконкурентных соглашений, их проникновение в стратегические, жизненно важные сферы деятельности государства, составляющие основу национальной безопасности страны, требуют соответствующего ответа, в частности, внесения в законодательство Российской Федерации таких изменений, которые отразят существенно возросшую общественную опасность картелей, а также будут способствовать развитию практики противодействия им".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