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Дудкин: к середине 2019 года планируется принятие документа о переходе электросетевых компаний на эталонный метод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2019, 09:06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Его применение обеспечит долгосрочность и прозрачность системы ценообразования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территориальные сетевые организации у нас регулируются двумя методами – методом долгосрочной индексации НВВ и методом RAB. ФАС разработала проект постановления Правительства, который предусматривает введение еще и метода сравнения аналогов, т.е. применение эталонов затрат», - </w:t>
      </w:r>
      <w:r>
        <w:t xml:space="preserve">сообщил на практическом семинаре по тарифам в Сочи заместитель начальника Управления регулирования электроэнергетики ФАС России Сергей Дудкин.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«Что он из себя представляет? Во-первых, он основан на долгосрочности, период регулирования будет достигать 5-10 лет. Необходимо отметить, что период долгосрочного регулирования не должен превышать срок реализации инвестиционной программы, которая утверждена в установленном порядке, –</w:t>
      </w:r>
      <w:r>
        <w:t xml:space="preserve"> сказал представитель ФАС.</w:t>
      </w:r>
      <w:r>
        <w:rPr>
          <w:i/>
        </w:rPr>
        <w:t xml:space="preserve"> - Во-вторых, касательно долгосрочных параметров, то их два - уровни потерь, надежности и качества»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Преимуществами эталонного метода, по словам Сергея Дудкина, являются простота, прозрачность исключение субъективизма в принятии тарифных решений и тарифной дискриминации. Он отметил, что упростится анализ документов и их предоставление в органы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Разработанным ФАС документом вводится новое понятие «эталон затрат сетевой организации», который подразумевает под собой экономически обоснованную удельную величину затрат, связанную с осуществлением регулируемой деятельности по передаче электрической энергии, определяемую методом сравнения аналогов.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важным моментом является дифференциация эталонов затрат: по видам электросетевого оборудования и по субъектам Российской Федерации. Затраты разделены на 6 групп, например, содержание воздушных линий электропередачи, трансформаторных подстанций и обслуживание потребителей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Субъекты же разделены на 10 групп.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«Внедрение эталонов сократит дифференциацию тарифов на передачу электроэнергии, которая в настоящее время достигает до пяти раз, и сделает их более понятными для потребителей, общественных организаций и региональных органов власти», </w:t>
      </w:r>
      <w:r>
        <w:t xml:space="preserve">- подвел итог сессии Сергей Дудкин.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