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последние годы количество нарушений в рекламе лекарств значительно возросло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2019, 17:33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заместитель начальника Управления контроля рекламы и недобросовестной конкуренции ФАС России Ирина Василенкова сообщила 27 марта в ходе конференции газеты "Ведомости" «РосФарма: На пути к технологическому лидерству»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последние несколько лет ФАС России возбудила более 30 таких дел.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Законе о рекламе есть специальное требование к рекламе лекарственных препаратов: она не должна гарантировать результат и эффективность действия. Однако, именно это требование чаще всего и нарушается фармпроизводителями, использующими в рекламе лекарств утверждения, которые нельзя верифицировать: ни подтвердить, ни опровергнуть»</w:t>
      </w:r>
      <w:r>
        <w:t xml:space="preserve">, – пояснила спикер. Употребление слов «быстро устраняет», «побеждает» и подобных несет в себе гарантию положительного действия и эффективности лекарственного препарата.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Ирины Василенковой, из-за большого количества возбуждаемых ведомством дел, фарминдустрия консолидировалась и выступила с инициативой написания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Рекомендаций по соблюдению законодательства о рекламе безрецептурных лекарственных средств
        </w:t>
        </w:r>
      </w:hyperlink>
      <w:r>
        <w:t xml:space="preserve">. В результате ФАС России и участники фармацевтического рынка достигли понимания и выработали единый подход к оценке нарушений в рекламе лекарственных препаратов, адресованной широкому кругу потребителей, и в ноябре 2018 года при активном участии и поддержке ведомства, документ был подписан. Однако даже после этого, как отметила представитель службы, ФАС России продолжает фиксировать подобные случаи нарушений рекламного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выступления Ирина Василенкова выразила надежду, что фармкомпании и маркетинговые агентства будут руководствоваться принятыми Рекомендациями, и документ поможет участникам отрасли при подготовке рекламы, соответствующей требованиям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сессии «Фармправо. Актуальные вопросы и текущая правоприменительная практика» также приняла участие заместитель начальника Управления контроля рекламы и недобросовестной конкуренции ФАС России Яна Склярова с докладом по вопросу параллельного импорта.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«Вопреки распространенному мнению, никакое ужесточение требований либо углубление вмешательства государства в дела бизнеса в большинстве случаев не является для нас желанными и не является нашей целью. Чаще всего это вынужденная, невольная реакция на злоупотребления отдельных участников рынка, –</w:t>
      </w:r>
      <w:r>
        <w:t xml:space="preserve"> сказала она.</w:t>
      </w:r>
      <w:r>
        <w:rPr>
          <w:i/>
        </w:rPr>
        <w:t xml:space="preserve"> – Именно к такой ситуации можно отнести злоупотребление безграничностью защиты интеллектуальных прав, когда оно из ценного ресурса и средства для развития инноваций становится средством ограничения конкуренции. И это не то, что мы, как ответственный орган, можем терпеть».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Подобное злоупотребление привело к ряду проблем и последствий, которые и призван решить параллельный импорт: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ценовая, качественная и ассортиментная дискриминация со стороны правообладателей;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возможное ограничение поставок товара в результате решений государственных органов или правообладателей;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снятие дополнительного ограничения на деятельность малого и среднего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«Предполагается, что контроль таможенными органами за ввозом товаров традиционными и параллельными импортерами будет идентичным, таможенные посты будут создаваться на основе уже имеющейся инфраструктуры, а правообладатели смогут проверять подлинность ввозимых товаров»</w:t>
      </w:r>
      <w:r>
        <w:t xml:space="preserve">, – отметила Яна Склярова.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также напомнила, что Постановление Конституционного Суда Российской Федерации по параллельному импорту вводит понятие добросовестности правообладателя при реализации и защите интеллектуальных прав и не исключает возможности оценки ФАС России добросовестности действий по запрету на ввоз оригинальных товаров неавторизованными импортерами. Документ также разрешает ввоз оригинального товара правообладателя, прежде всего из категорий жизненно важных и социально значимых товаров, который может рассматриваться как средство защиты публичных интересов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29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