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решения Санкт-Петербургского УФАС об ограничении конкуренции на рынке ритуальных услуг 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2019, 10:06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«Р.И.П.» безвозмездно сдает помещения, находящиеся в морге крематория, госучреждению «Бюро судебно-медицинской экспертизы», за что в нарушение антимонопольного законодательства получает доступ к информации о потенциальных заказчиках услуг в приоритетном порядке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Северо-Западного округа признал законность и обоснованность решения, вынесенного Санкт-Петербургским УФАС России в отношении СПб ГБУЗ «Бюро судебно-медицинской экспертизы» (БСМЭ) и ООО «Р.И.П.».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антимонопольный орган установил, что: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согласно распоряжению Комитета имущественных отношений, помещения морга при крематории (г. Санкт-Петербург, Шафировский пр., д. 12, литер А.) закреплены на праве хозяйственного ведения за ГУП «Ритуальные услуги»;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Унитарное предприятие сдает эти площади в аренду ООО «Р.И.П.»;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– Компания «Р.И.П.» безвозмездно предоставляет часть этих помещений и оборудование, находящееся в них, Бюро судебно-медицинской экспертизы. Между организациями заключен соответствующий договор. Учредителем БСМЭ является город Санкт-Петербург в лице КИО. Координацию деятельности бюро осуществляет Комитет по здравоохранению.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компания «Р.И.П.» безвозмездно сдает помещения, а также оборудование – секционные столы, стеллажи для хранения трупов, холодильные камеры – находящееся в морге крематория, ГБУЗ «БСМЭ».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по сути являются оплатой права доступа к информации о потенциальных заказчиках услуг, что предоставляет преимущество компании «Р.И.П.» в ведении коммерческой деятельности перед другими участниками рынка ритуальных услуг, что является нарушением ч.4 ст.16 Закона о защите конкуренции*.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антимонопольного органа было обжаловано в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инстанция поддержала Санкт-Петербургское УФАС России. Апелляция встала на сторону хозсубъекта. Кассационная инстанция отменила решение апелляции и в полном объеме признала законность и обоснованность решения, вынесенного антимонопольным органом.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*Согласно ч.4 ст.16 Закона о защите конкуренции запрещаются ограничивающие конкуренцию соглашения или согласованные действия органов власти и хозяйствующих субъектов, если такие соглашения приводят к ограничению доступа на товарный рынок.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