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утвердила инвестиционный тариф на услуги МЦК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апреля 2019, 12:54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Установленные тарифы используются для внутренних расчетов и не влияют на стоимость проезда в общественном транспорте Москвы для пассажиров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Правление ФАС России утвердило инвестиционный тариф на услуги железнодорожной инфраструктуры для перевозки пассажиров в пределах Московского центрального кольца.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Инфраструктурой МЦК, входящей в единую систему общественного транспорта Москвы, ежегодно пользуется более 130 млн пассажиров.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Установленный тариф 144,76 рублей за 1 вагоно-километр транспортной работы на МЦК, в условиях 4-х минутного интервала движения поездов в часы пик, обеспечит источники содержания в надлежащем состоянии и обновления железнодорожных путей и остановочных станций. Соответствующие затраты в размере 6 млрд рублей в год отнесены исключительно на данный инвестиционный проект и не будут финансироваться за счет пригородных перевозок пассажиров в других регионах или грузоперевозок.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Параметры тарифного решения согласованы РЖД и Правительством Москвы.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Установленные тарифы используются для внутренних расчетов за услуги РЖД и не влияют на стоимость проезда в общественном транспорте Москвы для пассажиров.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