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Минсельхоз разместил информацию о состоянии развития конкуренция в АПК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01 мая 2019,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Соответствующую информацию можно найти на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сайте
        </w:t>
        </w:r>
      </w:hyperlink>
      <w:r>
        <w:rPr>
          <w:i/>
        </w:rPr>
        <w:t xml:space="preserve"> ведомства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Комплексные меры поддержки аграрного сектора направлены на увеличение предложения сельскохозяйственной продукции, сырья и продовольствия на агропродовольственном рынке, а также на поддержку доходности сельскохозяйственных производителей и увеличение темпа роста экспорта продукции агропромышленного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документе содержится информация о стимулировании инвестиционной деятельности в агропромышленном комплексе, корректировке мер таможенно-тарифного регулирования, о проведении государственных закупочных и товарных интервенций на рынках сельскохозяйственной продукции, сырья и продовольствия.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текстом документа можно ознакомиться ниже.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 состоянии развития конкуренции в агропромышленном комплексе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Одним из принципов государственной аграрной политики в соответствии с Федеральным законом от 29 декабря 2006 г. № 264-ФЗ «О развитии сельского хозяйства» является единство рынка сельскохозяйственной продукции, сырья и продовольствия и обеспечение равных условий конкуренции на этом рынке. Реализуемые в последние годы меры государственной поддержки сельского хозяйства и государственного регулирования рынка сельскохозяйственной продукции, сырья и продовольствия направлены также и на развитие конкурентной среды на внутреннем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Основополагающим документом развития агропромышленного комплекса является Государственная программа развития сельского хозяйства и регулирования рынков сельскохозяйственной продукции, сырья и продовольствия на 2013-2020 годы (далее – Госпрограмма), предусматривающая мероприятия, направленные на повышение конкурентоспособности российской сельскохозяйственной продукции на внутреннем и внешнем рынках.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Комплексные меры поддержки аграрного сектора направлены, в первую очередь, на увеличение предложения сельскохозяйственной продукции, сырья и продовольствия на агропродовольственном рынке, а также на поддержку доходности сельскохозяйственных производителей, увеличение темпа роста экспорта продукции агропромышленного комплекса.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Перечня поручений Президента Российской Федерации от 15 мая 2018 г. № Пр-817 ГС по итогам заседания Государственного совета Российской Федерации от 5 апреля 2018 года (подпункт «а» пункта 2), согласно Методики по расчету ключевых показателей развития конкуренции в отраслях экономики и субъектах Российской Федерации, утвержденной приказом Федеральной антимонопольной службы от 29 августа 2018 г. № 1232/18 (далее – Методика), Минсельхозом России проведена работа по рассмотрению ключевых показателей развития конкуренции в сфере агропромышленного и рыбохозяйственного комплексов 20 субъектов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5 субъектам Российской Федерации ключевых показателей развития конкуренции согласованы, 5 субъектам Российской Федерации перечни показателей возвращены на доработку и 10 субъектам Российской Федерации отказано в согласовании в связи с не представлением исходных данных в соответствии с Методикой.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Стимулирование инвестиционной деятельности в агропромышленном комплексе.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Указом Президента Российской Федерации от 7 мая 2018 года № 204 «О национальных целях и стратегических задачах развития Российской Федерации на период до 2024 года» в качестве одной из национальных целей развития Российской Федерации на период до 2024 года является создание и модернизация экспортно-ориентированной товаропроводящей инфраструктуры, в том числе строительство оптово-распределительных центров (далее – ОРЦ). Создание и развитие современных логистических структур является одной из важнейших мер, направленных на стимулирование торговой деятельности и увеличение объемов продажи продукции отечественных производителей, повышение их конкурентоспособности.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данными ведомственного мониторинга, в Российской Федерации по состоянию на 1 января 2019 г. функционируют 3 413 картофеле- и овощехранилищ суммарной мощностью единовременного хранения 7 888,0 тыс. тонн (2 110 картофелехранилищ суммарной мощностью 4 612,5 тыс. тонн, 803 овощехранилища суммарной мощностью 1 630 тыс. тонн и 500 смешанных картофеле- и овощехранилищ суммарной мощностью 1 645,5 тыс. тонн.), а также 282 плодохранилища суммарной мощностью 668 тыс. тонн. Всего за 2015 - 2018 годы введено в эксплуатацию картофеле- и овощехранилищ мощностью 2 701,6 тыс. тонн, а также плодохранилищ – 339,7 тыс. тонн.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Повысилась товарность реализованной сельскохозяйственной продукции. По данным Росстата, товарность реализации скота и птицы в 2018 году составила 101,1% против 100,7% в 2017 году, свиней – 100,5% и 100,2%, птицы – 99,8% и 99,0%, яйца куриного – 89,9% и 90,3% соответственно.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Увеличились объемы отгрузки сельскохозяйственной продукции сельхозорганизациями.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pPr>
              <w:jc w:val="right"/>
            </w:pPr>
            <w:r>
              <w:t xml:space="preserve"> </w:t>
            </w:r>
          </w:p>
        </w:tc>
        <w:tc>
          <w:tcPr/>
          <w:p>
            <w:pPr>
              <w:jc w:val="center"/>
            </w:pPr>
            <w:r>
              <w:t xml:space="preserve">Производство, тыс. тонн</w:t>
            </w:r>
          </w:p>
        </w:tc>
        <w:tc>
          <w:tcPr/>
          <w:p>
            <w:pPr>
              <w:jc w:val="center"/>
            </w:pPr>
            <w:r>
              <w:t xml:space="preserve">Отгружено, тыс. тонн</w:t>
            </w:r>
          </w:p>
        </w:tc>
      </w:tr>
      <w:tr>
        <w:tc>
          <w:tcPr/>
          <w:p>
            <w:pPr>
              <w:jc w:val="right"/>
            </w:pPr>
            <w:r>
              <w:t xml:space="preserve"> </w:t>
            </w:r>
          </w:p>
        </w:tc>
        <w:tc>
          <w:tcPr/>
          <w:p>
            <w:pPr>
              <w:jc w:val="center"/>
            </w:pPr>
            <w:r>
              <w:t xml:space="preserve">2017 г.</w:t>
            </w:r>
          </w:p>
        </w:tc>
        <w:tc>
          <w:tcPr/>
          <w:p>
            <w:pPr>
              <w:jc w:val="center"/>
            </w:pPr>
            <w:r>
              <w:t xml:space="preserve">2018 г.</w:t>
            </w:r>
          </w:p>
        </w:tc>
        <w:tc>
          <w:tcPr/>
          <w:p>
            <w:pPr>
              <w:jc w:val="center"/>
            </w:pPr>
            <w:r>
              <w:t xml:space="preserve">2018 г. в % к 2017 г.</w:t>
            </w:r>
          </w:p>
        </w:tc>
        <w:tc>
          <w:tcPr/>
          <w:p>
            <w:pPr>
              <w:jc w:val="center"/>
            </w:pPr>
            <w:r>
              <w:t xml:space="preserve">2017 г.</w:t>
            </w:r>
          </w:p>
        </w:tc>
        <w:tc>
          <w:tcPr/>
          <w:p>
            <w:pPr>
              <w:jc w:val="center"/>
            </w:pPr>
            <w:r>
              <w:t xml:space="preserve">2018 г.</w:t>
            </w:r>
          </w:p>
        </w:tc>
        <w:tc>
          <w:tcPr/>
          <w:p>
            <w:pPr>
              <w:jc w:val="center"/>
            </w:pPr>
            <w:r>
              <w:t xml:space="preserve">2018 г. в % к 2017 г.</w:t>
            </w:r>
          </w:p>
        </w:tc>
      </w:tr>
      <w:tr>
        <w:tc>
          <w:tcPr/>
          <w:p>
            <w:r>
              <w:t xml:space="preserve">Зерновые и зернобобовые культуры</w:t>
            </w:r>
          </w:p>
        </w:tc>
        <w:tc>
          <w:tcPr/>
          <w:p>
            <w:pPr>
              <w:jc w:val="right"/>
            </w:pPr>
            <w:r>
              <w:t xml:space="preserve">94968,7</w:t>
            </w:r>
          </w:p>
        </w:tc>
        <w:tc>
          <w:tcPr/>
          <w:p>
            <w:pPr>
              <w:jc w:val="right"/>
            </w:pPr>
            <w:r>
              <w:t xml:space="preserve">79539,5</w:t>
            </w:r>
          </w:p>
        </w:tc>
        <w:tc>
          <w:tcPr/>
          <w:p>
            <w:pPr>
              <w:jc w:val="right"/>
            </w:pPr>
            <w:r>
              <w:t xml:space="preserve">83,8</w:t>
            </w:r>
          </w:p>
        </w:tc>
        <w:tc>
          <w:tcPr/>
          <w:p>
            <w:pPr>
              <w:jc w:val="right"/>
            </w:pPr>
            <w:r>
              <w:t xml:space="preserve">63254,7</w:t>
            </w:r>
          </w:p>
        </w:tc>
        <w:tc>
          <w:tcPr/>
          <w:p>
            <w:pPr>
              <w:jc w:val="right"/>
            </w:pPr>
            <w:r>
              <w:t xml:space="preserve">67921,1</w:t>
            </w:r>
          </w:p>
        </w:tc>
        <w:tc>
          <w:tcPr/>
          <w:p>
            <w:pPr>
              <w:jc w:val="right"/>
            </w:pPr>
            <w:r>
              <w:t xml:space="preserve">107,4</w:t>
            </w:r>
          </w:p>
        </w:tc>
      </w:tr>
      <w:tr>
        <w:tc>
          <w:tcPr/>
          <w:p>
            <w:r>
              <w:t xml:space="preserve">Подсолнечник</w:t>
            </w:r>
          </w:p>
        </w:tc>
        <w:tc>
          <w:tcPr/>
          <w:p>
            <w:pPr>
              <w:jc w:val="right"/>
            </w:pPr>
            <w:r>
              <w:t xml:space="preserve">7132,6</w:t>
            </w:r>
          </w:p>
        </w:tc>
        <w:tc>
          <w:tcPr/>
          <w:p>
            <w:pPr>
              <w:jc w:val="right"/>
            </w:pPr>
            <w:r>
              <w:t xml:space="preserve">8466,2</w:t>
            </w:r>
          </w:p>
        </w:tc>
        <w:tc>
          <w:tcPr/>
          <w:p>
            <w:pPr>
              <w:jc w:val="right"/>
            </w:pPr>
            <w:r>
              <w:t xml:space="preserve">118,7</w:t>
            </w:r>
          </w:p>
        </w:tc>
        <w:tc>
          <w:tcPr/>
          <w:p>
            <w:pPr>
              <w:jc w:val="right"/>
            </w:pPr>
            <w:r>
              <w:t xml:space="preserve">6118,6</w:t>
            </w:r>
          </w:p>
        </w:tc>
        <w:tc>
          <w:tcPr/>
          <w:p>
            <w:pPr>
              <w:jc w:val="right"/>
            </w:pPr>
            <w:r>
              <w:t xml:space="preserve">6756,9</w:t>
            </w:r>
          </w:p>
        </w:tc>
        <w:tc>
          <w:tcPr/>
          <w:p>
            <w:pPr>
              <w:jc w:val="right"/>
            </w:pPr>
            <w:r>
              <w:t xml:space="preserve">110,4</w:t>
            </w:r>
          </w:p>
        </w:tc>
      </w:tr>
      <w:tr>
        <w:tc>
          <w:tcPr/>
          <w:p>
            <w:r>
              <w:t xml:space="preserve">Сахарная свекла</w:t>
            </w:r>
          </w:p>
        </w:tc>
        <w:tc>
          <w:tcPr/>
          <w:p>
            <w:pPr>
              <w:jc w:val="right"/>
            </w:pPr>
            <w:r>
              <w:t xml:space="preserve">45790,5</w:t>
            </w:r>
          </w:p>
        </w:tc>
        <w:tc>
          <w:tcPr/>
          <w:p>
            <w:pPr>
              <w:jc w:val="right"/>
            </w:pPr>
            <w:r>
              <w:t xml:space="preserve">37503,3</w:t>
            </w:r>
          </w:p>
        </w:tc>
        <w:tc>
          <w:tcPr/>
          <w:p>
            <w:pPr>
              <w:jc w:val="right"/>
            </w:pPr>
            <w:r>
              <w:t xml:space="preserve">81,9</w:t>
            </w:r>
          </w:p>
        </w:tc>
        <w:tc>
          <w:tcPr/>
          <w:p>
            <w:pPr>
              <w:jc w:val="right"/>
            </w:pPr>
            <w:r>
              <w:t xml:space="preserve">40489,4</w:t>
            </w:r>
          </w:p>
        </w:tc>
        <w:tc>
          <w:tcPr/>
          <w:p>
            <w:pPr>
              <w:jc w:val="right"/>
            </w:pPr>
            <w:r>
              <w:t xml:space="preserve">35389,6</w:t>
            </w:r>
          </w:p>
        </w:tc>
        <w:tc>
          <w:tcPr/>
          <w:p>
            <w:pPr>
              <w:jc w:val="right"/>
            </w:pPr>
            <w:r>
              <w:t xml:space="preserve">87,4</w:t>
            </w:r>
          </w:p>
        </w:tc>
      </w:tr>
      <w:tr>
        <w:tc>
          <w:tcPr/>
          <w:p>
            <w:r>
              <w:t xml:space="preserve">Картофель </w:t>
            </w:r>
          </w:p>
        </w:tc>
        <w:tc>
          <w:tcPr/>
          <w:p>
            <w:pPr>
              <w:jc w:val="right"/>
            </w:pPr>
            <w:r>
              <w:t xml:space="preserve">4232,8</w:t>
            </w:r>
          </w:p>
        </w:tc>
        <w:tc>
          <w:tcPr/>
          <w:p>
            <w:pPr>
              <w:jc w:val="right"/>
            </w:pPr>
            <w:r>
              <w:t xml:space="preserve">4316,5</w:t>
            </w:r>
          </w:p>
        </w:tc>
        <w:tc>
          <w:tcPr/>
          <w:p>
            <w:pPr>
              <w:jc w:val="right"/>
            </w:pPr>
            <w:r>
              <w:t xml:space="preserve">102,0</w:t>
            </w:r>
          </w:p>
        </w:tc>
        <w:tc>
          <w:tcPr/>
          <w:p>
            <w:pPr>
              <w:jc w:val="right"/>
            </w:pPr>
            <w:r>
              <w:t xml:space="preserve">2607,0</w:t>
            </w:r>
          </w:p>
        </w:tc>
        <w:tc>
          <w:tcPr/>
          <w:p>
            <w:pPr>
              <w:jc w:val="right"/>
            </w:pPr>
            <w:r>
              <w:t xml:space="preserve">2528,4</w:t>
            </w:r>
          </w:p>
        </w:tc>
        <w:tc>
          <w:tcPr/>
          <w:p>
            <w:pPr>
              <w:jc w:val="right"/>
            </w:pPr>
            <w:r>
              <w:t xml:space="preserve">97,0</w:t>
            </w:r>
          </w:p>
        </w:tc>
      </w:tr>
      <w:tr>
        <w:tc>
          <w:tcPr/>
          <w:p>
            <w:r>
              <w:t xml:space="preserve">Овощи</w:t>
            </w:r>
          </w:p>
        </w:tc>
        <w:tc>
          <w:tcPr/>
          <w:p>
            <w:pPr>
              <w:jc w:val="right"/>
            </w:pPr>
            <w:r>
              <w:t xml:space="preserve">3479,3</w:t>
            </w:r>
          </w:p>
        </w:tc>
        <w:tc>
          <w:tcPr/>
          <w:p>
            <w:pPr>
              <w:jc w:val="right"/>
            </w:pPr>
            <w:r>
              <w:t xml:space="preserve">3581</w:t>
            </w:r>
          </w:p>
        </w:tc>
        <w:tc>
          <w:tcPr/>
          <w:p>
            <w:pPr>
              <w:jc w:val="right"/>
            </w:pPr>
            <w:r>
              <w:t xml:space="preserve">102,9</w:t>
            </w:r>
          </w:p>
        </w:tc>
        <w:tc>
          <w:tcPr/>
          <w:p>
            <w:pPr>
              <w:jc w:val="right"/>
            </w:pPr>
            <w:r>
              <w:t xml:space="preserve">2484,4</w:t>
            </w:r>
          </w:p>
        </w:tc>
        <w:tc>
          <w:tcPr/>
          <w:p>
            <w:pPr>
              <w:jc w:val="right"/>
            </w:pPr>
            <w:r>
              <w:t xml:space="preserve">2861,3</w:t>
            </w:r>
          </w:p>
        </w:tc>
        <w:tc>
          <w:tcPr/>
          <w:p>
            <w:pPr>
              <w:jc w:val="right"/>
            </w:pPr>
            <w:r>
              <w:t xml:space="preserve">115,2</w:t>
            </w:r>
          </w:p>
        </w:tc>
      </w:tr>
      <w:tr>
        <w:tc>
          <w:tcPr/>
          <w:p>
            <w:r>
              <w:t xml:space="preserve">Скот и птица (в живом весе) - всего</w:t>
            </w:r>
          </w:p>
        </w:tc>
        <w:tc>
          <w:tcPr/>
          <w:p>
            <w:pPr>
              <w:jc w:val="right"/>
            </w:pPr>
            <w:r>
              <w:t xml:space="preserve">10821,2</w:t>
            </w:r>
          </w:p>
        </w:tc>
        <w:tc>
          <w:tcPr/>
          <w:p>
            <w:pPr>
              <w:jc w:val="right"/>
            </w:pPr>
            <w:r>
              <w:t xml:space="preserve">11256,2</w:t>
            </w:r>
          </w:p>
        </w:tc>
        <w:tc>
          <w:tcPr/>
          <w:p>
            <w:pPr>
              <w:jc w:val="right"/>
            </w:pPr>
            <w:r>
              <w:t xml:space="preserve">104,0</w:t>
            </w:r>
          </w:p>
        </w:tc>
        <w:tc>
          <w:tcPr/>
          <w:p>
            <w:pPr>
              <w:jc w:val="right"/>
            </w:pPr>
            <w:r>
              <w:t xml:space="preserve">10891,8</w:t>
            </w:r>
          </w:p>
        </w:tc>
        <w:tc>
          <w:tcPr/>
          <w:p>
            <w:pPr>
              <w:jc w:val="right"/>
            </w:pPr>
            <w:r>
              <w:t xml:space="preserve">11374,6</w:t>
            </w:r>
          </w:p>
        </w:tc>
        <w:tc>
          <w:tcPr/>
          <w:p>
            <w:pPr>
              <w:jc w:val="right"/>
            </w:pPr>
            <w:r>
              <w:t xml:space="preserve">104,4</w:t>
            </w:r>
          </w:p>
        </w:tc>
      </w:tr>
      <w:tr>
        <w:tc>
          <w:tcPr/>
          <w:p>
            <w:r>
              <w:t xml:space="preserve">в т.ч. крупный рогатый скот</w:t>
            </w:r>
          </w:p>
        </w:tc>
        <w:tc>
          <w:tcPr/>
          <w:p>
            <w:pPr>
              <w:jc w:val="right"/>
            </w:pPr>
            <w:r>
              <w:t xml:space="preserve">932,7</w:t>
            </w:r>
          </w:p>
        </w:tc>
        <w:tc>
          <w:tcPr/>
          <w:p>
            <w:pPr>
              <w:jc w:val="right"/>
            </w:pPr>
            <w:r>
              <w:t xml:space="preserve">986,7</w:t>
            </w:r>
          </w:p>
        </w:tc>
        <w:tc>
          <w:tcPr/>
          <w:p>
            <w:pPr>
              <w:jc w:val="right"/>
            </w:pPr>
            <w:r>
              <w:t xml:space="preserve">105,8</w:t>
            </w:r>
          </w:p>
        </w:tc>
        <w:tc>
          <w:tcPr/>
          <w:p>
            <w:pPr>
              <w:jc w:val="right"/>
            </w:pPr>
            <w:r>
              <w:t xml:space="preserve">1035,8</w:t>
            </w:r>
          </w:p>
        </w:tc>
        <w:tc>
          <w:tcPr/>
          <w:p>
            <w:pPr>
              <w:jc w:val="right"/>
            </w:pPr>
            <w:r>
              <w:t xml:space="preserve">1089,9</w:t>
            </w:r>
          </w:p>
        </w:tc>
        <w:tc>
          <w:tcPr/>
          <w:p>
            <w:pPr>
              <w:jc w:val="right"/>
            </w:pPr>
            <w:r>
              <w:t xml:space="preserve">105,2</w:t>
            </w:r>
          </w:p>
        </w:tc>
      </w:tr>
      <w:tr>
        <w:tc>
          <w:tcPr/>
          <w:p>
            <w:r>
              <w:t xml:space="preserve">свиньи</w:t>
            </w:r>
          </w:p>
        </w:tc>
        <w:tc>
          <w:tcPr/>
          <w:p>
            <w:pPr>
              <w:jc w:val="right"/>
            </w:pPr>
            <w:r>
              <w:t xml:space="preserve">3735,1</w:t>
            </w:r>
          </w:p>
        </w:tc>
        <w:tc>
          <w:tcPr/>
          <w:p>
            <w:pPr>
              <w:jc w:val="right"/>
            </w:pPr>
            <w:r>
              <w:t xml:space="preserve">4061,3</w:t>
            </w:r>
          </w:p>
        </w:tc>
        <w:tc>
          <w:tcPr/>
          <w:p>
            <w:pPr>
              <w:jc w:val="right"/>
            </w:pPr>
            <w:r>
              <w:t xml:space="preserve">108,7</w:t>
            </w:r>
          </w:p>
        </w:tc>
        <w:tc>
          <w:tcPr/>
          <w:p>
            <w:pPr>
              <w:jc w:val="right"/>
            </w:pPr>
            <w:r>
              <w:t xml:space="preserve">3741,4</w:t>
            </w:r>
          </w:p>
        </w:tc>
        <w:tc>
          <w:tcPr/>
          <w:p>
            <w:pPr>
              <w:jc w:val="right"/>
            </w:pPr>
            <w:r>
              <w:t xml:space="preserve">4079,9</w:t>
            </w:r>
          </w:p>
        </w:tc>
        <w:tc>
          <w:tcPr/>
          <w:p>
            <w:pPr>
              <w:jc w:val="right"/>
            </w:pPr>
            <w:r>
              <w:t xml:space="preserve">109,0</w:t>
            </w:r>
          </w:p>
        </w:tc>
      </w:tr>
      <w:tr>
        <w:tc>
          <w:tcPr/>
          <w:p>
            <w:r>
              <w:t xml:space="preserve">птица</w:t>
            </w:r>
          </w:p>
        </w:tc>
        <w:tc>
          <w:tcPr/>
          <w:p>
            <w:pPr>
              <w:jc w:val="right"/>
            </w:pPr>
            <w:r>
              <w:t xml:space="preserve">6096,5</w:t>
            </w:r>
          </w:p>
        </w:tc>
        <w:tc>
          <w:tcPr/>
          <w:p>
            <w:pPr>
              <w:jc w:val="right"/>
            </w:pPr>
            <w:r>
              <w:t xml:space="preserve">6150,2</w:t>
            </w:r>
          </w:p>
        </w:tc>
        <w:tc>
          <w:tcPr/>
          <w:p>
            <w:pPr>
              <w:jc w:val="right"/>
            </w:pPr>
            <w:r>
              <w:t xml:space="preserve">100,9</w:t>
            </w:r>
          </w:p>
        </w:tc>
        <w:tc>
          <w:tcPr/>
          <w:p>
            <w:pPr>
              <w:jc w:val="right"/>
            </w:pPr>
            <w:r>
              <w:t xml:space="preserve">6038,4</w:t>
            </w:r>
          </w:p>
        </w:tc>
        <w:tc>
          <w:tcPr/>
          <w:p>
            <w:pPr>
              <w:jc w:val="right"/>
            </w:pPr>
            <w:r>
              <w:t xml:space="preserve">6135,7</w:t>
            </w:r>
          </w:p>
        </w:tc>
        <w:tc>
          <w:tcPr/>
          <w:p>
            <w:pPr>
              <w:jc w:val="right"/>
            </w:pPr>
            <w:r>
              <w:t xml:space="preserve">101,6</w:t>
            </w:r>
          </w:p>
        </w:tc>
      </w:tr>
      <w:tr>
        <w:tc>
          <w:tcPr/>
          <w:p>
            <w:r>
              <w:t xml:space="preserve">Молоко </w:t>
            </w:r>
          </w:p>
        </w:tc>
        <w:tc>
          <w:tcPr/>
          <w:p>
            <w:pPr>
              <w:jc w:val="right"/>
            </w:pPr>
            <w:r>
              <w:t xml:space="preserve">15609,5</w:t>
            </w:r>
          </w:p>
        </w:tc>
        <w:tc>
          <w:tcPr/>
          <w:p>
            <w:pPr>
              <w:jc w:val="right"/>
            </w:pPr>
            <w:r>
              <w:t xml:space="preserve">16204,6</w:t>
            </w:r>
          </w:p>
        </w:tc>
        <w:tc>
          <w:tcPr/>
          <w:p>
            <w:pPr>
              <w:jc w:val="right"/>
            </w:pPr>
            <w:r>
              <w:t xml:space="preserve">103,8</w:t>
            </w:r>
          </w:p>
        </w:tc>
        <w:tc>
          <w:tcPr/>
          <w:p>
            <w:pPr>
              <w:jc w:val="right"/>
            </w:pPr>
            <w:r>
              <w:t xml:space="preserve">14834,4</w:t>
            </w:r>
          </w:p>
        </w:tc>
        <w:tc>
          <w:tcPr/>
          <w:p>
            <w:pPr>
              <w:jc w:val="right"/>
            </w:pPr>
            <w:r>
              <w:t xml:space="preserve">15357,5</w:t>
            </w:r>
          </w:p>
        </w:tc>
        <w:tc>
          <w:tcPr/>
          <w:p>
            <w:pPr>
              <w:jc w:val="right"/>
            </w:pPr>
            <w:r>
              <w:t xml:space="preserve">103,5</w:t>
            </w:r>
          </w:p>
        </w:tc>
      </w:tr>
      <w:tr>
        <w:tc>
          <w:tcPr/>
          <w:p>
            <w:r>
              <w:t xml:space="preserve">Яйца куриные (млн шт.)</w:t>
            </w:r>
          </w:p>
        </w:tc>
        <w:tc>
          <w:tcPr/>
          <w:p>
            <w:pPr>
              <w:jc w:val="right"/>
            </w:pPr>
            <w:r>
              <w:t xml:space="preserve">35,4</w:t>
            </w:r>
          </w:p>
        </w:tc>
        <w:tc>
          <w:tcPr/>
          <w:p>
            <w:pPr>
              <w:jc w:val="right"/>
            </w:pPr>
            <w:r>
              <w:t xml:space="preserve">35,8</w:t>
            </w:r>
          </w:p>
        </w:tc>
        <w:tc>
          <w:tcPr/>
          <w:p>
            <w:pPr>
              <w:jc w:val="right"/>
            </w:pPr>
            <w:r>
              <w:t xml:space="preserve">101,0</w:t>
            </w:r>
          </w:p>
        </w:tc>
        <w:tc>
          <w:tcPr/>
          <w:p>
            <w:pPr>
              <w:jc w:val="right"/>
            </w:pPr>
            <w:r>
              <w:t xml:space="preserve">31,8</w:t>
            </w:r>
          </w:p>
        </w:tc>
        <w:tc>
          <w:tcPr/>
          <w:p>
            <w:pPr>
              <w:jc w:val="right"/>
            </w:pPr>
            <w:r>
              <w:t xml:space="preserve">32,3</w:t>
            </w:r>
          </w:p>
        </w:tc>
        <w:tc>
          <w:tcPr/>
          <w:p>
            <w:pPr>
              <w:jc w:val="right"/>
            </w:pPr>
            <w:r>
              <w:t xml:space="preserve">101,5</w:t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Корректировка мер таможенно-тарифного регулирования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Таможенно-тарифное регулирование осуществляется в соответствии с обязательствами Российской Федерации в Всемирной торговой организации (далее – ВТО). Решения о корректировке ставок ввозных таможенных пошлин принимаются Евразийской экономической комиссией (далее – ЕЭК) в соответствии с Договором о Евразийском экономическом союзе (далее – ЕАЭС) от 29 мая 2014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Решениями Коллегии ЕЭК от 5 июня 2018 г. № 94 и Совета ЕЭК от 13 июля 2018 г. № 66 в Единый таможенный тариф ЕАЭС внесены изменения, вступившие в действие с 1 сентября 2018 г., в отношении отдельных видов товаров в соответствии с обязательствами Российской Федерации в рамках ВТО.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Понижены ставки ввозных таможенных пошлин на отдельные виды рыбы, какао-полуфабрикатов, фруктов, продуктов переработки рыбы и фруктов.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Постановлениями Правительства Российской Федерации от 7 декабря 2017 г. № 1484 «О распределении объема тарифной квоты в отношении молочной сыворотки в 2018 году» и от 9 декабря 2017 г. № 1498 «О распределении объемов тарифных квот в отношении мяса крупного рогатого скота, свинины и мяса домашней птицы в 2018 году» утверждено распределение объемов тарифных квот, установленных на 2018 год решением Коллегии ЕЭК от 18 августа 2017 г. № 97.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Решением коллегии ЕЭК от 18 августа 2017 г. № 96 «Об установлении на 2018 год объемов тарифной квоты в отношении отдельных видов риса длиннозерного, происходящего из Социалистической Республики Вьетнам и ввозимого на территории государств-членов Евразийского экономического союза» для Российской Федерации установлена тарифная квота в объеме 9 039 тонн (постановление Правительства Российской Федерации от 5 декабря 2017 г. № 1470 «О распределении объема тарифной квоты в отношении отдельных видов риса длиннозерного, происходящего из Социалистической Республики Вьетнам, в 2018 году»). Ставка ввозной таможенной пошлины в квоте 0%, вне квоты 10%, но не менее 0,03 евро за 1 кг.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применяются ставки вывозных таможенных пошлин в отношении отдельных видов рыбной продукции (тунец синий прочий - код ТН ВЭД ЕАЭС 0302 35 190 0, прочие рыбные субпродукты из тунца синего - из кода ТН ВЭД ЕАЭС 0302 99 000 9), семян рапса (код ТН ВЭД ЕАЭС 1205), семян подсолнечника (код ТН ВЭД ЕАЭС 1206), шкур крупного рогатого скота, овец, ягнят и прочих необработанных шкур (коды ТН ВЭД ЕАЭС 4101 и 4102) и соответствуют конечному уровню связывания согласно обязательствам Российской Федерации в ВТО.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соответствии с постановлением Правительства Российской Федерации от 26 сентября 2016 г. № 966 «О внесении изменений в ставки вывозных таможенных пошлин на товары, вывозимые из Российской Федерации за пределы государств-участников соглашений о Таможенном союзе» ставка вывозной таможенной пошлины с 23 сентября 2016 г. до 1 июля 2018 г. по позиции 1001 99 000 0 (пшеница и меслин прочие) применяется в размере 0 рублей. Постановлением Правительства Российской Федерации от 27 июня 2018 г. № 737 ее действие продлено до 1 июля 2019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b/>
        </w:rPr>
        <w:t xml:space="preserve">О проведении государственных закупочных и товарных интервенций на рынках сельскохозяйственной продукции, сырья и продовольствия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Общий объем зерна федерального интервенционного фонда на конец 2018 года составлял 3 005,7 тыс. тонн на сумму 29 121,9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данным ФТС России, на конец 2018 года в 2018/2019 сельскохозяйственном году экспортировано зерновых культур 28,2 млн тонн, что на 5% выше, чем за аналогичный период прошлого сезона (26,9 млн тонн).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Экспорт пшеницы с начала сезона составил 23,8 млн тонн, что на 14% выше уровня аналогичного периода 2017/2018 сельскохозяйственного года (20,9 млн тонн), ячменя – 3 млн тонн, что на 15% ниже уровня аналогичного периода 2017/2018 сельскохозяйственного года (3,5 млн тонн), кукурузы – 1,1 млн тонн, что на 49% ниже уровня аналогичного периода прошлого сезона (2,2 млн тонн), прочих культур – 0,3 млн тонн, что в 1,6 раза выше, чем за аналогичный период прошлого сезона (0,19 млн тонн).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Основные 5 стран экспорта зерновых в сезоне 2018/2019: Египет (4,9 млн тонн, 17%), Турция (3,1 млн тонн, 11%), Вьетнам (1,2 млн тонн, 4%), Нигерия (1,2 млн тонн, 4%), Саудовская Аравия (1,2 млн тонн, 4%).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2018 году Минсельхозом России осуществлялось точечное регулирование рынка зерна путем реализация зерна из запасов федерального интервенционного фонда сельскохозяйственной продукции (далее – интервенционный фонд) в рамках отдельных распоряжений Правительства Российской Федерации.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высвобождения мощностей по хранению зерна и снижения расходов федерального бюджета на обслуживание запасов зерна интервенционного фонда Минсельхозом России во исполнение распоряжения Правительства Российской Федерации от 23 декабря 2017 г. № 2921-р реализовано зерно интервенционного фонда на экспорт в объеме 499,1 тыс. тонн общей стоимостью 4 598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оказания поддержки потребителям Красноярского края и Республики Крым в связи со снижением валового сбора зерна вследствие неблагоприятных погодных условий реализовано 128,1 тыс. тонн (распоряжение Правительства Российской Федерации от 30 мая 2018 г. № 1051-р) и 43,4 тыс. тонн зерна (распоряжение Правительства Российской Федерации от 4 октября 2018 г. № 2133-р) соответственно.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во исполнение распоряжения Правительства Российской Федерации от 4 октября 2018 г. № 2134-р Минсельхозом России на биржевых торгах реализовано 436,9 тыс. тонн общей стоимостью 4 329,5 млн рублей, что позволило увеличить предложение зерна на внутреннем рынке.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выравнивания доходности сельскохозяйственных товаропроизводителей в субъектах Российской Федерации, в которых отмечался значительный прирост объема производства зерна на фоне рекордного урожая зерна в 2017/2018 году (135,4 млн тонн), принято постановление Правительства Российской Федерации от 20 декабря 2017 г. № 1595 «Об утверждении Правил предоставления в 2017 и 2018 годах субсидий из федерального бюджета открытому акционерному обществу «Российские железные дороги» на возмещение потерь в доходах, возникающих в результате установления льготных тарифов на перевозку зерна» (далее соответственно – Правила № 1595, субсидии).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Правилами № 1595 предусматривалось предоставление до 30 июня 2018 г. субсидий ОАО «РЖД» на возмещение потерь в доходах, возникающих в результате установления льготных тарифов на перевозку зерна со станций, расположенных в границах 13 субъектов (Воронежской, Курской, Липецкой, Орловской, Тамбовской, Оренбургской, Пензенской, Самарской, Саратовской, Ульяновской, Курганской, Новосибирской, Омской областей) в направлении станций железных дорог Дальневосточного, Северо-Западного и Южного федеральных округов без взимания провозной платы с грузоотправителей, с возмещением из федерального бюджета потерь в доходах ОАО «РЖД», возникающих в результате осуществления таких перевозок.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реализации Правил № 1595 в период с января по июль 2018 г. объем перевезенных зерновых культур составил 1 782,58 тыс. тонн, в том числе из Сибирского федерального округа – 398,97 тыс. тонн. По данным Федерального агентства железнодорожного транспорта ОАО «РЖД» перечислены субсидии в размере 1 721,6 млн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итогам сезона 2017/2018 г. мера господдержки в виде льготных тарифов на перевозку зерна получила положительную оценку производителей, переработчиков и экспортеров зерна, что повышает конкурентность сельхозтоваропроизводителей.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Во исполнение подпункта «г» пункта 2 перечня поручений Президента Российской Федерации В.В. Путина от 15 марта 2018 г. № Пр-436 Минсельхозом России разработан проект постановления Правительства Российской Федерации «Об утверждении Правил предоставления субсидий из федерального бюджета открытому акционерному обществу «Российские железные дороги» на возмещение потерь в доходах, возникающих в результате установления льготных тарифов на перевозку зерна» без ограничения сроков (далее – проект постановления). Проект постановления подготавливается Минсельхозом России к внесению в Правительство в установленном порядке**.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Принятие проекта постановления позволит компенсировать часть стоимости перевозки зерна в регионы, являющихся крупнейшими потребителями зерновых культур, а также стимулировать перевозки из регионов Уральского, Приволжского и Сибирского федеральных округов, обладающих значительными запасами.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целях снижения уровня административных барьеров, препятствующих развитию конкуренции в сфере агропромышленного комплекса и совершенствования антимонопольного и тарифного регулирования Министерство сельского хозяйства и Федеральная антимонопольная служба заключили 14 декабря 2018 г. Соглашение о взаимодействии в формировании и реализации государственной политики в сфере агропромышленного комплекса и осуществлении контроля за соблюдением антимонопольного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В соответствии с частью пятой подпункта «в» пункта 2 Национального плана развития конкуренции в Российской Федерации на 2018 - 2020 годы, утвержденного Указом Президента Российской Федерации от 21 декабря 2017 г. № 618 «Об основных направлениях государственной политики по развитию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Постановление Правительства Российской Федерации «Об утверждении Правил предоставления субсидий из федерального бюджета открытому акционерному обществу «Российские железные дороги» на возмещение потерь в доходах, возникающих в результате установления льготных тарифов на перевозку зерна» принято 6 апреля 2019 г. № 406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mcx.ru/ministry/departments/departament-ekonomiki-investitsiy-i-regulirovaniya-rynkov/industry-information/info-razvitie-konkurentsii/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