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уличило участников закупки в сговоре на торгах по капремонту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2019, 12:18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обменивались информацией и намеренно отказались от конкурентной борьбы друг с другом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обнаружило признаки антиконкурентного соглашения между двумя участниками аукциона по выполнению работ по капитальному ремонту для нужд Министерства имущественных и земельных отношений Тверской области. Начальная максимальная цена контракта составила 14,8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аукционе приняли участие две компании из Москвы и Подмосковья – ООО «Стройинком» и ООО «В.А.П». В итоге контракт был заключен с ООО «Стройинком» на 13,99 млн рублей с понижением в 5,5%.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 установил, что компании обменивались информацией и намеренно отказались от конкурентной борьбы друг с другом. Московское УФАС России возбудило дело в отношении ООО «Стройинком» и ООО «В.А.П» по признакам нарушения пункта 2 части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