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"антитабачную концепцию"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13:34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мая 2019 года состоялось очередное заседание Экспертного совета при Федеральной антимонопольной службе по развитию конкуренции на рынке табачной продукции. Заседание прошло на площадке Общероссийской общественной организации "Деловая Россия".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повестку дня было вынесено обсуждение проекта Концепции осуществления государственной политики противодействия потреблению табака в Российской Федерации на 2019 – 2035 годы и дальнейшую перспективу, а также вопрос регулирования электронных систем доставки никотина. Члены экспертного совета представили два альтернативных варианта концепции, поделились с участниками заседания опытом регулирования рынков в других странах мира, результатами научных исследований. Особое внимание было обращено на необходимость корреляции концепции с национальным проектом "Демография". Участники обсуждения отметили, что концепцией необходимо предусмотреть научный подход к определению среднесрочных и долгосрочных трендов развития отрасли с целью стимулирования развития новых продуктов с пониженным риском нанесения вреда для здоровья человека, для достижения к 2050 году государственной задачи - появления поколения свободного от табака. В итоге было принято решение о создании при Экспертном совете рабочей группы для доработки  проекта концепции  с учетом состоявшегося обсуждения до 5 июня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заседания Экспертного совета еще три компании - ООО «ДЖУУЛ ЛАБС РУ», ООО «Вива Ла Клауд» и ООО «Бабилон Ритейл» - присоединились к </w:t>
      </w:r>
      <w:r>
        <w:t xml:space="preserve">Публичной декларации добросовестных участников рынка никотиносодержащей продукции</w:t>
      </w:r>
      <w:r>
        <w:t xml:space="preserve">. Компании и организации, подписавшие Публичную декларацию, берут на себя добровольные обязательства по ограничению маркетинга и продаж электронных систем доставки никотина, никотинсодержащих жидкостей и изделий из нагреваемого табака.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[photo_1255]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начальник Контрольно-финансового управления ФАС России Владимир Мишеловин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"Сегодня состоялся профессиональный диалог экспертов, которые понимают проблемы развития рынков,  задачи по ограничению и сокращения потребления табачной и никотиносодержащей продукции и готовы разделить ответственность за разработку и реализацию государственной политики в этой сфере".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[video_2087]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