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Воронежской области промежуточные результаты реализации Нацплана достигнуты уже в 31 из 33 отраслей экономики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мая 2019, 18:00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2018 году в регионе резко вырос процент государственных закупок у предприятий малого и среднего предпринимательства по отношению к 2017 году: 51,09% и 30,9% соответственно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существенный рост одного из ключевых показателей Национального плана развития конкуренции. Область демонстрирует цифры выше средних данных по стране, и хотелось бы, чтобы регион и в дальнейшем поддерживал такие темпы», </w:t>
      </w:r>
      <w:r>
        <w:t xml:space="preserve">– сказал заместитель руководителя ФАС России Андрей Кашеваров в ходе встречи с губернатором Воронежской области Александром Гусевым. Мероприятие, состоявшееся сегодня, 24 июня, было посвящено реализации Нацплана развития конкуренции и поручениям Президента РФ по итогам Госсовета.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«Допуск к государственным средствам субъектов малого и среднего бизнеса в рамках проведения госзакупок обеспечивает экономический рост и развитие конкуренции»</w:t>
      </w:r>
      <w:r>
        <w:t xml:space="preserve">, – подчеркнул замглавы антимонопольного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отметил, что Воронежская область взяла на себя повышенные обязательства, выбрав 40 вместо 33 отраслей экономики в рамках достижения ключевых показателей развития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«Надеюсь, что к 2022 году план будет полностью выполнен. Тем более что в настоящее время промежуточные показатели по большинству из сфер достигнуты»,</w:t>
      </w:r>
      <w:r>
        <w:t xml:space="preserve"> – сказал Андрей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также напомнил о необходимости сокращения количества нарушений антимонопольного законодательства органами власти, и в целях реализации поставленной задачи предложил проведение Воронежским УФАС России серии обучающих семинаров и совещаний для региональных и муниципальных органов власти.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июле 2018 года между ФАС России и Правительством Воронежской области было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подписано Соглашение
        </w:t>
        </w:r>
      </w:hyperlink>
      <w:r>
        <w:t xml:space="preserve"> о взаимодействии по вопросам реализации Нацплана развития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 встрече также приняли участие руководитель Воронежского УФАС России Денис Чушкин, начальник Управления контроля рекламы и недобросовестной конкуренции ФАС России Татьяна Никитина, начальник Отдела проектов по развитию ФБУ ИТЦ ФАС России Юлия Газетдинова, а также представители Правительства Воронежской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[video_2100]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[video_2099]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5417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