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просят упростить механизмы контроля в сфере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банковского и казначейского сопровождения, а также проблемы оплаты исполненных контрактов обсудили участники Экспертного совета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Очередное заседание Экспертного совета в сфере ГОЗ, которое состоялось в ФАС России, началось с обсуждения поручений руководства антимонопольного ведомства. В частности, участники мероприятия обсудили Публичную декларацию целей и задач на 2019 год, а также проект Доклада о состоянии конкуренции. Большое оживление вызвала тема реализации Концепции открытости, в рамках которой ведомство должно будет раскрывать информацию о реестре юридических лиц в сфере ГОЗ, которые были привлечены к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Переходя к вопросу исполнения контрактов, эксперты сошлись во мнении, что выстроенные системы банковского и казначейского сопровождения, при всей эффективности контроля сокращают количество организаций, которые стремятся к выполнению оборонных заказов. Многие традиционные поставщики готовы либо переключаться на гражданские рынки, либо просят компенсировать в цене дополнительные транзакционные издержки. В частности, обсуждалась возможность закрытия отдельного счета исполнителями, которые участвуют в поставках продукции ГОЗ, после исполнения контракта. То есть, исполнитель ГОЗ, полностью выполнив условия контракта, должен иметь возможность списать с отдельного счёта денежные средства, не дожидаясь исполнения госконтракта со стороны головного исполнителя. Это же касается и перечисления прибыли исполнителям, которые участвуют в поставках продукции, после исполнения очередного этапа контракта. Отсутствие таких возможностей прежде всего негативно сказывается на деятельности субъектов малого и среднего предпринимательства и снижает их желание участвовать в дальнейшем исполнении оборонного 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«Нашей главной задачей на сегодняшний день остаётся улучшение конкурентной среды в оборонно-промышленном комплексе, в том числе за счёт снижения издержек ведения бизнеса, обусловленных усиленным контролем,</w:t>
      </w:r>
      <w:r>
        <w:t xml:space="preserve"> - озвучил общее мнение собравшихся экспертов Даниил Фесюк, заместитель руководителя ФАС России. – </w:t>
      </w:r>
      <w:r>
        <w:rPr>
          <w:i/>
        </w:rPr>
        <w:t xml:space="preserve">Поэтому мы должны, в том числе, подумать, как установить баланс интересов предпринимательского сообщества и институтов государства при реализации оборонного заказа. Мы планируем собрать информацию о скрытых (не входящих в традиционную отчетность) издержках, а также оценить резервы для улучшения деловой среды и расширения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i/>
        </w:rPr>
        <w:t xml:space="preserve">[photo_1288]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