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обсудили вопросы развития конкуренции на рынке охранных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2019,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Темой встречи стал проект приказа Росгвардии[1], который устанавливает порядок проведения периодических проверок частных охранников и работников юридических лиц с особыми уставными задачами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12 июля 2019 года, в ФАС России состоялось заседание рабочей группы при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Экспертном совете по развитию конкуренции на рынках охранных услуг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«Необходимость такого обсуждения вызвана возможным влиянием отдельных положений документа на состояние конкуренции на рынке услуг по проведению тренировок в целях подготовки к прохождению периодических проверок», –</w:t>
      </w:r>
      <w:r>
        <w:t xml:space="preserve"> отметила заместитель начальника Контрольно-финансового управления ФАС России Наталия Исаева.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регламентирует порядок проведения проверок на пригодность к действиям в условиях, связанных с применением огнестрельного оружия и специальных средств, которые территориальные органы Росгвардии проводят для частных охранников и работников юридических лиц с особыми уставными задачами.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Наталии Исаевой, в проекте приказа Росгвардии учтены замечания антимонопольного органа об установлении четких критериев отбора образовательных учреждений при формировании перечня мест проведения периодических проверок, однако некоторые его положения требуют более тщательного изучения.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сегодняшнем заседании мы собрали непосредственно участников рынка, чье мнение по рассматриваемому вопросу хотим услышать и учесть при согласовании проекта приказа»,</w:t>
      </w:r>
      <w:r>
        <w:t xml:space="preserve"> – подчеркнула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выступает за формирование такого механизма отбора организаций и мест проведения проверок, который будет соответствовать основным принципам конкуренции и открытости, будет понятен участникам рынка и не станет ущемлять интересы его отдельных игроков.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пояснил главный эксперт-специалист УЛРР ГУЛРРиГК Росгвардии Андрей Аванесов, документ прошел этап публичных обсуждений, в ходе которых поступили и были учтены предложения по нему.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старший инспектор по особым поручениям отдела по контролю за частной охранной деятельностью ЦЛРР ГУ Росгвардии по Московской области Роман Судохолов и заместитель начальника ЦЛРР ГУ Росгвардии по г. Москве Илья Еремеев.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статьёй 4 Закона об оружии, предприятия и организации, на которые законодательством Российской Федерации возложены функции, связанные с использованием и применением служебного оружия, являются юридическими лицами с особыми уставными задачами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Проект Приказа 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uncils/ekspertnyij-sovet-po-razvitiyu-konkurencii-na-rynke-ohrannyh-uslug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