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Правительство РФ приняло постановление, направленное на внедрение механизма эталонных затрат в сфере водоснабжения и водоотведения</w:t>
      </w:r>
    </w:p>
    <w:p xmlns:w="http://schemas.openxmlformats.org/wordprocessingml/2006/main" xmlns:pkg="http://schemas.microsoft.com/office/2006/xmlPackage" xmlns:str="http://exslt.org/strings" xmlns:fn="http://www.w3.org/2005/xpath-functions">
      <w:r>
        <w:t xml:space="preserve">17 июля 2019, 10:00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Разработчиком документа является ФАС России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Документ принят по исполнению поручения Президента РФ и является важным шагом к внедрению механизма эталонных затрат в сфере водоснабжения и водоотведения.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«Принятый документ является особенно актуальным в тех регионах, где имеется значительное количество организаций, владеющие небольшими участками сетей водоснабжения или водоотведения, например, менее 10 км. При этом тарифы таких организаций намного выше тарифов гарантирующих организаций, несмотря на то, что такие компании по существу занимаются только транзитом коммунальной услуги», </w:t>
      </w:r>
      <w:r>
        <w:t xml:space="preserve">- отметил заместитель руководителя ФАС России Виталий Королев.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При регулировании тарифов в отношении таких организаций на 2020 и последующие годы будет использоваться метод сравнения аналогов. Это означает, что текущие расходы организаций-транзитников будут приравнены к текущим расходам, относимым на транспортирование воды (сточных вод), самой крупной в системе ВКХ по количеству абонентов ресурсоснабжающей организации.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«Эта мера позволит снизить тарифную нагрузку на потребителей уже в ближайшее время. Необходимо отметить, что внедрение эталонных затрат в сфере водоснабжения и водоотведения позволит обеспечить предсказуемость тарифного регулирования и недопущения значительной вариативности тарифов в рамках одной системы централизованного водоснабжения и водоотведения», - </w:t>
      </w:r>
      <w:r>
        <w:t xml:space="preserve">подчеркнул Виталий Королев.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 например, в 2019 году на территории Пермского края для транзитной организации (протяженность сети 1 км) среднегодовой тариф на транспортировку холодной воды составил 19,49 руб/куб.м. При этом удельные текущие расходы на содержание сетей у гарантирующей организации в соответствующей системе централизованного водоснабжения в указанном году значительно ниже, чем у организации-транзитника (примерно в 4 раза).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Таким образом, среднегодовой тариф транзитной организации на 2020 год на транспортировку холодной воды, установленный с применением метода сравнения аналогов, существенно снизится.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Антимонопольная служба продолжает работу по совершенствованию действующего законодательства в сфере тарифного регулирования.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 документом можно ознакомиться </w:t>
      </w:r>
      <w:hyperlink xmlns:r="http://schemas.openxmlformats.org/officeDocument/2006/relationships" r:id="rId8">
        <w:r>
          <w:rPr>
            <w:rStyle w:val="Hyperlink"/>
            <w:color w:val="000080"/>
            <w:u w:val="single"/>
          </w:rPr>
          <w:t xml:space="preserve">
          здесь.
        </w:t>
        </w:r>
      </w:hyperlink>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fas.gov.ru/documents/685503"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