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лишил иностранного инвестора права голоса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2019, 12:36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общем собрании участников стратега-недропользователя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по иску антимонопольного органа 15 июля 2019 года лишил компанию «Дриллинг Инновейшн М.Е. Лтд.» права голоса на общем собрании участников ООО «Оксет», являющегося в соответствии с Законом № 57-ФЗ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хозяйственным обществом, имеющим стратегическое значение для обеспечения обороны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ФАС России в соответствии с Законом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поступило ходатайство иностранного инвестора. При его рассмотрении антимонопольный орган указал на необходимость получения предварительного согласования сделки иностранного инвестора в порядке, предусмотренном Законом № 57-ФЗ.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 иностранный инвестор совершил сделку без согласования по Закону о защите конкуренции и по Закону № 57-ФЗ. Вместе с тем, сделки, совершенные с нарушением требований законодательства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ничтожны.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обратилась в суд с иском о лишении иностранного инвестора права голоса на общем собрании участников стратегического общества, который суд удовлетворил полностью.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26.07.2006 № 135-ФЗ «О защите конкуренции»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1 статьи 15 Закона № 57-ФЗ сделки, указанные в статье 7 данного федерального закона и совершенные с нарушением требований настоящего Федерального закона, ничтожны.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положениями части 2 статьи 15 Закона № 57-ФЗ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