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внесла изменения в Методику расчета ключевых показателей по развитию конкуренции в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августа 2019, 11:17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Актуализированы 34 методики по основным отраслям экономики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августа 2019 года приказом ФАС России внесены изменения в Методики расчета ключевых показателей.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«Эти изменения были обусловлены принятием в апреле 2019 года Стандарта развития конкуренции в субъектах Российской Федерации. Методики были согласованы с федеральными органами исполнительной власти. Кроме того, были учтены предложения органов власти субъектов Российской Федерации», - </w:t>
      </w:r>
      <w:r>
        <w:t xml:space="preserve">сообщил начальник Правового управления ФАС России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Приказом актуализированы 34 Методики, в 12 из которых изменился расчет ключевого показателя развития конкуренции. Также утверждена новая методика – по расчету ключевого показателя развития конкуренции на рынке реализации сельскохозяйственной продукции в субъектах Российской Федерации. Этот товарный рынок введен Стандартом.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что в соответствии со Стандартом развития конкуренции и поручением Президента Российской Федерации, органы власти субъектов Российской Федерации развивают приоритетные товарные рынки, выбранные регионами.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документом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555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